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5FF2" w14:textId="77777777" w:rsidR="00325A1B" w:rsidRDefault="00AF0885">
      <w:pPr>
        <w:spacing w:after="40"/>
      </w:pPr>
      <w:r>
        <w:rPr>
          <w:b/>
          <w:bCs/>
          <w:color w:val="1F3864"/>
          <w:sz w:val="40"/>
          <w:szCs w:val="40"/>
        </w:rPr>
        <w:t>Inference Host Proposal</w:t>
      </w:r>
    </w:p>
    <w:p w14:paraId="67149271" w14:textId="77777777" w:rsidR="00325A1B" w:rsidRDefault="00AF0885">
      <w:pPr>
        <w:spacing w:after="60"/>
      </w:pPr>
      <w:r>
        <w:rPr>
          <w:color w:val="595959"/>
          <w:sz w:val="24"/>
          <w:szCs w:val="24"/>
        </w:rPr>
        <w:t>Medical-LLM Glioma Classification Benchmark</w:t>
      </w:r>
    </w:p>
    <w:p w14:paraId="1B42D67D" w14:textId="77777777" w:rsidR="00325A1B" w:rsidRDefault="00325A1B">
      <w:pPr>
        <w:pBdr>
          <w:bottom w:val="single" w:sz="12" w:space="4" w:color="2E75B6"/>
        </w:pBdr>
        <w:spacing w:after="200"/>
      </w:pPr>
    </w:p>
    <w:p w14:paraId="32025B4E" w14:textId="77777777" w:rsidR="008B2BDF" w:rsidRDefault="00AF0885">
      <w:pPr>
        <w:spacing w:after="200"/>
      </w:pPr>
      <w:r>
        <w:rPr>
          <w:b/>
          <w:bCs/>
        </w:rPr>
        <w:t xml:space="preserve">Prepared for: </w:t>
      </w:r>
      <w:r w:rsidR="008B2BDF">
        <w:t>Dr. Hassan Mohy-</w:t>
      </w:r>
      <w:proofErr w:type="gramStart"/>
      <w:r w:rsidR="008B2BDF">
        <w:t>Ud-Din</w:t>
      </w:r>
      <w:proofErr w:type="gramEnd"/>
      <w:r>
        <w:t xml:space="preserve">       </w:t>
      </w:r>
    </w:p>
    <w:p w14:paraId="6E2B404A" w14:textId="0454F950" w:rsidR="00325A1B" w:rsidRDefault="00AF0885">
      <w:pPr>
        <w:spacing w:after="200"/>
      </w:pPr>
      <w:r>
        <w:rPr>
          <w:b/>
          <w:bCs/>
        </w:rPr>
        <w:t>Re</w:t>
      </w:r>
      <w:r w:rsidR="008B2BDF">
        <w:rPr>
          <w:b/>
          <w:bCs/>
        </w:rPr>
        <w:t>quest</w:t>
      </w:r>
      <w:r>
        <w:rPr>
          <w:b/>
          <w:bCs/>
        </w:rPr>
        <w:t xml:space="preserve">: </w:t>
      </w:r>
      <w:r>
        <w:t xml:space="preserve">Switching the </w:t>
      </w:r>
      <w:proofErr w:type="gramStart"/>
      <w:r>
        <w:t>medical-model</w:t>
      </w:r>
      <w:proofErr w:type="gramEnd"/>
      <w:r>
        <w:t xml:space="preserve"> runs from Featherless.ai to a dedicated host</w:t>
      </w:r>
    </w:p>
    <w:p w14:paraId="0C4E50A5" w14:textId="77777777" w:rsidR="00325A1B" w:rsidRDefault="00AF0885">
      <w:pPr>
        <w:pStyle w:val="Heading1"/>
      </w:pPr>
      <w:r>
        <w:t>Summary</w:t>
      </w:r>
    </w:p>
    <w:p w14:paraId="337883DD" w14:textId="77777777" w:rsidR="00325A1B" w:rsidRDefault="00AF0885">
      <w:pPr>
        <w:spacing w:after="140" w:line="276" w:lineRule="auto"/>
      </w:pPr>
      <w:r>
        <w:t xml:space="preserve">The four open-weight medical models in our glioma benchmark (OpenBioLLM-70B, Med42-v2-70B, MedGemma-27B and Baichuan-M2-32B) are currently served through </w:t>
      </w:r>
      <w:r>
        <w:rPr>
          <w:b/>
          <w:bCs/>
        </w:rPr>
        <w:t>Featherless.ai</w:t>
      </w:r>
      <w:r>
        <w:t xml:space="preserve">, a flat-rate, shared serverless host. These lower-traffic models are repeatedly hitting </w:t>
      </w:r>
      <w:r>
        <w:rPr>
          <w:b/>
          <w:bCs/>
        </w:rPr>
        <w:t>capacity limits</w:t>
      </w:r>
      <w:r>
        <w:t xml:space="preserve"> mid-run, which stalls and partially fails our 646-case batch. I propose adding </w:t>
      </w:r>
      <w:proofErr w:type="spellStart"/>
      <w:r>
        <w:rPr>
          <w:b/>
          <w:bCs/>
        </w:rPr>
        <w:t>DeepInfra</w:t>
      </w:r>
      <w:proofErr w:type="spellEnd"/>
      <w:r>
        <w:t xml:space="preserve"> (pay-as-you-go, dedicated GPU) so the benchmark </w:t>
      </w:r>
      <w:proofErr w:type="gramStart"/>
      <w:r>
        <w:t>can run end-to-end reliably,</w:t>
      </w:r>
      <w:proofErr w:type="gramEnd"/>
      <w:r>
        <w:t xml:space="preserve"> at an estimated </w:t>
      </w:r>
      <w:r>
        <w:rPr>
          <w:b/>
          <w:bCs/>
        </w:rPr>
        <w:t>one-time cost of roughly $50–$100</w:t>
      </w:r>
      <w:r>
        <w:t>.</w:t>
      </w:r>
    </w:p>
    <w:p w14:paraId="3167786C" w14:textId="77777777" w:rsidR="00325A1B" w:rsidRDefault="00AF0885">
      <w:pPr>
        <w:pStyle w:val="Heading1"/>
      </w:pPr>
      <w:r>
        <w:t>What is happening</w:t>
      </w:r>
    </w:p>
    <w:p w14:paraId="6983977B" w14:textId="77777777" w:rsidR="00325A1B" w:rsidRDefault="00AF0885">
      <w:pPr>
        <w:spacing w:after="140" w:line="276" w:lineRule="auto"/>
      </w:pPr>
      <w:r>
        <w:t xml:space="preserve">Featherless hosts models on a </w:t>
      </w:r>
      <w:r>
        <w:rPr>
          <w:b/>
          <w:bCs/>
        </w:rPr>
        <w:t>shared serverless pool</w:t>
      </w:r>
      <w:r>
        <w:t xml:space="preserve"> under a flat monthly subscription. Because our medical models are not high-traffic, Featherless does not keep them loaded and warm — they are spun up on demand and share GPU capacity across </w:t>
      </w:r>
      <w:proofErr w:type="gramStart"/>
      <w:r>
        <w:t>all of</w:t>
      </w:r>
      <w:proofErr w:type="gramEnd"/>
      <w:r>
        <w:t xml:space="preserve"> </w:t>
      </w:r>
      <w:proofErr w:type="spellStart"/>
      <w:r>
        <w:t>Featherless’s</w:t>
      </w:r>
      <w:proofErr w:type="spellEnd"/>
      <w:r>
        <w:t xml:space="preserve"> customers. When that pool is full, the API returns:</w:t>
      </w:r>
    </w:p>
    <w:p w14:paraId="78573820" w14:textId="77777777" w:rsidR="00325A1B" w:rsidRDefault="00AF0885">
      <w:pPr>
        <w:pBdr>
          <w:left w:val="single" w:sz="18" w:space="8" w:color="2E75B6"/>
        </w:pBdr>
        <w:shd w:val="clear" w:color="auto" w:fill="F2F2F2"/>
        <w:spacing w:before="40" w:after="140"/>
      </w:pPr>
      <w:r>
        <w:rPr>
          <w:rFonts w:ascii="Consolas" w:eastAsia="Consolas" w:hAnsi="Consolas" w:cs="Consolas"/>
          <w:color w:val="333333"/>
          <w:sz w:val="18"/>
          <w:szCs w:val="18"/>
        </w:rPr>
        <w:t>[182/646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]  BraTS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2021_01104</w:t>
      </w:r>
      <w:r>
        <w:rPr>
          <w:rFonts w:ascii="Consolas" w:eastAsia="Consolas" w:hAnsi="Consolas" w:cs="Consolas"/>
          <w:color w:val="B00020"/>
          <w:sz w:val="18"/>
          <w:szCs w:val="18"/>
        </w:rPr>
        <w:br/>
        <w:t>CAPACITY  503 model at capacity (wait 1/8) -- sleeping 20s</w:t>
      </w:r>
      <w:r>
        <w:rPr>
          <w:rFonts w:ascii="Consolas" w:eastAsia="Consolas" w:hAnsi="Consolas" w:cs="Consolas"/>
          <w:color w:val="B00020"/>
          <w:sz w:val="18"/>
          <w:szCs w:val="18"/>
        </w:rPr>
        <w:br/>
        <w:t>CAPACITY  503 model at capacity (wait 2/8) -- sleeping 40s</w:t>
      </w:r>
    </w:p>
    <w:p w14:paraId="451119C9" w14:textId="77777777" w:rsidR="00325A1B" w:rsidRDefault="00AF0885">
      <w:pPr>
        <w:spacing w:after="140" w:line="276" w:lineRule="auto"/>
      </w:pPr>
      <w:r>
        <w:t xml:space="preserve">Our pipeline handles this gracefully — it waits and retries with increasing back-off (the </w:t>
      </w:r>
      <w:r>
        <w:rPr>
          <w:rFonts w:ascii="Consolas" w:eastAsia="Consolas" w:hAnsi="Consolas" w:cs="Consolas"/>
          <w:sz w:val="19"/>
          <w:szCs w:val="19"/>
        </w:rPr>
        <w:t>wait 1/8 … sleeping 20s/40s</w:t>
      </w:r>
      <w:r>
        <w:t xml:space="preserve"> lines above). But across 646 cases this causes long stalls, and some cases are skipped and must be re-run. </w:t>
      </w:r>
      <w:r>
        <w:rPr>
          <w:b/>
          <w:bCs/>
        </w:rPr>
        <w:t>This is a host-side capacity limitation, not a defect in our code or data</w:t>
      </w:r>
      <w:r>
        <w:t xml:space="preserve"> — on a shared subscription we have no guaranteed throughput.</w:t>
      </w:r>
    </w:p>
    <w:p w14:paraId="3C171F18" w14:textId="77777777" w:rsidR="00325A1B" w:rsidRDefault="00AF0885">
      <w:pPr>
        <w:pStyle w:val="Heading1"/>
      </w:pPr>
      <w:r>
        <w:t xml:space="preserve">Proposal: add </w:t>
      </w:r>
      <w:proofErr w:type="spellStart"/>
      <w:r>
        <w:t>DeepInfra</w:t>
      </w:r>
      <w:proofErr w:type="spellEnd"/>
      <w:r>
        <w:t xml:space="preserve"> access</w:t>
      </w:r>
    </w:p>
    <w:p w14:paraId="5E10A4D9" w14:textId="77777777" w:rsidR="00325A1B" w:rsidRDefault="00AF0885">
      <w:pPr>
        <w:spacing w:after="140" w:line="276" w:lineRule="auto"/>
      </w:pPr>
      <w:proofErr w:type="spellStart"/>
      <w:r>
        <w:t>DeepInfra</w:t>
      </w:r>
      <w:proofErr w:type="spellEnd"/>
      <w:r>
        <w:t xml:space="preserve"> lets us run these same open-weight models on a </w:t>
      </w:r>
      <w:r>
        <w:rPr>
          <w:b/>
          <w:bCs/>
        </w:rPr>
        <w:t>dedicated deployment with guaranteed capacity</w:t>
      </w:r>
      <w:r>
        <w:t xml:space="preserve"> — no shared-pool queueing, so the 503 stalls disappear and the full cohort runs in one pass. Two points for budgeting:</w:t>
      </w:r>
    </w:p>
    <w:p w14:paraId="3F90FD76" w14:textId="77777777" w:rsidR="00325A1B" w:rsidRDefault="00AF0885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It is pay-as-you-go, not a subscription. </w:t>
      </w:r>
      <w:r>
        <w:t xml:space="preserve">For these models we stand up a dedicated GPU deployment billed by </w:t>
      </w:r>
      <w:proofErr w:type="gramStart"/>
      <w:r>
        <w:t>runtime, and</w:t>
      </w:r>
      <w:proofErr w:type="gramEnd"/>
      <w:r>
        <w:t xml:space="preserve"> delete it the moment the run finishes — cost is bounded to the hours </w:t>
      </w:r>
      <w:proofErr w:type="gramStart"/>
      <w:r>
        <w:t>actually used</w:t>
      </w:r>
      <w:proofErr w:type="gramEnd"/>
      <w:r>
        <w:t>.</w:t>
      </w:r>
    </w:p>
    <w:p w14:paraId="38586F89" w14:textId="77777777" w:rsidR="00325A1B" w:rsidRDefault="00AF0885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It is the same code. </w:t>
      </w:r>
      <w:r>
        <w:t xml:space="preserve">Our scripts already support </w:t>
      </w:r>
      <w:proofErr w:type="spellStart"/>
      <w:r>
        <w:t>DeepInfra</w:t>
      </w:r>
      <w:proofErr w:type="spellEnd"/>
      <w:r>
        <w:t xml:space="preserve"> as a provider; we simply point them at the deployment, change nothing in the prompt, schema, or scoring.</w:t>
      </w:r>
    </w:p>
    <w:p w14:paraId="33BBA22D" w14:textId="77777777" w:rsidR="00325A1B" w:rsidRDefault="00AF0885">
      <w:pPr>
        <w:pStyle w:val="Heading1"/>
      </w:pPr>
      <w:r>
        <w:t>Estimated cost</w:t>
      </w:r>
    </w:p>
    <w:p w14:paraId="40497628" w14:textId="77777777" w:rsidR="00325A1B" w:rsidRDefault="00AF0885">
      <w:pPr>
        <w:spacing w:after="140" w:line="276" w:lineRule="auto"/>
      </w:pPr>
      <w:proofErr w:type="spellStart"/>
      <w:r>
        <w:t>DeepInfra’s</w:t>
      </w:r>
      <w:proofErr w:type="spellEnd"/>
      <w:r>
        <w:t xml:space="preserve"> 2026 dedicated rates are </w:t>
      </w:r>
      <w:r>
        <w:rPr>
          <w:b/>
          <w:bCs/>
        </w:rPr>
        <w:t>A100 $0.89/</w:t>
      </w:r>
      <w:proofErr w:type="spellStart"/>
      <w:r>
        <w:rPr>
          <w:b/>
          <w:bCs/>
        </w:rPr>
        <w:t>hr</w:t>
      </w:r>
      <w:proofErr w:type="spellEnd"/>
      <w:r>
        <w:t xml:space="preserve"> and </w:t>
      </w:r>
      <w:r>
        <w:rPr>
          <w:b/>
          <w:bCs/>
        </w:rPr>
        <w:t>H100 $1.79/</w:t>
      </w:r>
      <w:proofErr w:type="spellStart"/>
      <w:r>
        <w:rPr>
          <w:b/>
          <w:bCs/>
        </w:rPr>
        <w:t>hr</w:t>
      </w:r>
      <w:proofErr w:type="spellEnd"/>
      <w:r>
        <w:t xml:space="preserve">, billed only while the GPU is running. The table below assumes one metadata pass over all 646 cases, </w:t>
      </w:r>
      <w:r>
        <w:rPr>
          <w:b/>
          <w:bCs/>
        </w:rPr>
        <w:t>sequential (single-stream) execution</w:t>
      </w:r>
      <w:r>
        <w:t xml:space="preserve"> (our scripts send one request at a time), 70B models on 2×H100 at full precision, </w:t>
      </w:r>
      <w:r>
        <w:lastRenderedPageBreak/>
        <w:t>smaller models on 1×H100, plus a 20% buffer for cold-starts and retries. These are deliberately conservative — an upper bound.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1"/>
        <w:gridCol w:w="1131"/>
        <w:gridCol w:w="1636"/>
        <w:gridCol w:w="1096"/>
        <w:gridCol w:w="1493"/>
        <w:gridCol w:w="1493"/>
      </w:tblGrid>
      <w:tr w:rsidR="00325A1B" w14:paraId="1FBE7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6C641" w14:textId="77777777" w:rsidR="00325A1B" w:rsidRDefault="00AF0885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3090C3" w14:textId="77777777" w:rsidR="00325A1B" w:rsidRDefault="00AF088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E914A" w14:textId="77777777" w:rsidR="00325A1B" w:rsidRDefault="00AF088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GPU (assumed)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86E84" w14:textId="77777777" w:rsidR="00325A1B" w:rsidRDefault="00AF088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04A55B" w14:textId="77777777" w:rsidR="00325A1B" w:rsidRDefault="00AF088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GPU-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hrs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86103" w14:textId="77777777" w:rsidR="00325A1B" w:rsidRDefault="00AF088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cost</w:t>
            </w:r>
          </w:p>
        </w:tc>
      </w:tr>
      <w:tr w:rsidR="00325A1B" w14:paraId="04DD8CD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07F43" w14:textId="77777777" w:rsidR="00325A1B" w:rsidRDefault="00AF0885">
            <w:r>
              <w:rPr>
                <w:b/>
                <w:bCs/>
                <w:sz w:val="18"/>
                <w:szCs w:val="18"/>
              </w:rPr>
              <w:t>OpenBioLLM-70B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F2E38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70B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CDE01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2 x H100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DA707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$3.58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D8923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9.7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2FC7F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~$35</w:t>
            </w:r>
          </w:p>
        </w:tc>
      </w:tr>
      <w:tr w:rsidR="00325A1B" w14:paraId="6944A53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12C36" w14:textId="77777777" w:rsidR="00325A1B" w:rsidRDefault="00AF0885">
            <w:r>
              <w:rPr>
                <w:b/>
                <w:bCs/>
                <w:sz w:val="18"/>
                <w:szCs w:val="18"/>
              </w:rPr>
              <w:t>Med42-v2-70B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9E31F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70B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AC507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2 x H100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549D4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$3.58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E0AE7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9.7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15254B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~$35</w:t>
            </w:r>
          </w:p>
        </w:tc>
      </w:tr>
      <w:tr w:rsidR="00325A1B" w14:paraId="425FE44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3B35C" w14:textId="77777777" w:rsidR="00325A1B" w:rsidRDefault="00AF0885">
            <w:r>
              <w:rPr>
                <w:b/>
                <w:bCs/>
                <w:sz w:val="18"/>
                <w:szCs w:val="18"/>
              </w:rPr>
              <w:t>MedGemma-27B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48B9E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27B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CF2E8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1 x H100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F8532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$1.79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15C3FA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5.4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C2E7A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~$10</w:t>
            </w:r>
          </w:p>
        </w:tc>
      </w:tr>
      <w:tr w:rsidR="00325A1B" w14:paraId="0B8DD4A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6199D" w14:textId="77777777" w:rsidR="00325A1B" w:rsidRDefault="00AF0885">
            <w:r>
              <w:rPr>
                <w:b/>
                <w:bCs/>
                <w:sz w:val="18"/>
                <w:szCs w:val="18"/>
              </w:rPr>
              <w:t>Baichuan-M2-32B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18C5B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32B (reasoning)</w:t>
            </w: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23D53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1 x H100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770D3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$1.79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FEFB2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13.0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B5D79" w14:textId="77777777" w:rsidR="00325A1B" w:rsidRDefault="00AF0885">
            <w:pPr>
              <w:jc w:val="center"/>
            </w:pPr>
            <w:r>
              <w:rPr>
                <w:sz w:val="18"/>
                <w:szCs w:val="18"/>
              </w:rPr>
              <w:t>~$23</w:t>
            </w:r>
          </w:p>
        </w:tc>
      </w:tr>
      <w:tr w:rsidR="00325A1B" w14:paraId="474779D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4FC5D" w14:textId="77777777" w:rsidR="00325A1B" w:rsidRDefault="00AF0885">
            <w:r>
              <w:rPr>
                <w:b/>
                <w:bCs/>
                <w:sz w:val="18"/>
                <w:szCs w:val="18"/>
              </w:rPr>
              <w:t>Total (one pass, all four)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25DDE" w14:textId="77777777" w:rsidR="00325A1B" w:rsidRDefault="00325A1B">
            <w:pPr>
              <w:jc w:val="center"/>
            </w:pPr>
          </w:p>
        </w:tc>
        <w:tc>
          <w:tcPr>
            <w:tcW w:w="1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7DE92" w14:textId="77777777" w:rsidR="00325A1B" w:rsidRDefault="00325A1B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26779" w14:textId="77777777" w:rsidR="00325A1B" w:rsidRDefault="00325A1B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785E08" w14:textId="77777777" w:rsidR="00325A1B" w:rsidRDefault="00AF088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~38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C20EA" w14:textId="77777777" w:rsidR="00325A1B" w:rsidRDefault="00AF088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~$100</w:t>
            </w:r>
          </w:p>
        </w:tc>
      </w:tr>
    </w:tbl>
    <w:p w14:paraId="1C19F5DD" w14:textId="77777777" w:rsidR="00325A1B" w:rsidRDefault="00AF0885">
      <w:pPr>
        <w:spacing w:before="60" w:after="160"/>
      </w:pPr>
      <w:r>
        <w:rPr>
          <w:i/>
          <w:iCs/>
          <w:color w:val="595959"/>
          <w:sz w:val="16"/>
          <w:szCs w:val="16"/>
        </w:rPr>
        <w:t xml:space="preserve">Figures are estimates based on conservative single-stream latency; actual cost depends on </w:t>
      </w:r>
      <w:proofErr w:type="spellStart"/>
      <w:r>
        <w:rPr>
          <w:i/>
          <w:iCs/>
          <w:color w:val="595959"/>
          <w:sz w:val="16"/>
          <w:szCs w:val="16"/>
        </w:rPr>
        <w:t>DeepInfra’s</w:t>
      </w:r>
      <w:proofErr w:type="spellEnd"/>
      <w:r>
        <w:rPr>
          <w:i/>
          <w:iCs/>
          <w:color w:val="595959"/>
          <w:sz w:val="16"/>
          <w:szCs w:val="16"/>
        </w:rPr>
        <w:t xml:space="preserve"> serving configuration.</w:t>
      </w:r>
    </w:p>
    <w:p w14:paraId="2AF9E113" w14:textId="77777777" w:rsidR="00325A1B" w:rsidRDefault="00AF0885">
      <w:pPr>
        <w:pStyle w:val="Heading2"/>
      </w:pPr>
      <w:r>
        <w:t>Levers that lower the cost</w:t>
      </w:r>
    </w:p>
    <w:p w14:paraId="4F3C5BCF" w14:textId="77777777" w:rsidR="00325A1B" w:rsidRDefault="00AF0885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Use A100s instead of H100s </w:t>
      </w:r>
      <w:r>
        <w:t>(~half price): total drops to roughly $50.</w:t>
      </w:r>
    </w:p>
    <w:p w14:paraId="599B0018" w14:textId="77777777" w:rsidR="00325A1B" w:rsidRDefault="00AF0885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Run requests concurrently: </w:t>
      </w:r>
      <w:r>
        <w:t>could cut wall-clock 3–5×, so real cost likely lands well under these figures.</w:t>
      </w:r>
    </w:p>
    <w:p w14:paraId="2A5F8824" w14:textId="77777777" w:rsidR="00325A1B" w:rsidRDefault="00AF0885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FP8 single-GPU for the 70Bs </w:t>
      </w:r>
      <w:r>
        <w:t>saves ~$35 — but for a publishable benchmark we should keep full precision.</w:t>
      </w:r>
    </w:p>
    <w:p w14:paraId="2DF68460" w14:textId="77777777" w:rsidR="00325A1B" w:rsidRDefault="00AF0885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Both metadata variants </w:t>
      </w:r>
      <w:r>
        <w:t>(</w:t>
      </w:r>
      <w:proofErr w:type="spellStart"/>
      <w:r>
        <w:t>btreport</w:t>
      </w:r>
      <w:proofErr w:type="spellEnd"/>
      <w:r>
        <w:t xml:space="preserve"> + </w:t>
      </w:r>
      <w:proofErr w:type="spellStart"/>
      <w:r>
        <w:t>btreport_pp</w:t>
      </w:r>
      <w:proofErr w:type="spellEnd"/>
      <w:r>
        <w:t>) roughly double the figure, to the $100–$200 range.</w:t>
      </w:r>
    </w:p>
    <w:p w14:paraId="654132A9" w14:textId="77777777" w:rsidR="00325A1B" w:rsidRDefault="00AF0885">
      <w:pPr>
        <w:pStyle w:val="Heading1"/>
      </w:pPr>
      <w:r>
        <w:t>Recommendation and ask</w:t>
      </w:r>
    </w:p>
    <w:p w14:paraId="11416ACB" w14:textId="77777777" w:rsidR="00325A1B" w:rsidRDefault="00AF0885">
      <w:pPr>
        <w:spacing w:after="140" w:line="276" w:lineRule="auto"/>
      </w:pPr>
      <w:r>
        <w:t xml:space="preserve">Approve a </w:t>
      </w:r>
      <w:proofErr w:type="spellStart"/>
      <w:r>
        <w:rPr>
          <w:b/>
          <w:bCs/>
        </w:rPr>
        <w:t>DeepInfra</w:t>
      </w:r>
      <w:proofErr w:type="spellEnd"/>
      <w:r>
        <w:rPr>
          <w:b/>
          <w:bCs/>
        </w:rPr>
        <w:t xml:space="preserve"> account and payment method</w:t>
      </w:r>
      <w:r>
        <w:t xml:space="preserve"> so we can stand up dedicated endpoints for the four medical models, complete the benchmark reliably, and tear them down afterward. The realistic commitment is a </w:t>
      </w:r>
      <w:r>
        <w:rPr>
          <w:b/>
          <w:bCs/>
        </w:rPr>
        <w:t>one-off ~$50–$200 of usage</w:t>
      </w:r>
      <w:r>
        <w:t xml:space="preserve">, not a recurring fee. I suggest a short </w:t>
      </w:r>
      <w:r>
        <w:rPr>
          <w:b/>
          <w:bCs/>
        </w:rPr>
        <w:t>pilot of ~20 cases per model</w:t>
      </w:r>
      <w:r>
        <w:t xml:space="preserve"> first to confirm real-world latency and refine this estimate to the dollar before launching the full batch.</w:t>
      </w:r>
    </w:p>
    <w:p w14:paraId="15AAA8B8" w14:textId="77777777" w:rsidR="00325A1B" w:rsidRDefault="00AF0885">
      <w:pPr>
        <w:pStyle w:val="Heading2"/>
      </w:pPr>
      <w:r>
        <w:t>References</w:t>
      </w:r>
    </w:p>
    <w:p w14:paraId="4F174C72" w14:textId="77777777" w:rsidR="00325A1B" w:rsidRDefault="00AF0885">
      <w:pPr>
        <w:spacing w:after="40"/>
      </w:pPr>
      <w:proofErr w:type="spellStart"/>
      <w:r>
        <w:rPr>
          <w:color w:val="595959"/>
          <w:sz w:val="17"/>
          <w:szCs w:val="17"/>
        </w:rPr>
        <w:t>DeepInfra</w:t>
      </w:r>
      <w:proofErr w:type="spellEnd"/>
      <w:r>
        <w:rPr>
          <w:color w:val="595959"/>
          <w:sz w:val="17"/>
          <w:szCs w:val="17"/>
        </w:rPr>
        <w:t xml:space="preserve"> dedicated GPU pricing (A100/H100, 2026): </w:t>
      </w:r>
      <w:hyperlink r:id="rId7" w:history="1">
        <w:r>
          <w:rPr>
            <w:rStyle w:val="Hyperlink"/>
            <w:sz w:val="17"/>
            <w:szCs w:val="17"/>
          </w:rPr>
          <w:t>deepinfra.com/pricing</w:t>
        </w:r>
      </w:hyperlink>
    </w:p>
    <w:p w14:paraId="4BDC94B2" w14:textId="77777777" w:rsidR="00325A1B" w:rsidRDefault="00AF0885">
      <w:pPr>
        <w:spacing w:after="40"/>
      </w:pPr>
      <w:proofErr w:type="spellStart"/>
      <w:r>
        <w:rPr>
          <w:color w:val="595959"/>
          <w:sz w:val="17"/>
          <w:szCs w:val="17"/>
        </w:rPr>
        <w:t>DeepInfra</w:t>
      </w:r>
      <w:proofErr w:type="spellEnd"/>
      <w:r>
        <w:rPr>
          <w:color w:val="595959"/>
          <w:sz w:val="17"/>
          <w:szCs w:val="17"/>
        </w:rPr>
        <w:t xml:space="preserve"> Custom-LLM / private deployment billing: </w:t>
      </w:r>
      <w:hyperlink r:id="rId8" w:history="1">
        <w:r>
          <w:rPr>
            <w:rStyle w:val="Hyperlink"/>
            <w:sz w:val="17"/>
            <w:szCs w:val="17"/>
          </w:rPr>
          <w:t>docs.deepinfra.com/private-models/custom-</w:t>
        </w:r>
        <w:proofErr w:type="spellStart"/>
        <w:r>
          <w:rPr>
            <w:rStyle w:val="Hyperlink"/>
            <w:sz w:val="17"/>
            <w:szCs w:val="17"/>
          </w:rPr>
          <w:t>llms</w:t>
        </w:r>
        <w:proofErr w:type="spellEnd"/>
      </w:hyperlink>
    </w:p>
    <w:p w14:paraId="68413DFD" w14:textId="77777777" w:rsidR="00325A1B" w:rsidRDefault="00AF0885">
      <w:pPr>
        <w:spacing w:after="40"/>
      </w:pPr>
      <w:r>
        <w:rPr>
          <w:color w:val="595959"/>
          <w:sz w:val="17"/>
          <w:szCs w:val="17"/>
        </w:rPr>
        <w:t xml:space="preserve">Featherless serverless model hosting (shared pool, subscription): </w:t>
      </w:r>
      <w:hyperlink r:id="rId9" w:history="1">
        <w:r>
          <w:rPr>
            <w:rStyle w:val="Hyperlink"/>
            <w:sz w:val="17"/>
            <w:szCs w:val="17"/>
          </w:rPr>
          <w:t>featherless.ai</w:t>
        </w:r>
      </w:hyperlink>
    </w:p>
    <w:sectPr w:rsidR="00325A1B">
      <w:footerReference w:type="default" r:id="rId10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B0250" w14:textId="77777777" w:rsidR="00AF0885" w:rsidRDefault="00AF0885">
      <w:r>
        <w:separator/>
      </w:r>
    </w:p>
  </w:endnote>
  <w:endnote w:type="continuationSeparator" w:id="0">
    <w:p w14:paraId="4B0D0734" w14:textId="77777777" w:rsidR="00AF0885" w:rsidRDefault="00AF0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3CB8" w14:textId="77777777" w:rsidR="00325A1B" w:rsidRDefault="00AF0885">
    <w:pPr>
      <w:pBdr>
        <w:top w:val="single" w:sz="4" w:space="6" w:color="BFBFBF"/>
      </w:pBdr>
      <w:jc w:val="center"/>
    </w:pPr>
    <w:r>
      <w:rPr>
        <w:color w:val="595959"/>
        <w:sz w:val="16"/>
        <w:szCs w:val="16"/>
      </w:rPr>
      <w:t xml:space="preserve">Medical-LLM Inference Host Proposal   •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B2BD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16D9" w14:textId="77777777" w:rsidR="00AF0885" w:rsidRDefault="00AF0885">
      <w:r>
        <w:separator/>
      </w:r>
    </w:p>
  </w:footnote>
  <w:footnote w:type="continuationSeparator" w:id="0">
    <w:p w14:paraId="02E1B11C" w14:textId="77777777" w:rsidR="00AF0885" w:rsidRDefault="00AF08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94976"/>
    <w:multiLevelType w:val="hybridMultilevel"/>
    <w:tmpl w:val="F440D080"/>
    <w:lvl w:ilvl="0" w:tplc="36D2974E">
      <w:start w:val="1"/>
      <w:numFmt w:val="bullet"/>
      <w:lvlText w:val="●"/>
      <w:lvlJc w:val="left"/>
      <w:pPr>
        <w:ind w:left="720" w:hanging="360"/>
      </w:pPr>
    </w:lvl>
    <w:lvl w:ilvl="1" w:tplc="F2A0A53E">
      <w:start w:val="1"/>
      <w:numFmt w:val="bullet"/>
      <w:lvlText w:val="○"/>
      <w:lvlJc w:val="left"/>
      <w:pPr>
        <w:ind w:left="1440" w:hanging="360"/>
      </w:pPr>
    </w:lvl>
    <w:lvl w:ilvl="2" w:tplc="EDD46736">
      <w:start w:val="1"/>
      <w:numFmt w:val="bullet"/>
      <w:lvlText w:val="■"/>
      <w:lvlJc w:val="left"/>
      <w:pPr>
        <w:ind w:left="2160" w:hanging="360"/>
      </w:pPr>
    </w:lvl>
    <w:lvl w:ilvl="3" w:tplc="E848A6BE">
      <w:start w:val="1"/>
      <w:numFmt w:val="bullet"/>
      <w:lvlText w:val="●"/>
      <w:lvlJc w:val="left"/>
      <w:pPr>
        <w:ind w:left="2880" w:hanging="360"/>
      </w:pPr>
    </w:lvl>
    <w:lvl w:ilvl="4" w:tplc="53A66BC0">
      <w:start w:val="1"/>
      <w:numFmt w:val="bullet"/>
      <w:lvlText w:val="○"/>
      <w:lvlJc w:val="left"/>
      <w:pPr>
        <w:ind w:left="3600" w:hanging="360"/>
      </w:pPr>
    </w:lvl>
    <w:lvl w:ilvl="5" w:tplc="FB3CBB82">
      <w:start w:val="1"/>
      <w:numFmt w:val="bullet"/>
      <w:lvlText w:val="■"/>
      <w:lvlJc w:val="left"/>
      <w:pPr>
        <w:ind w:left="4320" w:hanging="360"/>
      </w:pPr>
    </w:lvl>
    <w:lvl w:ilvl="6" w:tplc="0958DBE6">
      <w:start w:val="1"/>
      <w:numFmt w:val="bullet"/>
      <w:lvlText w:val="●"/>
      <w:lvlJc w:val="left"/>
      <w:pPr>
        <w:ind w:left="5040" w:hanging="360"/>
      </w:pPr>
    </w:lvl>
    <w:lvl w:ilvl="7" w:tplc="AAC4A718">
      <w:start w:val="1"/>
      <w:numFmt w:val="bullet"/>
      <w:lvlText w:val="●"/>
      <w:lvlJc w:val="left"/>
      <w:pPr>
        <w:ind w:left="5760" w:hanging="360"/>
      </w:pPr>
    </w:lvl>
    <w:lvl w:ilvl="8" w:tplc="D14A8A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176536"/>
    <w:multiLevelType w:val="hybridMultilevel"/>
    <w:tmpl w:val="4B3A7E52"/>
    <w:lvl w:ilvl="0" w:tplc="9C584300">
      <w:start w:val="1"/>
      <w:numFmt w:val="bullet"/>
      <w:lvlText w:val="•"/>
      <w:lvlJc w:val="left"/>
      <w:pPr>
        <w:ind w:left="460" w:hanging="260"/>
      </w:pPr>
    </w:lvl>
    <w:lvl w:ilvl="1" w:tplc="E528F36C">
      <w:numFmt w:val="decimal"/>
      <w:lvlText w:val=""/>
      <w:lvlJc w:val="left"/>
    </w:lvl>
    <w:lvl w:ilvl="2" w:tplc="F782EF56">
      <w:numFmt w:val="decimal"/>
      <w:lvlText w:val=""/>
      <w:lvlJc w:val="left"/>
    </w:lvl>
    <w:lvl w:ilvl="3" w:tplc="43BAB42A">
      <w:numFmt w:val="decimal"/>
      <w:lvlText w:val=""/>
      <w:lvlJc w:val="left"/>
    </w:lvl>
    <w:lvl w:ilvl="4" w:tplc="1EB08E74">
      <w:numFmt w:val="decimal"/>
      <w:lvlText w:val=""/>
      <w:lvlJc w:val="left"/>
    </w:lvl>
    <w:lvl w:ilvl="5" w:tplc="78A6FC80">
      <w:numFmt w:val="decimal"/>
      <w:lvlText w:val=""/>
      <w:lvlJc w:val="left"/>
    </w:lvl>
    <w:lvl w:ilvl="6" w:tplc="584AA36E">
      <w:numFmt w:val="decimal"/>
      <w:lvlText w:val=""/>
      <w:lvlJc w:val="left"/>
    </w:lvl>
    <w:lvl w:ilvl="7" w:tplc="1F068CA8">
      <w:numFmt w:val="decimal"/>
      <w:lvlText w:val=""/>
      <w:lvlJc w:val="left"/>
    </w:lvl>
    <w:lvl w:ilvl="8" w:tplc="B38A314E">
      <w:numFmt w:val="decimal"/>
      <w:lvlText w:val=""/>
      <w:lvlJc w:val="left"/>
    </w:lvl>
  </w:abstractNum>
  <w:num w:numId="1" w16cid:durableId="1613825732">
    <w:abstractNumId w:val="0"/>
    <w:lvlOverride w:ilvl="0">
      <w:startOverride w:val="1"/>
    </w:lvlOverride>
  </w:num>
  <w:num w:numId="2" w16cid:durableId="1314605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A1B"/>
    <w:rsid w:val="00325A1B"/>
    <w:rsid w:val="00811C47"/>
    <w:rsid w:val="008B2BDF"/>
    <w:rsid w:val="00AF0885"/>
    <w:rsid w:val="00C4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CB535"/>
  <w15:docId w15:val="{D0E2D98A-D7E6-8541-B562-EC33477F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eepinfra.com/private-models/custom-ll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epinfra.com/pric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featherless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Inference Host Proposal — Medical-LLM Glioma Benchmark</vt:lpstr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Host Proposal — Medical-LLM Glioma Benchmark</dc:title>
  <dc:creator>BTReport_v2 / glioma classification pipeline</dc:creator>
  <cp:lastModifiedBy>Syed Muqeem  Mahmood</cp:lastModifiedBy>
  <cp:revision>3</cp:revision>
  <dcterms:created xsi:type="dcterms:W3CDTF">2026-06-05T06:33:00Z</dcterms:created>
  <dcterms:modified xsi:type="dcterms:W3CDTF">2026-06-05T11:49:00Z</dcterms:modified>
</cp:coreProperties>
</file>