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Calibri" w:cs="Calibri" w:eastAsia="Calibri" w:hAnsi="Calibri"/>
          <w:b/>
          <w:bCs/>
          <w:sz w:val="44"/>
          <w:szCs w:val="44"/>
        </w:rPr>
        <w:t xml:space="preserve">Transition Zone Thickness in Brain Gliomas</w:t>
      </w:r>
    </w:p>
    <w:p>
      <w:pPr>
        <w:spacing w:after="80"/>
        <w:jc w:val="center"/>
      </w:pPr>
      <w:r>
        <w:rPr>
          <w:rFonts w:ascii="Calibri" w:cs="Calibri" w:eastAsia="Calibri" w:hAnsi="Calibri"/>
          <w:i/>
          <w:iCs/>
          <w:color w:val="595959"/>
          <w:sz w:val="24"/>
          <w:szCs w:val="24"/>
        </w:rPr>
        <w:t xml:space="preserve">A technical conversation on definition, computation, and validation</w:t>
      </w:r>
    </w:p>
    <w:p>
      <w:pPr>
        <w:spacing w:after="360"/>
        <w:jc w:val="center"/>
      </w:pPr>
      <w:r>
        <w:rPr>
          <w:rFonts w:ascii="Calibri" w:cs="Calibri" w:eastAsia="Calibri" w:hAnsi="Calibri"/>
          <w:color w:val="808080"/>
          <w:sz w:val="20"/>
          <w:szCs w:val="20"/>
        </w:rPr>
        <w:t xml:space="preserve">Conversation transcript</w:t>
      </w:r>
    </w:p>
    <w:p>
      <w:pPr>
        <w:pBdr>
          <w:bottom w:val="single" w:color="2E75B6" w:sz="6" w:space="4"/>
        </w:pBdr>
        <w:spacing w:after="80" w:before="280"/>
      </w:pPr>
      <w:r>
        <w:rPr>
          <w:rFonts w:ascii="Calibri" w:cs="Calibri" w:eastAsia="Calibri" w:hAnsi="Calibri"/>
          <w:b/>
          <w:bCs/>
          <w:color w:val="2E75B6"/>
          <w:sz w:val="24"/>
          <w:szCs w:val="24"/>
        </w:rPr>
        <w:t xml:space="preserve">Question 1</w:t>
      </w:r>
    </w:p>
    <w:p>
      <w:pPr>
        <w:spacing w:after="120" w:line="300"/>
      </w:pPr>
      <w:r>
        <w:rPr>
          <w:rFonts w:ascii="Calibri" w:cs="Calibri" w:eastAsia="Calibri" w:hAnsi="Calibri"/>
          <w:sz w:val="22"/>
          <w:szCs w:val="22"/>
        </w:rPr>
        <w:t xml:space="preserve">What is transition zone thickness in brain gliomas?</w:t>
      </w:r>
    </w:p>
    <w:p>
      <w:pPr>
        <w:pBdr>
          <w:bottom w:val="single" w:color="70AD47" w:sz="6" w:space="4"/>
        </w:pBdr>
        <w:spacing w:after="80" w:before="280"/>
      </w:pPr>
      <w:r>
        <w:rPr>
          <w:rFonts w:ascii="Calibri" w:cs="Calibri" w:eastAsia="Calibri" w:hAnsi="Calibri"/>
          <w:b/>
          <w:bCs/>
          <w:color w:val="70AD47"/>
          <w:sz w:val="24"/>
          <w:szCs w:val="24"/>
        </w:rPr>
        <w:t xml:space="preserve">Claude</w:t>
      </w:r>
    </w:p>
    <w:p>
      <w:pPr>
        <w:spacing w:after="120" w:line="300"/>
      </w:pPr>
      <w:r>
        <w:rPr>
          <w:rFonts w:ascii="Calibri" w:cs="Calibri" w:eastAsia="Calibri" w:hAnsi="Calibri"/>
          <w:sz w:val="22"/>
          <w:szCs w:val="22"/>
        </w:rPr>
        <w:t xml:space="preserve">The transition zone in brain gliomas refers to the region between the tumor's solid, contrast-enhancing core and the surrounding normal-appearing brain tissue. It's essentially the infiltrative edge where tumor cells migrate into adjacent parenchyma but at lower densities than the main tumor mass.</w:t>
      </w:r>
    </w:p>
    <w:p>
      <w:pPr>
        <w:spacing w:after="120" w:line="300"/>
      </w:pPr>
      <w:r>
        <w:rPr>
          <w:rFonts w:ascii="Calibri" w:cs="Calibri" w:eastAsia="Calibri" w:hAnsi="Calibri"/>
          <w:sz w:val="22"/>
          <w:szCs w:val="22"/>
        </w:rPr>
        <w:t xml:space="preserve">Transition zone thickness is the measured width of this peritumoral infiltrative region, typically assessed on advanced MRI sequences. It matters clinically for several reasons:</w:t>
      </w:r>
    </w:p>
    <w:p>
      <w:pPr>
        <w:pStyle w:val="Heading3"/>
        <w:spacing w:after="100" w:before="220"/>
      </w:pPr>
      <w:r>
        <w:rPr>
          <w:rFonts w:ascii="Calibri" w:cs="Calibri" w:eastAsia="Calibri" w:hAnsi="Calibri"/>
          <w:b/>
          <w:bCs/>
          <w:sz w:val="24"/>
          <w:szCs w:val="24"/>
        </w:rPr>
        <w:t xml:space="preserve">Why it's measured</w:t>
      </w:r>
    </w:p>
    <w:p>
      <w:pPr>
        <w:spacing w:after="120" w:line="300"/>
      </w:pPr>
      <w:r>
        <w:rPr>
          <w:rFonts w:ascii="Calibri" w:cs="Calibri" w:eastAsia="Calibri" w:hAnsi="Calibri"/>
          <w:sz w:val="22"/>
          <w:szCs w:val="22"/>
        </w:rPr>
        <w:t xml:space="preserve">Gliomas, especially high-grade ones like glioblastoma, are diffusely infiltrative. Tumor cells extend well beyond what's visible on standard contrast-enhanced T1 imaging. The transition zone captures this "invisible" disease that conventional imaging underestimates.</w:t>
      </w:r>
    </w:p>
    <w:p>
      <w:pPr>
        <w:pStyle w:val="Heading3"/>
        <w:spacing w:after="100" w:before="220"/>
      </w:pPr>
      <w:r>
        <w:rPr>
          <w:rFonts w:ascii="Calibri" w:cs="Calibri" w:eastAsia="Calibri" w:hAnsi="Calibri"/>
          <w:b/>
          <w:bCs/>
          <w:sz w:val="24"/>
          <w:szCs w:val="24"/>
        </w:rPr>
        <w:t xml:space="preserve">How it's assessed</w:t>
      </w:r>
    </w:p>
    <w:p>
      <w:pPr>
        <w:pStyle w:val="ListParagraph"/>
        <w:numPr>
          <w:ilvl w:val="0"/>
          <w:numId w:val="2"/>
        </w:numPr>
        <w:spacing w:after="80" w:line="300"/>
      </w:pPr>
      <w:r>
        <w:rPr>
          <w:rFonts w:ascii="Calibri" w:cs="Calibri" w:eastAsia="Calibri" w:hAnsi="Calibri"/>
          <w:b/>
          <w:bCs/>
          <w:sz w:val="22"/>
          <w:szCs w:val="22"/>
        </w:rPr>
        <w:t xml:space="preserve">Diffusion tensor imaging (DTI)</w:t>
      </w:r>
      <w:r>
        <w:rPr>
          <w:rFonts w:ascii="Calibri" w:cs="Calibri" w:eastAsia="Calibri" w:hAnsi="Calibri"/>
          <w:sz w:val="22"/>
          <w:szCs w:val="22"/>
        </w:rPr>
        <w:t xml:space="preserve"> — fractional anisotropy and mean diffusivity changes can reveal infiltration in normal-appearing white matter</w:t>
      </w:r>
    </w:p>
    <w:p>
      <w:pPr>
        <w:pStyle w:val="ListParagraph"/>
        <w:numPr>
          <w:ilvl w:val="0"/>
          <w:numId w:val="2"/>
        </w:numPr>
        <w:spacing w:after="80" w:line="300"/>
      </w:pPr>
      <w:r>
        <w:rPr>
          <w:rFonts w:ascii="Calibri" w:cs="Calibri" w:eastAsia="Calibri" w:hAnsi="Calibri"/>
          <w:b/>
          <w:bCs/>
          <w:sz w:val="22"/>
          <w:szCs w:val="22"/>
        </w:rPr>
        <w:t xml:space="preserve">Perfusion MRI (DSC, DCE)</w:t>
      </w:r>
      <w:r>
        <w:rPr>
          <w:rFonts w:ascii="Calibri" w:cs="Calibri" w:eastAsia="Calibri" w:hAnsi="Calibri"/>
          <w:sz w:val="22"/>
          <w:szCs w:val="22"/>
        </w:rPr>
        <w:t xml:space="preserve"> — altered cerebral blood volume in peritumoral regions</w:t>
      </w:r>
    </w:p>
    <w:p>
      <w:pPr>
        <w:pStyle w:val="ListParagraph"/>
        <w:numPr>
          <w:ilvl w:val="0"/>
          <w:numId w:val="2"/>
        </w:numPr>
        <w:spacing w:after="80" w:line="300"/>
      </w:pPr>
      <w:r>
        <w:rPr>
          <w:rFonts w:ascii="Calibri" w:cs="Calibri" w:eastAsia="Calibri" w:hAnsi="Calibri"/>
          <w:b/>
          <w:bCs/>
          <w:sz w:val="22"/>
          <w:szCs w:val="22"/>
        </w:rPr>
        <w:t xml:space="preserve">MR spectroscopy</w:t>
      </w:r>
      <w:r>
        <w:rPr>
          <w:rFonts w:ascii="Calibri" w:cs="Calibri" w:eastAsia="Calibri" w:hAnsi="Calibri"/>
          <w:sz w:val="22"/>
          <w:szCs w:val="22"/>
        </w:rPr>
        <w:t xml:space="preserve"> — elevated choline/NAA ratios indicate tumor cell presence</w:t>
      </w:r>
    </w:p>
    <w:p>
      <w:pPr>
        <w:pStyle w:val="ListParagraph"/>
        <w:numPr>
          <w:ilvl w:val="0"/>
          <w:numId w:val="2"/>
        </w:numPr>
        <w:spacing w:after="80" w:line="300"/>
      </w:pPr>
      <w:r>
        <w:rPr>
          <w:rFonts w:ascii="Calibri" w:cs="Calibri" w:eastAsia="Calibri" w:hAnsi="Calibri"/>
          <w:b/>
          <w:bCs/>
          <w:sz w:val="22"/>
          <w:szCs w:val="22"/>
        </w:rPr>
        <w:t xml:space="preserve">FLAIR hyperintensity zones</w:t>
      </w:r>
      <w:r>
        <w:rPr>
          <w:rFonts w:ascii="Calibri" w:cs="Calibri" w:eastAsia="Calibri" w:hAnsi="Calibri"/>
          <w:sz w:val="22"/>
          <w:szCs w:val="22"/>
        </w:rPr>
        <w:t xml:space="preserve"> — though this mixes vasogenic edema with infiltration</w:t>
      </w:r>
    </w:p>
    <w:p>
      <w:pPr>
        <w:pStyle w:val="Heading3"/>
        <w:spacing w:after="100" w:before="220"/>
      </w:pPr>
      <w:r>
        <w:rPr>
          <w:rFonts w:ascii="Calibri" w:cs="Calibri" w:eastAsia="Calibri" w:hAnsi="Calibri"/>
          <w:b/>
          <w:bCs/>
          <w:sz w:val="24"/>
          <w:szCs w:val="24"/>
        </w:rPr>
        <w:t xml:space="preserve">Clinical significance</w:t>
      </w:r>
    </w:p>
    <w:p>
      <w:pPr>
        <w:spacing w:after="120" w:line="300"/>
      </w:pPr>
      <w:r>
        <w:rPr>
          <w:rFonts w:ascii="Calibri" w:cs="Calibri" w:eastAsia="Calibri" w:hAnsi="Calibri"/>
          <w:sz w:val="22"/>
          <w:szCs w:val="22"/>
        </w:rPr>
        <w:t xml:space="preserve">Thicker transition zones generally correlate with more aggressive infiltration and are seen more in glioblastomas (WHO grade 4) than in lower-grade gliomas or metastases. This distinction is actually one way radiologists differentiate gliomas from metastases — metastases tend to have sharper borders with minimal true infiltration, while gliomas show broader transition zones. The thickness can also inform surgical planning (extent of resection beyond enhancing margins) and radiation therapy target volumes.</w:t>
      </w:r>
    </w:p>
    <w:p>
      <w:pPr>
        <w:spacing w:after="120" w:line="300"/>
      </w:pPr>
      <w:r>
        <w:rPr>
          <w:rFonts w:ascii="Calibri" w:cs="Calibri" w:eastAsia="Calibri" w:hAnsi="Calibri"/>
          <w:sz w:val="22"/>
          <w:szCs w:val="22"/>
        </w:rPr>
        <w:t xml:space="preserve">There isn't a single universally accepted "normal" thickness measurement — it varies by tumor grade, location, and imaging technique used. Studies have reported transition zone widths ranging from a few millimeters to over a centimeter depending on the modality and tumor type.</w:t>
      </w:r>
    </w:p>
    <w:p>
      <w:pPr>
        <w:pBdr>
          <w:bottom w:val="single" w:color="2E75B6" w:sz="6" w:space="4"/>
        </w:pBdr>
        <w:spacing w:after="80" w:before="280"/>
      </w:pPr>
      <w:r>
        <w:rPr>
          <w:rFonts w:ascii="Calibri" w:cs="Calibri" w:eastAsia="Calibri" w:hAnsi="Calibri"/>
          <w:b/>
          <w:bCs/>
          <w:color w:val="2E75B6"/>
          <w:sz w:val="24"/>
          <w:szCs w:val="24"/>
        </w:rPr>
        <w:t xml:space="preserve">Question 2</w:t>
      </w:r>
    </w:p>
    <w:p>
      <w:pPr>
        <w:spacing w:after="120" w:line="300"/>
      </w:pPr>
      <w:r>
        <w:rPr>
          <w:rFonts w:ascii="Calibri" w:cs="Calibri" w:eastAsia="Calibri" w:hAnsi="Calibri"/>
          <w:sz w:val="22"/>
          <w:szCs w:val="22"/>
        </w:rPr>
        <w:t xml:space="preserve">I want to come up with a reliable python code to compute transition zone thickness in T1CE sequence. What is the most reliable logic to compute this metric?</w:t>
      </w:r>
    </w:p>
    <w:p>
      <w:pPr>
        <w:pBdr>
          <w:bottom w:val="single" w:color="70AD47" w:sz="6" w:space="4"/>
        </w:pBdr>
        <w:spacing w:after="80" w:before="280"/>
      </w:pPr>
      <w:r>
        <w:rPr>
          <w:rFonts w:ascii="Calibri" w:cs="Calibri" w:eastAsia="Calibri" w:hAnsi="Calibri"/>
          <w:b/>
          <w:bCs/>
          <w:color w:val="70AD47"/>
          <w:sz w:val="24"/>
          <w:szCs w:val="24"/>
        </w:rPr>
        <w:t xml:space="preserve">Claude</w:t>
      </w:r>
    </w:p>
    <w:p>
      <w:pPr>
        <w:spacing w:after="120" w:line="300"/>
      </w:pPr>
      <w:r>
        <w:rPr>
          <w:rFonts w:ascii="Calibri" w:cs="Calibri" w:eastAsia="Calibri" w:hAnsi="Calibri"/>
          <w:sz w:val="22"/>
          <w:szCs w:val="22"/>
        </w:rPr>
        <w:t xml:space="preserve">Computing transition zone thickness reliably requires careful thought because T1CE alone has limitations — the "transition zone" is fundamentally the region between the enhancing tumor core and the outer edge of abnormality, which on T1CE is bounded by the enhancing rim and the necrotic core (or non-enhancing tumor).</w:t>
      </w:r>
    </w:p>
    <w:p>
      <w:pPr>
        <w:pStyle w:val="Heading2"/>
        <w:spacing w:after="140" w:before="280"/>
      </w:pPr>
      <w:r>
        <w:rPr>
          <w:rFonts w:ascii="Calibri" w:cs="Calibri" w:eastAsia="Calibri" w:hAnsi="Calibri"/>
          <w:b/>
          <w:bCs/>
          <w:sz w:val="28"/>
          <w:szCs w:val="28"/>
        </w:rPr>
        <w:t xml:space="preserve">Conceptual Definition</w:t>
      </w:r>
    </w:p>
    <w:p>
      <w:pPr>
        <w:spacing w:after="120" w:line="300"/>
      </w:pPr>
      <w:r>
        <w:rPr>
          <w:rFonts w:ascii="Calibri" w:cs="Calibri" w:eastAsia="Calibri" w:hAnsi="Calibri"/>
          <w:sz w:val="22"/>
          <w:szCs w:val="22"/>
        </w:rPr>
        <w:t xml:space="preserve">On T1CE specifically, the transition zone is typically defined as the enhancing rim region — the shell of contrast-enhancing tissue between the necrotic/non-enhancing core and the outer tumor boundary. Its "thickness" is the radial distance across this shell.</w:t>
      </w:r>
    </w:p>
    <w:p>
      <w:pPr>
        <w:spacing w:after="120" w:line="300"/>
      </w:pPr>
      <w:r>
        <w:rPr>
          <w:rFonts w:ascii="Calibri" w:cs="Calibri" w:eastAsia="Calibri" w:hAnsi="Calibri"/>
          <w:sz w:val="22"/>
          <w:szCs w:val="22"/>
        </w:rPr>
        <w:t xml:space="preserve">For a more complete transition zone (including peritumoral infiltration), you'd need FLAIR co-registered with T1CE.</w:t>
      </w:r>
    </w:p>
    <w:p>
      <w:pPr>
        <w:pStyle w:val="Heading2"/>
        <w:spacing w:after="140" w:before="280"/>
      </w:pPr>
      <w:r>
        <w:rPr>
          <w:rFonts w:ascii="Calibri" w:cs="Calibri" w:eastAsia="Calibri" w:hAnsi="Calibri"/>
          <w:b/>
          <w:bCs/>
          <w:sz w:val="28"/>
          <w:szCs w:val="28"/>
        </w:rPr>
        <w:t xml:space="preserve">Most Reliable Logic: Distance Transform Approach</w:t>
      </w:r>
    </w:p>
    <w:p>
      <w:pPr>
        <w:spacing w:after="120" w:line="300"/>
      </w:pPr>
      <w:r>
        <w:rPr>
          <w:rFonts w:ascii="Calibri" w:cs="Calibri" w:eastAsia="Calibri" w:hAnsi="Calibri"/>
          <w:sz w:val="22"/>
          <w:szCs w:val="22"/>
        </w:rPr>
        <w:t xml:space="preserve">The gold-standard method uses morphological distance transforms rather than naive radial measurements, because gliomas are highly irregular in shape and simple radial distance fails badly.</w:t>
      </w:r>
    </w:p>
    <w:p>
      <w:pPr>
        <w:pStyle w:val="Heading3"/>
        <w:spacing w:after="100" w:before="220"/>
      </w:pPr>
      <w:r>
        <w:rPr>
          <w:rFonts w:ascii="Calibri" w:cs="Calibri" w:eastAsia="Calibri" w:hAnsi="Calibri"/>
          <w:b/>
          <w:bCs/>
          <w:sz w:val="24"/>
          <w:szCs w:val="24"/>
        </w:rPr>
        <w:t xml:space="preserve">Algorithm</w:t>
      </w:r>
    </w:p>
    <w:p>
      <w:pPr>
        <w:spacing w:after="0"/>
      </w:pPr>
      <w:r>
        <w:t xml:space="preserve"/>
      </w:r>
    </w:p>
    <w:p>
      <w:pPr>
        <w:shd w:fill="F4F4F4" w:val="clear"/>
        <w:spacing w:after="0" w:line="240"/>
      </w:pPr>
      <w:r>
        <w:rPr>
          <w:rFonts w:ascii="Consolas" w:cs="Consolas" w:eastAsia="Consolas" w:hAnsi="Consolas"/>
          <w:sz w:val="18"/>
          <w:szCs w:val="18"/>
        </w:rPr>
        <w:t xml:space="preserve">1. Segment three regions on T1CE:</w:t>
      </w:r>
    </w:p>
    <w:p>
      <w:pPr>
        <w:shd w:fill="F4F4F4" w:val="clear"/>
        <w:spacing w:after="0" w:line="240"/>
      </w:pPr>
      <w:r>
        <w:rPr>
          <w:rFonts w:ascii="Consolas" w:cs="Consolas" w:eastAsia="Consolas" w:hAnsi="Consolas"/>
          <w:sz w:val="18"/>
          <w:szCs w:val="18"/>
        </w:rPr>
        <w:t xml:space="preserve">   - Enhancing tumor (ET)</w:t>
      </w:r>
    </w:p>
    <w:p>
      <w:pPr>
        <w:shd w:fill="F4F4F4" w:val="clear"/>
        <w:spacing w:after="0" w:line="240"/>
      </w:pPr>
      <w:r>
        <w:rPr>
          <w:rFonts w:ascii="Consolas" w:cs="Consolas" w:eastAsia="Consolas" w:hAnsi="Consolas"/>
          <w:sz w:val="18"/>
          <w:szCs w:val="18"/>
        </w:rPr>
        <w:t xml:space="preserve">   - Necrotic/non-enhancing core (NCR)</w:t>
      </w:r>
    </w:p>
    <w:p>
      <w:pPr>
        <w:shd w:fill="F4F4F4" w:val="clear"/>
        <w:spacing w:after="0" w:line="240"/>
      </w:pPr>
      <w:r>
        <w:rPr>
          <w:rFonts w:ascii="Consolas" w:cs="Consolas" w:eastAsia="Consolas" w:hAnsi="Consolas"/>
          <w:sz w:val="18"/>
          <w:szCs w:val="18"/>
        </w:rPr>
        <w:t xml:space="preserve">   - Whole tumor outer boundary (if FLAIR available, else ET outer edge)</w:t>
      </w:r>
    </w:p>
    <w:p>
      <w:pPr>
        <w:shd w:fill="F4F4F4" w:val="clear"/>
        <w:spacing w:after="0" w:line="240"/>
      </w:pPr>
      <w:r>
        <w:rPr>
          <w:rFonts w:ascii="Consolas" w:cs="Consolas" w:eastAsia="Consolas" w:hAnsi="Consolas"/>
          <w:sz w:val="18"/>
          <w:szCs w:val="18"/>
        </w:rPr>
        <w:t xml:space="preserve"> </w:t>
      </w:r>
    </w:p>
    <w:p>
      <w:pPr>
        <w:shd w:fill="F4F4F4" w:val="clear"/>
        <w:spacing w:after="0" w:line="240"/>
      </w:pPr>
      <w:r>
        <w:rPr>
          <w:rFonts w:ascii="Consolas" w:cs="Consolas" w:eastAsia="Consolas" w:hAnsi="Consolas"/>
          <w:sz w:val="18"/>
          <w:szCs w:val="18"/>
        </w:rPr>
        <w:t xml:space="preserve">2. For each voxel in the enhancing rim:</w:t>
      </w:r>
    </w:p>
    <w:p>
      <w:pPr>
        <w:shd w:fill="F4F4F4" w:val="clear"/>
        <w:spacing w:after="0" w:line="240"/>
      </w:pPr>
      <w:r>
        <w:rPr>
          <w:rFonts w:ascii="Consolas" w:cs="Consolas" w:eastAsia="Consolas" w:hAnsi="Consolas"/>
          <w:sz w:val="18"/>
          <w:szCs w:val="18"/>
        </w:rPr>
        <w:t xml:space="preserve">   - Compute distance to inner boundary (necrotic core edge)</w:t>
      </w:r>
    </w:p>
    <w:p>
      <w:pPr>
        <w:shd w:fill="F4F4F4" w:val="clear"/>
        <w:spacing w:after="0" w:line="240"/>
      </w:pPr>
      <w:r>
        <w:rPr>
          <w:rFonts w:ascii="Consolas" w:cs="Consolas" w:eastAsia="Consolas" w:hAnsi="Consolas"/>
          <w:sz w:val="18"/>
          <w:szCs w:val="18"/>
        </w:rPr>
        <w:t xml:space="preserve">   - Compute distance to outer boundary (tumor outer edge)</w:t>
      </w:r>
    </w:p>
    <w:p>
      <w:pPr>
        <w:shd w:fill="F4F4F4" w:val="clear"/>
        <w:spacing w:after="0" w:line="240"/>
      </w:pPr>
      <w:r>
        <w:rPr>
          <w:rFonts w:ascii="Consolas" w:cs="Consolas" w:eastAsia="Consolas" w:hAnsi="Consolas"/>
          <w:sz w:val="18"/>
          <w:szCs w:val="18"/>
        </w:rPr>
        <w:t xml:space="preserve"> </w:t>
      </w:r>
    </w:p>
    <w:p>
      <w:pPr>
        <w:shd w:fill="F4F4F4" w:val="clear"/>
        <w:spacing w:after="0" w:line="240"/>
      </w:pPr>
      <w:r>
        <w:rPr>
          <w:rFonts w:ascii="Consolas" w:cs="Consolas" w:eastAsia="Consolas" w:hAnsi="Consolas"/>
          <w:sz w:val="18"/>
          <w:szCs w:val="18"/>
        </w:rPr>
        <w:t xml:space="preserve">3. Thickness at each voxel = inner_distance + outer_distance</w:t>
      </w:r>
    </w:p>
    <w:p>
      <w:pPr>
        <w:shd w:fill="F4F4F4" w:val="clear"/>
        <w:spacing w:after="0" w:line="240"/>
      </w:pPr>
      <w:r>
        <w:rPr>
          <w:rFonts w:ascii="Consolas" w:cs="Consolas" w:eastAsia="Consolas" w:hAnsi="Consolas"/>
          <w:sz w:val="18"/>
          <w:szCs w:val="18"/>
        </w:rPr>
        <w:t xml:space="preserve">   OR thickness = 2 × min(inner_distance, outer_distance) for local thickness</w:t>
      </w:r>
    </w:p>
    <w:p>
      <w:pPr>
        <w:shd w:fill="F4F4F4" w:val="clear"/>
        <w:spacing w:after="0" w:line="240"/>
      </w:pPr>
      <w:r>
        <w:rPr>
          <w:rFonts w:ascii="Consolas" w:cs="Consolas" w:eastAsia="Consolas" w:hAnsi="Consolas"/>
          <w:sz w:val="18"/>
          <w:szCs w:val="18"/>
        </w:rPr>
        <w:t xml:space="preserve"> </w:t>
      </w:r>
    </w:p>
    <w:p>
      <w:pPr>
        <w:shd w:fill="F4F4F4" w:val="clear"/>
        <w:spacing w:after="0" w:line="240"/>
      </w:pPr>
      <w:r>
        <w:rPr>
          <w:rFonts w:ascii="Consolas" w:cs="Consolas" w:eastAsia="Consolas" w:hAnsi="Consolas"/>
          <w:sz w:val="18"/>
          <w:szCs w:val="18"/>
        </w:rPr>
        <w:t xml:space="preserve">4. Aggregate: report mean, median, max, and std of thickness across the rim</w:t>
      </w:r>
    </w:p>
    <w:p>
      <w:pPr>
        <w:spacing w:after="120"/>
      </w:pPr>
      <w:r>
        <w:t xml:space="preserve"/>
      </w:r>
    </w:p>
    <w:p>
      <w:pPr>
        <w:pStyle w:val="Heading3"/>
        <w:spacing w:after="100" w:before="220"/>
      </w:pPr>
      <w:r>
        <w:rPr>
          <w:rFonts w:ascii="Calibri" w:cs="Calibri" w:eastAsia="Calibri" w:hAnsi="Calibri"/>
          <w:b/>
          <w:bCs/>
          <w:sz w:val="24"/>
          <w:szCs w:val="24"/>
        </w:rPr>
        <w:t xml:space="preserve">Why This Works</w:t>
      </w:r>
    </w:p>
    <w:p>
      <w:pPr>
        <w:spacing w:after="120" w:line="300"/>
      </w:pPr>
      <w:r>
        <w:rPr>
          <w:rFonts w:ascii="Calibri" w:cs="Calibri" w:eastAsia="Calibri" w:hAnsi="Calibri"/>
          <w:sz w:val="22"/>
          <w:szCs w:val="22"/>
        </w:rPr>
        <w:t xml:space="preserve">The local thickness definition (Hildebrand &amp; Rüegsegger, used widely in bone microarchitecture) is the diameter of the largest sphere that fits within the structure and contains the voxel. It handles irregular shapes correctly and is rotation-invariant.</w:t>
      </w:r>
    </w:p>
    <w:p>
      <w:pPr>
        <w:pStyle w:val="Heading2"/>
        <w:spacing w:after="140" w:before="280"/>
      </w:pPr>
      <w:r>
        <w:rPr>
          <w:rFonts w:ascii="Calibri" w:cs="Calibri" w:eastAsia="Calibri" w:hAnsi="Calibri"/>
          <w:b/>
          <w:bCs/>
          <w:sz w:val="28"/>
          <w:szCs w:val="28"/>
        </w:rPr>
        <w:t xml:space="preserve">Important Considerations for Reliability</w:t>
      </w:r>
    </w:p>
    <w:p>
      <w:pPr>
        <w:pStyle w:val="ListParagraph"/>
        <w:numPr>
          <w:ilvl w:val="0"/>
          <w:numId w:val="2"/>
        </w:numPr>
        <w:spacing w:after="80" w:line="300"/>
      </w:pPr>
      <w:r>
        <w:rPr>
          <w:rFonts w:ascii="Calibri" w:cs="Calibri" w:eastAsia="Calibri" w:hAnsi="Calibri"/>
          <w:b/>
          <w:bCs/>
          <w:sz w:val="22"/>
          <w:szCs w:val="22"/>
        </w:rPr>
        <w:t xml:space="preserve">Use FLAIR if available.</w:t>
      </w:r>
      <w:r>
        <w:rPr>
          <w:rFonts w:ascii="Calibri" w:cs="Calibri" w:eastAsia="Calibri" w:hAnsi="Calibri"/>
          <w:sz w:val="22"/>
          <w:szCs w:val="22"/>
        </w:rPr>
        <w:t xml:space="preserve"> Pure T1CE transition zone = enhancing rim only. The clinically meaningful transition zone (infiltration into edema) requires FLAIR.</w:t>
      </w:r>
    </w:p>
    <w:p>
      <w:pPr>
        <w:pStyle w:val="ListParagraph"/>
        <w:numPr>
          <w:ilvl w:val="0"/>
          <w:numId w:val="2"/>
        </w:numPr>
        <w:spacing w:after="80" w:line="300"/>
      </w:pPr>
      <w:r>
        <w:rPr>
          <w:rFonts w:ascii="Calibri" w:cs="Calibri" w:eastAsia="Calibri" w:hAnsi="Calibri"/>
          <w:b/>
          <w:bCs/>
          <w:sz w:val="22"/>
          <w:szCs w:val="22"/>
        </w:rPr>
        <w:t xml:space="preserve">Handle anisotropic voxels.</w:t>
      </w:r>
      <w:r>
        <w:rPr>
          <w:rFonts w:ascii="Calibri" w:cs="Calibri" w:eastAsia="Calibri" w:hAnsi="Calibri"/>
          <w:sz w:val="22"/>
          <w:szCs w:val="22"/>
        </w:rPr>
        <w:t xml:space="preserve"> Brain MRI typically has non-isotropic spacing (e.g., 1×1×3 mm). Always pass sampling=voxel_spacing or your measurements will be wrong.</w:t>
      </w:r>
    </w:p>
    <w:p>
      <w:pPr>
        <w:pStyle w:val="ListParagraph"/>
        <w:numPr>
          <w:ilvl w:val="0"/>
          <w:numId w:val="2"/>
        </w:numPr>
        <w:spacing w:after="80" w:line="300"/>
      </w:pPr>
      <w:r>
        <w:rPr>
          <w:rFonts w:ascii="Calibri" w:cs="Calibri" w:eastAsia="Calibri" w:hAnsi="Calibri"/>
          <w:b/>
          <w:bCs/>
          <w:sz w:val="22"/>
          <w:szCs w:val="22"/>
        </w:rPr>
        <w:t xml:space="preserve">Skeleton-based thickness for complex shapes.</w:t>
      </w:r>
      <w:r>
        <w:rPr>
          <w:rFonts w:ascii="Calibri" w:cs="Calibri" w:eastAsia="Calibri" w:hAnsi="Calibri"/>
          <w:sz w:val="22"/>
          <w:szCs w:val="22"/>
        </w:rPr>
        <w:t xml:space="preserve"> For irregular rims, consider computing thickness only along the medial axis.</w:t>
      </w:r>
    </w:p>
    <w:p>
      <w:pPr>
        <w:pStyle w:val="ListParagraph"/>
        <w:numPr>
          <w:ilvl w:val="0"/>
          <w:numId w:val="2"/>
        </w:numPr>
        <w:spacing w:after="80" w:line="300"/>
      </w:pPr>
      <w:r>
        <w:rPr>
          <w:rFonts w:ascii="Calibri" w:cs="Calibri" w:eastAsia="Calibri" w:hAnsi="Calibri"/>
          <w:b/>
          <w:bCs/>
          <w:sz w:val="22"/>
          <w:szCs w:val="22"/>
        </w:rPr>
        <w:t xml:space="preserve">Pre-processing matters.</w:t>
      </w:r>
      <w:r>
        <w:rPr>
          <w:rFonts w:ascii="Calibri" w:cs="Calibri" w:eastAsia="Calibri" w:hAnsi="Calibri"/>
          <w:sz w:val="22"/>
          <w:szCs w:val="22"/>
        </w:rPr>
        <w:t xml:space="preserve"> Smooth the segmentation with morphological closing before measurement.</w:t>
      </w:r>
    </w:p>
    <w:p>
      <w:pPr>
        <w:pStyle w:val="ListParagraph"/>
        <w:numPr>
          <w:ilvl w:val="0"/>
          <w:numId w:val="2"/>
        </w:numPr>
        <w:spacing w:after="80" w:line="300"/>
      </w:pPr>
      <w:r>
        <w:rPr>
          <w:rFonts w:ascii="Calibri" w:cs="Calibri" w:eastAsia="Calibri" w:hAnsi="Calibri"/>
          <w:b/>
          <w:bCs/>
          <w:sz w:val="22"/>
          <w:szCs w:val="22"/>
        </w:rPr>
        <w:t xml:space="preserve">Slice-wise vs 3D.</w:t>
      </w:r>
      <w:r>
        <w:rPr>
          <w:rFonts w:ascii="Calibri" w:cs="Calibri" w:eastAsia="Calibri" w:hAnsi="Calibri"/>
          <w:sz w:val="22"/>
          <w:szCs w:val="22"/>
        </w:rPr>
        <w:t xml:space="preserve"> Decide whether you want per-slice 2D thickness or true 3D thickness.</w:t>
      </w:r>
    </w:p>
    <w:p>
      <w:pPr>
        <w:pStyle w:val="ListParagraph"/>
        <w:numPr>
          <w:ilvl w:val="0"/>
          <w:numId w:val="2"/>
        </w:numPr>
        <w:spacing w:after="80" w:line="300"/>
      </w:pPr>
      <w:r>
        <w:rPr>
          <w:rFonts w:ascii="Calibri" w:cs="Calibri" w:eastAsia="Calibri" w:hAnsi="Calibri"/>
          <w:b/>
          <w:bCs/>
          <w:sz w:val="22"/>
          <w:szCs w:val="22"/>
        </w:rPr>
        <w:t xml:space="preserve">Segmentation quality is the bottleneck.</w:t>
      </w:r>
      <w:r>
        <w:rPr>
          <w:rFonts w:ascii="Calibri" w:cs="Calibri" w:eastAsia="Calibri" w:hAnsi="Calibri"/>
          <w:sz w:val="22"/>
          <w:szCs w:val="22"/>
        </w:rPr>
        <w:t xml:space="preserve"> Your thickness metric is only as good as your segmentation.</w:t>
      </w:r>
    </w:p>
    <w:p>
      <w:pPr>
        <w:pStyle w:val="Heading2"/>
        <w:spacing w:after="140" w:before="280"/>
      </w:pPr>
      <w:r>
        <w:rPr>
          <w:rFonts w:ascii="Calibri" w:cs="Calibri" w:eastAsia="Calibri" w:hAnsi="Calibri"/>
          <w:b/>
          <w:bCs/>
          <w:sz w:val="28"/>
          <w:szCs w:val="28"/>
        </w:rPr>
        <w:t xml:space="preserve">Recommended Pipeline</w:t>
      </w:r>
    </w:p>
    <w:p>
      <w:pPr>
        <w:pStyle w:val="ListParagraph"/>
        <w:numPr>
          <w:ilvl w:val="0"/>
          <w:numId w:val="2"/>
        </w:numPr>
        <w:spacing w:after="80" w:line="300"/>
      </w:pPr>
      <w:r>
        <w:rPr>
          <w:rFonts w:ascii="Calibri" w:cs="Calibri" w:eastAsia="Calibri" w:hAnsi="Calibri"/>
          <w:sz w:val="22"/>
          <w:szCs w:val="22"/>
        </w:rPr>
        <w:t xml:space="preserve">Skull-strip (HD-BET or SynthStrip)</w:t>
      </w:r>
    </w:p>
    <w:p>
      <w:pPr>
        <w:pStyle w:val="ListParagraph"/>
        <w:numPr>
          <w:ilvl w:val="0"/>
          <w:numId w:val="2"/>
        </w:numPr>
        <w:spacing w:after="80" w:line="300"/>
      </w:pPr>
      <w:r>
        <w:rPr>
          <w:rFonts w:ascii="Calibri" w:cs="Calibri" w:eastAsia="Calibri" w:hAnsi="Calibri"/>
          <w:sz w:val="22"/>
          <w:szCs w:val="22"/>
        </w:rPr>
        <w:t xml:space="preserve">Bias field correction (N4ITK)</w:t>
      </w:r>
    </w:p>
    <w:p>
      <w:pPr>
        <w:pStyle w:val="ListParagraph"/>
        <w:numPr>
          <w:ilvl w:val="0"/>
          <w:numId w:val="2"/>
        </w:numPr>
        <w:spacing w:after="80" w:line="300"/>
      </w:pPr>
      <w:r>
        <w:rPr>
          <w:rFonts w:ascii="Calibri" w:cs="Calibri" w:eastAsia="Calibri" w:hAnsi="Calibri"/>
          <w:sz w:val="22"/>
          <w:szCs w:val="22"/>
        </w:rPr>
        <w:t xml:space="preserve">Co-register T1CE and FLAIR if using both</w:t>
      </w:r>
    </w:p>
    <w:p>
      <w:pPr>
        <w:pStyle w:val="ListParagraph"/>
        <w:numPr>
          <w:ilvl w:val="0"/>
          <w:numId w:val="2"/>
        </w:numPr>
        <w:spacing w:after="80" w:line="300"/>
      </w:pPr>
      <w:r>
        <w:rPr>
          <w:rFonts w:ascii="Calibri" w:cs="Calibri" w:eastAsia="Calibri" w:hAnsi="Calibri"/>
          <w:sz w:val="22"/>
          <w:szCs w:val="22"/>
        </w:rPr>
        <w:t xml:space="preserve">Segment with a validated model (nnU-Net BraTS)</w:t>
      </w:r>
    </w:p>
    <w:p>
      <w:pPr>
        <w:pStyle w:val="ListParagraph"/>
        <w:numPr>
          <w:ilvl w:val="0"/>
          <w:numId w:val="2"/>
        </w:numPr>
        <w:spacing w:after="80" w:line="300"/>
      </w:pPr>
      <w:r>
        <w:rPr>
          <w:rFonts w:ascii="Calibri" w:cs="Calibri" w:eastAsia="Calibri" w:hAnsi="Calibri"/>
          <w:sz w:val="22"/>
          <w:szCs w:val="22"/>
        </w:rPr>
        <w:t xml:space="preserve">Post-process segmentation (remove small components, morphological closing)</w:t>
      </w:r>
    </w:p>
    <w:p>
      <w:pPr>
        <w:pStyle w:val="ListParagraph"/>
        <w:numPr>
          <w:ilvl w:val="0"/>
          <w:numId w:val="2"/>
        </w:numPr>
        <w:spacing w:after="80" w:line="300"/>
      </w:pPr>
      <w:r>
        <w:rPr>
          <w:rFonts w:ascii="Calibri" w:cs="Calibri" w:eastAsia="Calibri" w:hAnsi="Calibri"/>
          <w:sz w:val="22"/>
          <w:szCs w:val="22"/>
        </w:rPr>
        <w:t xml:space="preserve">Compute thickness using local thickness algorithm with proper voxel spacing</w:t>
      </w:r>
    </w:p>
    <w:p>
      <w:pPr>
        <w:pStyle w:val="ListParagraph"/>
        <w:numPr>
          <w:ilvl w:val="0"/>
          <w:numId w:val="2"/>
        </w:numPr>
        <w:spacing w:after="80" w:line="300"/>
      </w:pPr>
      <w:r>
        <w:rPr>
          <w:rFonts w:ascii="Calibri" w:cs="Calibri" w:eastAsia="Calibri" w:hAnsi="Calibri"/>
          <w:sz w:val="22"/>
          <w:szCs w:val="22"/>
        </w:rPr>
        <w:t xml:space="preserve">Report distribution statistics, not just mean</w:t>
      </w:r>
    </w:p>
    <w:p>
      <w:pPr>
        <w:pBdr>
          <w:bottom w:val="single" w:color="2E75B6" w:sz="6" w:space="4"/>
        </w:pBdr>
        <w:spacing w:after="80" w:before="280"/>
      </w:pPr>
      <w:r>
        <w:rPr>
          <w:rFonts w:ascii="Calibri" w:cs="Calibri" w:eastAsia="Calibri" w:hAnsi="Calibri"/>
          <w:b/>
          <w:bCs/>
          <w:color w:val="2E75B6"/>
          <w:sz w:val="24"/>
          <w:szCs w:val="24"/>
        </w:rPr>
        <w:t xml:space="preserve">Question 3</w:t>
      </w:r>
    </w:p>
    <w:p>
      <w:pPr>
        <w:spacing w:after="120" w:line="300"/>
      </w:pPr>
      <w:r>
        <w:rPr>
          <w:rFonts w:ascii="Calibri" w:cs="Calibri" w:eastAsia="Calibri" w:hAnsi="Calibri"/>
          <w:sz w:val="22"/>
          <w:szCs w:val="22"/>
        </w:rPr>
        <w:t xml:space="preserve">I already have the segmentation masks for ET, NCR and WT. Simplify your code accordingly</w:t>
      </w:r>
    </w:p>
    <w:p>
      <w:pPr>
        <w:pBdr>
          <w:bottom w:val="single" w:color="70AD47" w:sz="6" w:space="4"/>
        </w:pBdr>
        <w:spacing w:after="80" w:before="280"/>
      </w:pPr>
      <w:r>
        <w:rPr>
          <w:rFonts w:ascii="Calibri" w:cs="Calibri" w:eastAsia="Calibri" w:hAnsi="Calibri"/>
          <w:b/>
          <w:bCs/>
          <w:color w:val="70AD47"/>
          <w:sz w:val="24"/>
          <w:szCs w:val="24"/>
        </w:rPr>
        <w:t xml:space="preserve">Claude</w:t>
      </w:r>
    </w:p>
    <w:p>
      <w:pPr>
        <w:spacing w:after="120" w:line="300"/>
      </w:pPr>
      <w:r>
        <w:rPr>
          <w:rFonts w:ascii="Calibri" w:cs="Calibri" w:eastAsia="Calibri" w:hAnsi="Calibri"/>
          <w:sz w:val="22"/>
          <w:szCs w:val="22"/>
        </w:rPr>
        <w:t xml:space="preserve">With segmentations already in hand, the logic becomes much cleaner.</w:t>
      </w:r>
    </w:p>
    <w:p>
      <w:pPr>
        <w:pStyle w:val="Heading2"/>
        <w:spacing w:after="140" w:before="280"/>
      </w:pPr>
      <w:r>
        <w:rPr>
          <w:rFonts w:ascii="Calibri" w:cs="Calibri" w:eastAsia="Calibri" w:hAnsi="Calibri"/>
          <w:b/>
          <w:bCs/>
          <w:sz w:val="28"/>
          <w:szCs w:val="28"/>
        </w:rPr>
        <w:t xml:space="preserve">Definition (T1CE-based)</w:t>
      </w:r>
    </w:p>
    <w:p>
      <w:pPr>
        <w:spacing w:after="120" w:line="300"/>
      </w:pPr>
      <w:r>
        <w:rPr>
          <w:rFonts w:ascii="Calibri" w:cs="Calibri" w:eastAsia="Calibri" w:hAnsi="Calibri"/>
          <w:sz w:val="22"/>
          <w:szCs w:val="22"/>
        </w:rPr>
        <w:t xml:space="preserve">With ET, NCR, and WT masks available, the transition zone is most rigorously defined as: </w:t>
      </w:r>
      <w:r>
        <w:rPr>
          <w:rFonts w:ascii="Calibri" w:cs="Calibri" w:eastAsia="Calibri" w:hAnsi="Calibri"/>
          <w:b/>
          <w:bCs/>
          <w:sz w:val="22"/>
          <w:szCs w:val="22"/>
        </w:rPr>
        <w:t xml:space="preserve">Transition Zone = WT − (ET ∪ NCR)</w:t>
      </w:r>
    </w:p>
    <w:p>
      <w:pPr>
        <w:spacing w:after="120" w:line="300"/>
      </w:pPr>
      <w:r>
        <w:rPr>
          <w:rFonts w:ascii="Calibri" w:cs="Calibri" w:eastAsia="Calibri" w:hAnsi="Calibri"/>
          <w:sz w:val="22"/>
          <w:szCs w:val="22"/>
        </w:rPr>
        <w:t xml:space="preserve">This is the non-enhancing, non-necrotic peritumoral region — the infiltrative shell. Its thickness is the radial distance across this shell at each point.</w:t>
      </w:r>
    </w:p>
    <w:p>
      <w:pPr>
        <w:pStyle w:val="Heading2"/>
        <w:spacing w:after="140" w:before="280"/>
      </w:pPr>
      <w:r>
        <w:rPr>
          <w:rFonts w:ascii="Calibri" w:cs="Calibri" w:eastAsia="Calibri" w:hAnsi="Calibri"/>
          <w:b/>
          <w:bCs/>
          <w:sz w:val="28"/>
          <w:szCs w:val="28"/>
        </w:rPr>
        <w:t xml:space="preserve">Implementation</w:t>
      </w:r>
    </w:p>
    <w:p>
      <w:pPr>
        <w:spacing w:after="0"/>
      </w:pPr>
      <w:r>
        <w:t xml:space="preserve"/>
      </w:r>
    </w:p>
    <w:p>
      <w:pPr>
        <w:shd w:fill="F4F4F4" w:val="clear"/>
        <w:spacing w:after="0" w:line="240"/>
      </w:pPr>
      <w:r>
        <w:rPr>
          <w:rFonts w:ascii="Consolas" w:cs="Consolas" w:eastAsia="Consolas" w:hAnsi="Consolas"/>
          <w:sz w:val="18"/>
          <w:szCs w:val="18"/>
        </w:rPr>
        <w:t xml:space="preserve">import numpy as np</w:t>
      </w:r>
    </w:p>
    <w:p>
      <w:pPr>
        <w:shd w:fill="F4F4F4" w:val="clear"/>
        <w:spacing w:after="0" w:line="240"/>
      </w:pPr>
      <w:r>
        <w:rPr>
          <w:rFonts w:ascii="Consolas" w:cs="Consolas" w:eastAsia="Consolas" w:hAnsi="Consolas"/>
          <w:sz w:val="18"/>
          <w:szCs w:val="18"/>
        </w:rPr>
        <w:t xml:space="preserve">import nibabel as nib</w:t>
      </w:r>
    </w:p>
    <w:p>
      <w:pPr>
        <w:shd w:fill="F4F4F4" w:val="clear"/>
        <w:spacing w:after="0" w:line="240"/>
      </w:pPr>
      <w:r>
        <w:rPr>
          <w:rFonts w:ascii="Consolas" w:cs="Consolas" w:eastAsia="Consolas" w:hAnsi="Consolas"/>
          <w:sz w:val="18"/>
          <w:szCs w:val="18"/>
        </w:rPr>
        <w:t xml:space="preserve">from scipy import ndimage</w:t>
      </w:r>
    </w:p>
    <w:p>
      <w:pPr>
        <w:shd w:fill="F4F4F4" w:val="clear"/>
        <w:spacing w:after="0" w:line="240"/>
      </w:pPr>
      <w:r>
        <w:rPr>
          <w:rFonts w:ascii="Consolas" w:cs="Consolas" w:eastAsia="Consolas" w:hAnsi="Consolas"/>
          <w:sz w:val="18"/>
          <w:szCs w:val="18"/>
        </w:rPr>
        <w:t xml:space="preserve"> </w:t>
      </w:r>
    </w:p>
    <w:p>
      <w:pPr>
        <w:shd w:fill="F4F4F4" w:val="clear"/>
        <w:spacing w:after="0" w:line="240"/>
      </w:pPr>
      <w:r>
        <w:rPr>
          <w:rFonts w:ascii="Consolas" w:cs="Consolas" w:eastAsia="Consolas" w:hAnsi="Consolas"/>
          <w:sz w:val="18"/>
          <w:szCs w:val="18"/>
        </w:rPr>
        <w:t xml:space="preserve"> </w:t>
      </w:r>
    </w:p>
    <w:p>
      <w:pPr>
        <w:shd w:fill="F4F4F4" w:val="clear"/>
        <w:spacing w:after="0" w:line="240"/>
      </w:pPr>
      <w:r>
        <w:rPr>
          <w:rFonts w:ascii="Consolas" w:cs="Consolas" w:eastAsia="Consolas" w:hAnsi="Consolas"/>
          <w:sz w:val="18"/>
          <w:szCs w:val="18"/>
        </w:rPr>
        <w:t xml:space="preserve">def compute_thickness_metrics(mask, voxel_spacing):</w:t>
      </w:r>
    </w:p>
    <w:p>
      <w:pPr>
        <w:shd w:fill="F4F4F4" w:val="clear"/>
        <w:spacing w:after="0" w:line="240"/>
      </w:pPr>
      <w:r>
        <w:rPr>
          <w:rFonts w:ascii="Consolas" w:cs="Consolas" w:eastAsia="Consolas" w:hAnsi="Consolas"/>
          <w:sz w:val="18"/>
          <w:szCs w:val="18"/>
        </w:rPr>
        <w:t xml:space="preserve">    """</w:t>
      </w:r>
    </w:p>
    <w:p>
      <w:pPr>
        <w:shd w:fill="F4F4F4" w:val="clear"/>
        <w:spacing w:after="0" w:line="240"/>
      </w:pPr>
      <w:r>
        <w:rPr>
          <w:rFonts w:ascii="Consolas" w:cs="Consolas" w:eastAsia="Consolas" w:hAnsi="Consolas"/>
          <w:sz w:val="18"/>
          <w:szCs w:val="18"/>
        </w:rPr>
        <w:t xml:space="preserve">    Compute local thickness of a binary shell/region using the</w:t>
      </w:r>
    </w:p>
    <w:p>
      <w:pPr>
        <w:shd w:fill="F4F4F4" w:val="clear"/>
        <w:spacing w:after="0" w:line="240"/>
      </w:pPr>
      <w:r>
        <w:rPr>
          <w:rFonts w:ascii="Consolas" w:cs="Consolas" w:eastAsia="Consolas" w:hAnsi="Consolas"/>
          <w:sz w:val="18"/>
          <w:szCs w:val="18"/>
        </w:rPr>
        <w:t xml:space="preserve">    distance transform method.</w:t>
      </w:r>
    </w:p>
    <w:p>
      <w:pPr>
        <w:shd w:fill="F4F4F4" w:val="clear"/>
        <w:spacing w:after="0" w:line="240"/>
      </w:pPr>
      <w:r>
        <w:rPr>
          <w:rFonts w:ascii="Consolas" w:cs="Consolas" w:eastAsia="Consolas" w:hAnsi="Consolas"/>
          <w:sz w:val="18"/>
          <w:szCs w:val="18"/>
        </w:rPr>
        <w:t xml:space="preserve"> </w:t>
      </w:r>
    </w:p>
    <w:p>
      <w:pPr>
        <w:shd w:fill="F4F4F4" w:val="clear"/>
        <w:spacing w:after="0" w:line="240"/>
      </w:pPr>
      <w:r>
        <w:rPr>
          <w:rFonts w:ascii="Consolas" w:cs="Consolas" w:eastAsia="Consolas" w:hAnsi="Consolas"/>
          <w:sz w:val="18"/>
          <w:szCs w:val="18"/>
        </w:rPr>
        <w:t xml:space="preserve">    Thickness at each voxel = 2 × distance to nearest boundary,</w:t>
      </w:r>
    </w:p>
    <w:p>
      <w:pPr>
        <w:shd w:fill="F4F4F4" w:val="clear"/>
        <w:spacing w:after="0" w:line="240"/>
      </w:pPr>
      <w:r>
        <w:rPr>
          <w:rFonts w:ascii="Consolas" w:cs="Consolas" w:eastAsia="Consolas" w:hAnsi="Consolas"/>
          <w:sz w:val="18"/>
          <w:szCs w:val="18"/>
        </w:rPr>
        <w:t xml:space="preserve">    which equals the diameter of the largest inscribed sphere.</w:t>
      </w:r>
    </w:p>
    <w:p>
      <w:pPr>
        <w:shd w:fill="F4F4F4" w:val="clear"/>
        <w:spacing w:after="0" w:line="240"/>
      </w:pPr>
      <w:r>
        <w:rPr>
          <w:rFonts w:ascii="Consolas" w:cs="Consolas" w:eastAsia="Consolas" w:hAnsi="Consolas"/>
          <w:sz w:val="18"/>
          <w:szCs w:val="18"/>
        </w:rPr>
        <w:t xml:space="preserve">    """</w:t>
      </w:r>
    </w:p>
    <w:p>
      <w:pPr>
        <w:shd w:fill="F4F4F4" w:val="clear"/>
        <w:spacing w:after="0" w:line="240"/>
      </w:pPr>
      <w:r>
        <w:rPr>
          <w:rFonts w:ascii="Consolas" w:cs="Consolas" w:eastAsia="Consolas" w:hAnsi="Consolas"/>
          <w:sz w:val="18"/>
          <w:szCs w:val="18"/>
        </w:rPr>
        <w:t xml:space="preserve">    if not mask.any():</w:t>
      </w:r>
    </w:p>
    <w:p>
      <w:pPr>
        <w:shd w:fill="F4F4F4" w:val="clear"/>
        <w:spacing w:after="0" w:line="240"/>
      </w:pPr>
      <w:r>
        <w:rPr>
          <w:rFonts w:ascii="Consolas" w:cs="Consolas" w:eastAsia="Consolas" w:hAnsi="Consolas"/>
          <w:sz w:val="18"/>
          <w:szCs w:val="18"/>
        </w:rPr>
        <w:t xml:space="preserve">        return None, None</w:t>
      </w:r>
    </w:p>
    <w:p>
      <w:pPr>
        <w:shd w:fill="F4F4F4" w:val="clear"/>
        <w:spacing w:after="0" w:line="240"/>
      </w:pPr>
      <w:r>
        <w:rPr>
          <w:rFonts w:ascii="Consolas" w:cs="Consolas" w:eastAsia="Consolas" w:hAnsi="Consolas"/>
          <w:sz w:val="18"/>
          <w:szCs w:val="18"/>
        </w:rPr>
        <w:t xml:space="preserve"> </w:t>
      </w:r>
    </w:p>
    <w:p>
      <w:pPr>
        <w:shd w:fill="F4F4F4" w:val="clear"/>
        <w:spacing w:after="0" w:line="240"/>
      </w:pPr>
      <w:r>
        <w:rPr>
          <w:rFonts w:ascii="Consolas" w:cs="Consolas" w:eastAsia="Consolas" w:hAnsi="Consolas"/>
          <w:sz w:val="18"/>
          <w:szCs w:val="18"/>
        </w:rPr>
        <w:t xml:space="preserve">    # Distance from each interior voxel to the nearest boundary</w:t>
      </w:r>
    </w:p>
    <w:p>
      <w:pPr>
        <w:shd w:fill="F4F4F4" w:val="clear"/>
        <w:spacing w:after="0" w:line="240"/>
      </w:pPr>
      <w:r>
        <w:rPr>
          <w:rFonts w:ascii="Consolas" w:cs="Consolas" w:eastAsia="Consolas" w:hAnsi="Consolas"/>
          <w:sz w:val="18"/>
          <w:szCs w:val="18"/>
        </w:rPr>
        <w:t xml:space="preserve">    dist = ndimage.distance_transform_edt(mask, sampling=voxel_spacing)</w:t>
      </w:r>
    </w:p>
    <w:p>
      <w:pPr>
        <w:shd w:fill="F4F4F4" w:val="clear"/>
        <w:spacing w:after="0" w:line="240"/>
      </w:pPr>
      <w:r>
        <w:rPr>
          <w:rFonts w:ascii="Consolas" w:cs="Consolas" w:eastAsia="Consolas" w:hAnsi="Consolas"/>
          <w:sz w:val="18"/>
          <w:szCs w:val="18"/>
        </w:rPr>
        <w:t xml:space="preserve"> </w:t>
      </w:r>
    </w:p>
    <w:p>
      <w:pPr>
        <w:shd w:fill="F4F4F4" w:val="clear"/>
        <w:spacing w:after="0" w:line="240"/>
      </w:pPr>
      <w:r>
        <w:rPr>
          <w:rFonts w:ascii="Consolas" w:cs="Consolas" w:eastAsia="Consolas" w:hAnsi="Consolas"/>
          <w:sz w:val="18"/>
          <w:szCs w:val="18"/>
        </w:rPr>
        <w:t xml:space="preserve">    # Local thickness map (diameter, in mm)</w:t>
      </w:r>
    </w:p>
    <w:p>
      <w:pPr>
        <w:shd w:fill="F4F4F4" w:val="clear"/>
        <w:spacing w:after="0" w:line="240"/>
      </w:pPr>
      <w:r>
        <w:rPr>
          <w:rFonts w:ascii="Consolas" w:cs="Consolas" w:eastAsia="Consolas" w:hAnsi="Consolas"/>
          <w:sz w:val="18"/>
          <w:szCs w:val="18"/>
        </w:rPr>
        <w:t xml:space="preserve">    thickness_map = 2.0 * dist</w:t>
      </w:r>
    </w:p>
    <w:p>
      <w:pPr>
        <w:shd w:fill="F4F4F4" w:val="clear"/>
        <w:spacing w:after="0" w:line="240"/>
      </w:pPr>
      <w:r>
        <w:rPr>
          <w:rFonts w:ascii="Consolas" w:cs="Consolas" w:eastAsia="Consolas" w:hAnsi="Consolas"/>
          <w:sz w:val="18"/>
          <w:szCs w:val="18"/>
        </w:rPr>
        <w:t xml:space="preserve"> </w:t>
      </w:r>
    </w:p>
    <w:p>
      <w:pPr>
        <w:shd w:fill="F4F4F4" w:val="clear"/>
        <w:spacing w:after="0" w:line="240"/>
      </w:pPr>
      <w:r>
        <w:rPr>
          <w:rFonts w:ascii="Consolas" w:cs="Consolas" w:eastAsia="Consolas" w:hAnsi="Consolas"/>
          <w:sz w:val="18"/>
          <w:szCs w:val="18"/>
        </w:rPr>
        <w:t xml:space="preserve">    values = thickness_map[mask]</w:t>
      </w:r>
    </w:p>
    <w:p>
      <w:pPr>
        <w:shd w:fill="F4F4F4" w:val="clear"/>
        <w:spacing w:after="0" w:line="240"/>
      </w:pPr>
      <w:r>
        <w:rPr>
          <w:rFonts w:ascii="Consolas" w:cs="Consolas" w:eastAsia="Consolas" w:hAnsi="Consolas"/>
          <w:sz w:val="18"/>
          <w:szCs w:val="18"/>
        </w:rPr>
        <w:t xml:space="preserve"> </w:t>
      </w:r>
    </w:p>
    <w:p>
      <w:pPr>
        <w:shd w:fill="F4F4F4" w:val="clear"/>
        <w:spacing w:after="0" w:line="240"/>
      </w:pPr>
      <w:r>
        <w:rPr>
          <w:rFonts w:ascii="Consolas" w:cs="Consolas" w:eastAsia="Consolas" w:hAnsi="Consolas"/>
          <w:sz w:val="18"/>
          <w:szCs w:val="18"/>
        </w:rPr>
        <w:t xml:space="preserve">    metrics = {</w:t>
      </w:r>
    </w:p>
    <w:p>
      <w:pPr>
        <w:shd w:fill="F4F4F4" w:val="clear"/>
        <w:spacing w:after="0" w:line="240"/>
      </w:pPr>
      <w:r>
        <w:rPr>
          <w:rFonts w:ascii="Consolas" w:cs="Consolas" w:eastAsia="Consolas" w:hAnsi="Consolas"/>
          <w:sz w:val="18"/>
          <w:szCs w:val="18"/>
        </w:rPr>
        <w:t xml:space="preserve">        'mean_mm':   float(np.mean(values)),</w:t>
      </w:r>
    </w:p>
    <w:p>
      <w:pPr>
        <w:shd w:fill="F4F4F4" w:val="clear"/>
        <w:spacing w:after="0" w:line="240"/>
      </w:pPr>
      <w:r>
        <w:rPr>
          <w:rFonts w:ascii="Consolas" w:cs="Consolas" w:eastAsia="Consolas" w:hAnsi="Consolas"/>
          <w:sz w:val="18"/>
          <w:szCs w:val="18"/>
        </w:rPr>
        <w:t xml:space="preserve">        'median_mm': float(np.median(values)),</w:t>
      </w:r>
    </w:p>
    <w:p>
      <w:pPr>
        <w:shd w:fill="F4F4F4" w:val="clear"/>
        <w:spacing w:after="0" w:line="240"/>
      </w:pPr>
      <w:r>
        <w:rPr>
          <w:rFonts w:ascii="Consolas" w:cs="Consolas" w:eastAsia="Consolas" w:hAnsi="Consolas"/>
          <w:sz w:val="18"/>
          <w:szCs w:val="18"/>
        </w:rPr>
        <w:t xml:space="preserve">        'std_mm':    float(np.std(values)),</w:t>
      </w:r>
    </w:p>
    <w:p>
      <w:pPr>
        <w:shd w:fill="F4F4F4" w:val="clear"/>
        <w:spacing w:after="0" w:line="240"/>
      </w:pPr>
      <w:r>
        <w:rPr>
          <w:rFonts w:ascii="Consolas" w:cs="Consolas" w:eastAsia="Consolas" w:hAnsi="Consolas"/>
          <w:sz w:val="18"/>
          <w:szCs w:val="18"/>
        </w:rPr>
        <w:t xml:space="preserve">        'min_mm':    float(np.min(values)),</w:t>
      </w:r>
    </w:p>
    <w:p>
      <w:pPr>
        <w:shd w:fill="F4F4F4" w:val="clear"/>
        <w:spacing w:after="0" w:line="240"/>
      </w:pPr>
      <w:r>
        <w:rPr>
          <w:rFonts w:ascii="Consolas" w:cs="Consolas" w:eastAsia="Consolas" w:hAnsi="Consolas"/>
          <w:sz w:val="18"/>
          <w:szCs w:val="18"/>
        </w:rPr>
        <w:t xml:space="preserve">        'max_mm':    float(np.max(values)),</w:t>
      </w:r>
    </w:p>
    <w:p>
      <w:pPr>
        <w:shd w:fill="F4F4F4" w:val="clear"/>
        <w:spacing w:after="0" w:line="240"/>
      </w:pPr>
      <w:r>
        <w:rPr>
          <w:rFonts w:ascii="Consolas" w:cs="Consolas" w:eastAsia="Consolas" w:hAnsi="Consolas"/>
          <w:sz w:val="18"/>
          <w:szCs w:val="18"/>
        </w:rPr>
        <w:t xml:space="preserve">        'p95_mm':    float(np.percentile(values, 95)),</w:t>
      </w:r>
    </w:p>
    <w:p>
      <w:pPr>
        <w:shd w:fill="F4F4F4" w:val="clear"/>
        <w:spacing w:after="0" w:line="240"/>
      </w:pPr>
      <w:r>
        <w:rPr>
          <w:rFonts w:ascii="Consolas" w:cs="Consolas" w:eastAsia="Consolas" w:hAnsi="Consolas"/>
          <w:sz w:val="18"/>
          <w:szCs w:val="18"/>
        </w:rPr>
        <w:t xml:space="preserve">        'volume_mm3': float(mask.sum() * np.prod(voxel_spacing)),</w:t>
      </w:r>
    </w:p>
    <w:p>
      <w:pPr>
        <w:shd w:fill="F4F4F4" w:val="clear"/>
        <w:spacing w:after="0" w:line="240"/>
      </w:pPr>
      <w:r>
        <w:rPr>
          <w:rFonts w:ascii="Consolas" w:cs="Consolas" w:eastAsia="Consolas" w:hAnsi="Consolas"/>
          <w:sz w:val="18"/>
          <w:szCs w:val="18"/>
        </w:rPr>
        <w:t xml:space="preserve">    }</w:t>
      </w:r>
    </w:p>
    <w:p>
      <w:pPr>
        <w:shd w:fill="F4F4F4" w:val="clear"/>
        <w:spacing w:after="0" w:line="240"/>
      </w:pPr>
      <w:r>
        <w:rPr>
          <w:rFonts w:ascii="Consolas" w:cs="Consolas" w:eastAsia="Consolas" w:hAnsi="Consolas"/>
          <w:sz w:val="18"/>
          <w:szCs w:val="18"/>
        </w:rPr>
        <w:t xml:space="preserve">    return metrics, thickness_map</w:t>
      </w:r>
    </w:p>
    <w:p>
      <w:pPr>
        <w:shd w:fill="F4F4F4" w:val="clear"/>
        <w:spacing w:after="0" w:line="240"/>
      </w:pPr>
      <w:r>
        <w:rPr>
          <w:rFonts w:ascii="Consolas" w:cs="Consolas" w:eastAsia="Consolas" w:hAnsi="Consolas"/>
          <w:sz w:val="18"/>
          <w:szCs w:val="18"/>
        </w:rPr>
        <w:t xml:space="preserve"> </w:t>
      </w:r>
    </w:p>
    <w:p>
      <w:pPr>
        <w:shd w:fill="F4F4F4" w:val="clear"/>
        <w:spacing w:after="0" w:line="240"/>
      </w:pPr>
      <w:r>
        <w:rPr>
          <w:rFonts w:ascii="Consolas" w:cs="Consolas" w:eastAsia="Consolas" w:hAnsi="Consolas"/>
          <w:sz w:val="18"/>
          <w:szCs w:val="18"/>
        </w:rPr>
        <w:t xml:space="preserve"> </w:t>
      </w:r>
    </w:p>
    <w:p>
      <w:pPr>
        <w:shd w:fill="F4F4F4" w:val="clear"/>
        <w:spacing w:after="0" w:line="240"/>
      </w:pPr>
      <w:r>
        <w:rPr>
          <w:rFonts w:ascii="Consolas" w:cs="Consolas" w:eastAsia="Consolas" w:hAnsi="Consolas"/>
          <w:sz w:val="18"/>
          <w:szCs w:val="18"/>
        </w:rPr>
        <w:t xml:space="preserve">def compute_transition_zone_thickness(et_path, ncr_path, wt_path):</w:t>
      </w:r>
    </w:p>
    <w:p>
      <w:pPr>
        <w:shd w:fill="F4F4F4" w:val="clear"/>
        <w:spacing w:after="0" w:line="240"/>
      </w:pPr>
      <w:r>
        <w:rPr>
          <w:rFonts w:ascii="Consolas" w:cs="Consolas" w:eastAsia="Consolas" w:hAnsi="Consolas"/>
          <w:sz w:val="18"/>
          <w:szCs w:val="18"/>
        </w:rPr>
        <w:t xml:space="preserve">    """</w:t>
      </w:r>
    </w:p>
    <w:p>
      <w:pPr>
        <w:shd w:fill="F4F4F4" w:val="clear"/>
        <w:spacing w:after="0" w:line="240"/>
      </w:pPr>
      <w:r>
        <w:rPr>
          <w:rFonts w:ascii="Consolas" w:cs="Consolas" w:eastAsia="Consolas" w:hAnsi="Consolas"/>
          <w:sz w:val="18"/>
          <w:szCs w:val="18"/>
        </w:rPr>
        <w:t xml:space="preserve">    Compute transition zone thickness from pre-existing segmentation masks.</w:t>
      </w:r>
    </w:p>
    <w:p>
      <w:pPr>
        <w:shd w:fill="F4F4F4" w:val="clear"/>
        <w:spacing w:after="0" w:line="240"/>
      </w:pPr>
      <w:r>
        <w:rPr>
          <w:rFonts w:ascii="Consolas" w:cs="Consolas" w:eastAsia="Consolas" w:hAnsi="Consolas"/>
          <w:sz w:val="18"/>
          <w:szCs w:val="18"/>
        </w:rPr>
        <w:t xml:space="preserve"> </w:t>
      </w:r>
    </w:p>
    <w:p>
      <w:pPr>
        <w:shd w:fill="F4F4F4" w:val="clear"/>
        <w:spacing w:after="0" w:line="240"/>
      </w:pPr>
      <w:r>
        <w:rPr>
          <w:rFonts w:ascii="Consolas" w:cs="Consolas" w:eastAsia="Consolas" w:hAnsi="Consolas"/>
          <w:sz w:val="18"/>
          <w:szCs w:val="18"/>
        </w:rPr>
        <w:t xml:space="preserve">    Two definitions computed:</w:t>
      </w:r>
    </w:p>
    <w:p>
      <w:pPr>
        <w:shd w:fill="F4F4F4" w:val="clear"/>
        <w:spacing w:after="0" w:line="240"/>
      </w:pPr>
      <w:r>
        <w:rPr>
          <w:rFonts w:ascii="Consolas" w:cs="Consolas" w:eastAsia="Consolas" w:hAnsi="Consolas"/>
          <w:sz w:val="18"/>
          <w:szCs w:val="18"/>
        </w:rPr>
        <w:t xml:space="preserve">      1. Peritumoral transition zone: WT - (ET ∪ NCR)</w:t>
      </w:r>
    </w:p>
    <w:p>
      <w:pPr>
        <w:shd w:fill="F4F4F4" w:val="clear"/>
        <w:spacing w:after="0" w:line="240"/>
      </w:pPr>
      <w:r>
        <w:rPr>
          <w:rFonts w:ascii="Consolas" w:cs="Consolas" w:eastAsia="Consolas" w:hAnsi="Consolas"/>
          <w:sz w:val="18"/>
          <w:szCs w:val="18"/>
        </w:rPr>
        <w:t xml:space="preserve">         → Non-enhancing infiltrative shell</w:t>
      </w:r>
    </w:p>
    <w:p>
      <w:pPr>
        <w:shd w:fill="F4F4F4" w:val="clear"/>
        <w:spacing w:after="0" w:line="240"/>
      </w:pPr>
      <w:r>
        <w:rPr>
          <w:rFonts w:ascii="Consolas" w:cs="Consolas" w:eastAsia="Consolas" w:hAnsi="Consolas"/>
          <w:sz w:val="18"/>
          <w:szCs w:val="18"/>
        </w:rPr>
        <w:t xml:space="preserve">      2. Enhancing rim thickness: ET only</w:t>
      </w:r>
    </w:p>
    <w:p>
      <w:pPr>
        <w:shd w:fill="F4F4F4" w:val="clear"/>
        <w:spacing w:after="0" w:line="240"/>
      </w:pPr>
      <w:r>
        <w:rPr>
          <w:rFonts w:ascii="Consolas" w:cs="Consolas" w:eastAsia="Consolas" w:hAnsi="Consolas"/>
          <w:sz w:val="18"/>
          <w:szCs w:val="18"/>
        </w:rPr>
        <w:t xml:space="preserve">         → Contrast-enhancing shell around necrotic core</w:t>
      </w:r>
    </w:p>
    <w:p>
      <w:pPr>
        <w:shd w:fill="F4F4F4" w:val="clear"/>
        <w:spacing w:after="0" w:line="240"/>
      </w:pPr>
      <w:r>
        <w:rPr>
          <w:rFonts w:ascii="Consolas" w:cs="Consolas" w:eastAsia="Consolas" w:hAnsi="Consolas"/>
          <w:sz w:val="18"/>
          <w:szCs w:val="18"/>
        </w:rPr>
        <w:t xml:space="preserve">    """</w:t>
      </w:r>
    </w:p>
    <w:p>
      <w:pPr>
        <w:shd w:fill="F4F4F4" w:val="clear"/>
        <w:spacing w:after="0" w:line="240"/>
      </w:pPr>
      <w:r>
        <w:rPr>
          <w:rFonts w:ascii="Consolas" w:cs="Consolas" w:eastAsia="Consolas" w:hAnsi="Consolas"/>
          <w:sz w:val="18"/>
          <w:szCs w:val="18"/>
        </w:rPr>
        <w:t xml:space="preserve">    # Load masks</w:t>
      </w:r>
    </w:p>
    <w:p>
      <w:pPr>
        <w:shd w:fill="F4F4F4" w:val="clear"/>
        <w:spacing w:after="0" w:line="240"/>
      </w:pPr>
      <w:r>
        <w:rPr>
          <w:rFonts w:ascii="Consolas" w:cs="Consolas" w:eastAsia="Consolas" w:hAnsi="Consolas"/>
          <w:sz w:val="18"/>
          <w:szCs w:val="18"/>
        </w:rPr>
        <w:t xml:space="preserve">    et_img  = nib.load(et_path)</w:t>
      </w:r>
    </w:p>
    <w:p>
      <w:pPr>
        <w:shd w:fill="F4F4F4" w:val="clear"/>
        <w:spacing w:after="0" w:line="240"/>
      </w:pPr>
      <w:r>
        <w:rPr>
          <w:rFonts w:ascii="Consolas" w:cs="Consolas" w:eastAsia="Consolas" w:hAnsi="Consolas"/>
          <w:sz w:val="18"/>
          <w:szCs w:val="18"/>
        </w:rPr>
        <w:t xml:space="preserve">    ncr_img = nib.load(ncr_path)</w:t>
      </w:r>
    </w:p>
    <w:p>
      <w:pPr>
        <w:shd w:fill="F4F4F4" w:val="clear"/>
        <w:spacing w:after="0" w:line="240"/>
      </w:pPr>
      <w:r>
        <w:rPr>
          <w:rFonts w:ascii="Consolas" w:cs="Consolas" w:eastAsia="Consolas" w:hAnsi="Consolas"/>
          <w:sz w:val="18"/>
          <w:szCs w:val="18"/>
        </w:rPr>
        <w:t xml:space="preserve">    wt_img  = nib.load(wt_path)</w:t>
      </w:r>
    </w:p>
    <w:p>
      <w:pPr>
        <w:shd w:fill="F4F4F4" w:val="clear"/>
        <w:spacing w:after="0" w:line="240"/>
      </w:pPr>
      <w:r>
        <w:rPr>
          <w:rFonts w:ascii="Consolas" w:cs="Consolas" w:eastAsia="Consolas" w:hAnsi="Consolas"/>
          <w:sz w:val="18"/>
          <w:szCs w:val="18"/>
        </w:rPr>
        <w:t xml:space="preserve"> </w:t>
      </w:r>
    </w:p>
    <w:p>
      <w:pPr>
        <w:shd w:fill="F4F4F4" w:val="clear"/>
        <w:spacing w:after="0" w:line="240"/>
      </w:pPr>
      <w:r>
        <w:rPr>
          <w:rFonts w:ascii="Consolas" w:cs="Consolas" w:eastAsia="Consolas" w:hAnsi="Consolas"/>
          <w:sz w:val="18"/>
          <w:szCs w:val="18"/>
        </w:rPr>
        <w:t xml:space="preserve">    et  = et_img.get_fdata()  &gt; 0</w:t>
      </w:r>
    </w:p>
    <w:p>
      <w:pPr>
        <w:shd w:fill="F4F4F4" w:val="clear"/>
        <w:spacing w:after="0" w:line="240"/>
      </w:pPr>
      <w:r>
        <w:rPr>
          <w:rFonts w:ascii="Consolas" w:cs="Consolas" w:eastAsia="Consolas" w:hAnsi="Consolas"/>
          <w:sz w:val="18"/>
          <w:szCs w:val="18"/>
        </w:rPr>
        <w:t xml:space="preserve">    ncr = ncr_img.get_fdata() &gt; 0</w:t>
      </w:r>
    </w:p>
    <w:p>
      <w:pPr>
        <w:shd w:fill="F4F4F4" w:val="clear"/>
        <w:spacing w:after="0" w:line="240"/>
      </w:pPr>
      <w:r>
        <w:rPr>
          <w:rFonts w:ascii="Consolas" w:cs="Consolas" w:eastAsia="Consolas" w:hAnsi="Consolas"/>
          <w:sz w:val="18"/>
          <w:szCs w:val="18"/>
        </w:rPr>
        <w:t xml:space="preserve">    wt  = wt_img.get_fdata()  &gt; 0</w:t>
      </w:r>
    </w:p>
    <w:p>
      <w:pPr>
        <w:shd w:fill="F4F4F4" w:val="clear"/>
        <w:spacing w:after="0" w:line="240"/>
      </w:pPr>
      <w:r>
        <w:rPr>
          <w:rFonts w:ascii="Consolas" w:cs="Consolas" w:eastAsia="Consolas" w:hAnsi="Consolas"/>
          <w:sz w:val="18"/>
          <w:szCs w:val="18"/>
        </w:rPr>
        <w:t xml:space="preserve"> </w:t>
      </w:r>
    </w:p>
    <w:p>
      <w:pPr>
        <w:shd w:fill="F4F4F4" w:val="clear"/>
        <w:spacing w:after="0" w:line="240"/>
      </w:pPr>
      <w:r>
        <w:rPr>
          <w:rFonts w:ascii="Consolas" w:cs="Consolas" w:eastAsia="Consolas" w:hAnsi="Consolas"/>
          <w:sz w:val="18"/>
          <w:szCs w:val="18"/>
        </w:rPr>
        <w:t xml:space="preserve">    # Voxel spacing (mm) — critical for correct physical measurements</w:t>
      </w:r>
    </w:p>
    <w:p>
      <w:pPr>
        <w:shd w:fill="F4F4F4" w:val="clear"/>
        <w:spacing w:after="0" w:line="240"/>
      </w:pPr>
      <w:r>
        <w:rPr>
          <w:rFonts w:ascii="Consolas" w:cs="Consolas" w:eastAsia="Consolas" w:hAnsi="Consolas"/>
          <w:sz w:val="18"/>
          <w:szCs w:val="18"/>
        </w:rPr>
        <w:t xml:space="preserve">    voxel_spacing = et_img.header.get_zooms()[:3]</w:t>
      </w:r>
    </w:p>
    <w:p>
      <w:pPr>
        <w:shd w:fill="F4F4F4" w:val="clear"/>
        <w:spacing w:after="0" w:line="240"/>
      </w:pPr>
      <w:r>
        <w:rPr>
          <w:rFonts w:ascii="Consolas" w:cs="Consolas" w:eastAsia="Consolas" w:hAnsi="Consolas"/>
          <w:sz w:val="18"/>
          <w:szCs w:val="18"/>
        </w:rPr>
        <w:t xml:space="preserve"> </w:t>
      </w:r>
    </w:p>
    <w:p>
      <w:pPr>
        <w:shd w:fill="F4F4F4" w:val="clear"/>
        <w:spacing w:after="0" w:line="240"/>
      </w:pPr>
      <w:r>
        <w:rPr>
          <w:rFonts w:ascii="Consolas" w:cs="Consolas" w:eastAsia="Consolas" w:hAnsi="Consolas"/>
          <w:sz w:val="18"/>
          <w:szCs w:val="18"/>
        </w:rPr>
        <w:t xml:space="preserve">    # --- Definition 1: peritumoral transition zone ---</w:t>
      </w:r>
    </w:p>
    <w:p>
      <w:pPr>
        <w:shd w:fill="F4F4F4" w:val="clear"/>
        <w:spacing w:after="0" w:line="240"/>
      </w:pPr>
      <w:r>
        <w:rPr>
          <w:rFonts w:ascii="Consolas" w:cs="Consolas" w:eastAsia="Consolas" w:hAnsi="Consolas"/>
          <w:sz w:val="18"/>
          <w:szCs w:val="18"/>
        </w:rPr>
        <w:t xml:space="preserve">    transition_zone = wt &amp; ~(et | ncr)</w:t>
      </w:r>
    </w:p>
    <w:p>
      <w:pPr>
        <w:shd w:fill="F4F4F4" w:val="clear"/>
        <w:spacing w:after="0" w:line="240"/>
      </w:pPr>
      <w:r>
        <w:rPr>
          <w:rFonts w:ascii="Consolas" w:cs="Consolas" w:eastAsia="Consolas" w:hAnsi="Consolas"/>
          <w:sz w:val="18"/>
          <w:szCs w:val="18"/>
        </w:rPr>
        <w:t xml:space="preserve">    tz_metrics, tz_map = compute_thickness_metrics(transition_zone, voxel_spacing)</w:t>
      </w:r>
    </w:p>
    <w:p>
      <w:pPr>
        <w:shd w:fill="F4F4F4" w:val="clear"/>
        <w:spacing w:after="0" w:line="240"/>
      </w:pPr>
      <w:r>
        <w:rPr>
          <w:rFonts w:ascii="Consolas" w:cs="Consolas" w:eastAsia="Consolas" w:hAnsi="Consolas"/>
          <w:sz w:val="18"/>
          <w:szCs w:val="18"/>
        </w:rPr>
        <w:t xml:space="preserve"> </w:t>
      </w:r>
    </w:p>
    <w:p>
      <w:pPr>
        <w:shd w:fill="F4F4F4" w:val="clear"/>
        <w:spacing w:after="0" w:line="240"/>
      </w:pPr>
      <w:r>
        <w:rPr>
          <w:rFonts w:ascii="Consolas" w:cs="Consolas" w:eastAsia="Consolas" w:hAnsi="Consolas"/>
          <w:sz w:val="18"/>
          <w:szCs w:val="18"/>
        </w:rPr>
        <w:t xml:space="preserve">    # --- Definition 2: enhancing rim ---</w:t>
      </w:r>
    </w:p>
    <w:p>
      <w:pPr>
        <w:shd w:fill="F4F4F4" w:val="clear"/>
        <w:spacing w:after="0" w:line="240"/>
      </w:pPr>
      <w:r>
        <w:rPr>
          <w:rFonts w:ascii="Consolas" w:cs="Consolas" w:eastAsia="Consolas" w:hAnsi="Consolas"/>
          <w:sz w:val="18"/>
          <w:szCs w:val="18"/>
        </w:rPr>
        <w:t xml:space="preserve">    rim_metrics, rim_map = compute_thickness_metrics(et, voxel_spacing)</w:t>
      </w:r>
    </w:p>
    <w:p>
      <w:pPr>
        <w:shd w:fill="F4F4F4" w:val="clear"/>
        <w:spacing w:after="0" w:line="240"/>
      </w:pPr>
      <w:r>
        <w:rPr>
          <w:rFonts w:ascii="Consolas" w:cs="Consolas" w:eastAsia="Consolas" w:hAnsi="Consolas"/>
          <w:sz w:val="18"/>
          <w:szCs w:val="18"/>
        </w:rPr>
        <w:t xml:space="preserve"> </w:t>
      </w:r>
    </w:p>
    <w:p>
      <w:pPr>
        <w:shd w:fill="F4F4F4" w:val="clear"/>
        <w:spacing w:after="0" w:line="240"/>
      </w:pPr>
      <w:r>
        <w:rPr>
          <w:rFonts w:ascii="Consolas" w:cs="Consolas" w:eastAsia="Consolas" w:hAnsi="Consolas"/>
          <w:sz w:val="18"/>
          <w:szCs w:val="18"/>
        </w:rPr>
        <w:t xml:space="preserve">    return {</w:t>
      </w:r>
    </w:p>
    <w:p>
      <w:pPr>
        <w:shd w:fill="F4F4F4" w:val="clear"/>
        <w:spacing w:after="0" w:line="240"/>
      </w:pPr>
      <w:r>
        <w:rPr>
          <w:rFonts w:ascii="Consolas" w:cs="Consolas" w:eastAsia="Consolas" w:hAnsi="Consolas"/>
          <w:sz w:val="18"/>
          <w:szCs w:val="18"/>
        </w:rPr>
        <w:t xml:space="preserve">        'transition_zone': tz_metrics,</w:t>
      </w:r>
    </w:p>
    <w:p>
      <w:pPr>
        <w:shd w:fill="F4F4F4" w:val="clear"/>
        <w:spacing w:after="0" w:line="240"/>
      </w:pPr>
      <w:r>
        <w:rPr>
          <w:rFonts w:ascii="Consolas" w:cs="Consolas" w:eastAsia="Consolas" w:hAnsi="Consolas"/>
          <w:sz w:val="18"/>
          <w:szCs w:val="18"/>
        </w:rPr>
        <w:t xml:space="preserve">        'enhancing_rim':   rim_metrics,</w:t>
      </w:r>
    </w:p>
    <w:p>
      <w:pPr>
        <w:shd w:fill="F4F4F4" w:val="clear"/>
        <w:spacing w:after="0" w:line="240"/>
      </w:pPr>
      <w:r>
        <w:rPr>
          <w:rFonts w:ascii="Consolas" w:cs="Consolas" w:eastAsia="Consolas" w:hAnsi="Consolas"/>
          <w:sz w:val="18"/>
          <w:szCs w:val="18"/>
        </w:rPr>
        <w:t xml:space="preserve">        'voxel_spacing':   voxel_spacing,</w:t>
      </w:r>
    </w:p>
    <w:p>
      <w:pPr>
        <w:shd w:fill="F4F4F4" w:val="clear"/>
        <w:spacing w:after="0" w:line="240"/>
      </w:pPr>
      <w:r>
        <w:rPr>
          <w:rFonts w:ascii="Consolas" w:cs="Consolas" w:eastAsia="Consolas" w:hAnsi="Consolas"/>
          <w:sz w:val="18"/>
          <w:szCs w:val="18"/>
        </w:rPr>
        <w:t xml:space="preserve">    }, tz_map, rim_map</w:t>
      </w:r>
    </w:p>
    <w:p>
      <w:pPr>
        <w:spacing w:after="120"/>
      </w:pPr>
      <w:r>
        <w:t xml:space="preserve"/>
      </w:r>
    </w:p>
    <w:p>
      <w:pPr>
        <w:pStyle w:val="Heading2"/>
        <w:spacing w:after="140" w:before="280"/>
      </w:pPr>
      <w:r>
        <w:rPr>
          <w:rFonts w:ascii="Calibri" w:cs="Calibri" w:eastAsia="Calibri" w:hAnsi="Calibri"/>
          <w:b/>
          <w:bCs/>
          <w:sz w:val="28"/>
          <w:szCs w:val="28"/>
        </w:rPr>
        <w:t xml:space="preserve">Why This Logic Is Reliable</w:t>
      </w:r>
    </w:p>
    <w:p>
      <w:pPr>
        <w:pStyle w:val="ListParagraph"/>
        <w:numPr>
          <w:ilvl w:val="0"/>
          <w:numId w:val="2"/>
        </w:numPr>
        <w:spacing w:after="80" w:line="300"/>
      </w:pPr>
      <w:r>
        <w:rPr>
          <w:rFonts w:ascii="Calibri" w:cs="Calibri" w:eastAsia="Calibri" w:hAnsi="Calibri"/>
          <w:b/>
          <w:bCs/>
          <w:sz w:val="22"/>
          <w:szCs w:val="22"/>
        </w:rPr>
        <w:t xml:space="preserve">Distance-transform thickness handles irregular shapes.</w:t>
      </w:r>
      <w:r>
        <w:rPr>
          <w:rFonts w:ascii="Calibri" w:cs="Calibri" w:eastAsia="Calibri" w:hAnsi="Calibri"/>
          <w:sz w:val="22"/>
          <w:szCs w:val="22"/>
        </w:rPr>
        <w:t xml:space="preserve"> Naive radial measurements from a centroid fail catastrophically on lobulated tumors.</w:t>
      </w:r>
    </w:p>
    <w:p>
      <w:pPr>
        <w:pStyle w:val="ListParagraph"/>
        <w:numPr>
          <w:ilvl w:val="0"/>
          <w:numId w:val="2"/>
        </w:numPr>
        <w:spacing w:after="80" w:line="300"/>
      </w:pPr>
      <w:r>
        <w:rPr>
          <w:rFonts w:ascii="Calibri" w:cs="Calibri" w:eastAsia="Calibri" w:hAnsi="Calibri"/>
          <w:b/>
          <w:bCs/>
          <w:sz w:val="22"/>
          <w:szCs w:val="22"/>
        </w:rPr>
        <w:t xml:space="preserve">Anisotropic voxel spacing is respected.</w:t>
      </w:r>
      <w:r>
        <w:rPr>
          <w:rFonts w:ascii="Calibri" w:cs="Calibri" w:eastAsia="Calibri" w:hAnsi="Calibri"/>
          <w:sz w:val="22"/>
          <w:szCs w:val="22"/>
        </w:rPr>
        <w:t xml:space="preserve"> Passing sampling=voxel_spacing ensures distances are in millimeters.</w:t>
      </w:r>
    </w:p>
    <w:p>
      <w:pPr>
        <w:pStyle w:val="ListParagraph"/>
        <w:numPr>
          <w:ilvl w:val="0"/>
          <w:numId w:val="2"/>
        </w:numPr>
        <w:spacing w:after="80" w:line="300"/>
      </w:pPr>
      <w:r>
        <w:rPr>
          <w:rFonts w:ascii="Calibri" w:cs="Calibri" w:eastAsia="Calibri" w:hAnsi="Calibri"/>
          <w:b/>
          <w:bCs/>
          <w:sz w:val="22"/>
          <w:szCs w:val="22"/>
        </w:rPr>
        <w:t xml:space="preserve">Set-based mask logic is robust.</w:t>
      </w:r>
      <w:r>
        <w:rPr>
          <w:rFonts w:ascii="Calibri" w:cs="Calibri" w:eastAsia="Calibri" w:hAnsi="Calibri"/>
          <w:sz w:val="22"/>
          <w:szCs w:val="22"/>
        </w:rPr>
        <w:t xml:space="preserve"> Using wt &amp; ~(et | ncr) is unambiguous regardless of mask overlap conventions.</w:t>
      </w:r>
    </w:p>
    <w:p>
      <w:pPr>
        <w:pStyle w:val="ListParagraph"/>
        <w:numPr>
          <w:ilvl w:val="0"/>
          <w:numId w:val="2"/>
        </w:numPr>
        <w:spacing w:after="80" w:line="300"/>
      </w:pPr>
      <w:r>
        <w:rPr>
          <w:rFonts w:ascii="Calibri" w:cs="Calibri" w:eastAsia="Calibri" w:hAnsi="Calibri"/>
          <w:b/>
          <w:bCs/>
          <w:sz w:val="22"/>
          <w:szCs w:val="22"/>
        </w:rPr>
        <w:t xml:space="preserve">Distribution statistics, not just mean.</w:t>
      </w:r>
      <w:r>
        <w:rPr>
          <w:rFonts w:ascii="Calibri" w:cs="Calibri" w:eastAsia="Calibri" w:hAnsi="Calibri"/>
          <w:sz w:val="22"/>
          <w:szCs w:val="22"/>
        </w:rPr>
        <w:t xml:space="preserve"> Reporting median, p95, and std captures heterogeneity.</w:t>
      </w:r>
    </w:p>
    <w:p>
      <w:pPr>
        <w:pStyle w:val="Heading3"/>
        <w:spacing w:after="100" w:before="220"/>
      </w:pPr>
      <w:r>
        <w:rPr>
          <w:rFonts w:ascii="Calibri" w:cs="Calibri" w:eastAsia="Calibri" w:hAnsi="Calibri"/>
          <w:b/>
          <w:bCs/>
          <w:sz w:val="24"/>
          <w:szCs w:val="24"/>
        </w:rPr>
        <w:t xml:space="preserve">One Caveat Worth Flagging</w:t>
      </w:r>
    </w:p>
    <w:p>
      <w:pPr>
        <w:spacing w:after="120" w:line="300"/>
      </w:pPr>
      <w:r>
        <w:rPr>
          <w:rFonts w:ascii="Calibri" w:cs="Calibri" w:eastAsia="Calibri" w:hAnsi="Calibri"/>
          <w:sz w:val="22"/>
          <w:szCs w:val="22"/>
        </w:rPr>
        <w:t xml:space="preserve">If you're working from T1CE segmentations alone (no FLAIR), then "WT" likely doesn't include true peritumoral edema/infiltration — it may just trace the visible tumor margin. In that case, the enhancing rim thickness definition is more meaningful than the peritumoral one.</w:t>
      </w:r>
    </w:p>
    <w:p>
      <w:pPr>
        <w:pBdr>
          <w:bottom w:val="single" w:color="2E75B6" w:sz="6" w:space="4"/>
        </w:pBdr>
        <w:spacing w:after="80" w:before="280"/>
      </w:pPr>
      <w:r>
        <w:rPr>
          <w:rFonts w:ascii="Calibri" w:cs="Calibri" w:eastAsia="Calibri" w:hAnsi="Calibri"/>
          <w:b/>
          <w:bCs/>
          <w:color w:val="2E75B6"/>
          <w:sz w:val="24"/>
          <w:szCs w:val="24"/>
        </w:rPr>
        <w:t xml:space="preserve">Question 4</w:t>
      </w:r>
    </w:p>
    <w:p>
      <w:pPr>
        <w:spacing w:after="120" w:line="300"/>
      </w:pPr>
      <w:r>
        <w:rPr>
          <w:rFonts w:ascii="Calibri" w:cs="Calibri" w:eastAsia="Calibri" w:hAnsi="Calibri"/>
          <w:sz w:val="22"/>
          <w:szCs w:val="22"/>
        </w:rPr>
        <w:t xml:space="preserve">Is this approach verified or used earlier in research work?</w:t>
      </w:r>
    </w:p>
    <w:p>
      <w:pPr>
        <w:pBdr>
          <w:bottom w:val="single" w:color="70AD47" w:sz="6" w:space="4"/>
        </w:pBdr>
        <w:spacing w:after="80" w:before="280"/>
      </w:pPr>
      <w:r>
        <w:rPr>
          <w:rFonts w:ascii="Calibri" w:cs="Calibri" w:eastAsia="Calibri" w:hAnsi="Calibri"/>
          <w:b/>
          <w:bCs/>
          <w:color w:val="70AD47"/>
          <w:sz w:val="24"/>
          <w:szCs w:val="24"/>
        </w:rPr>
        <w:t xml:space="preserve">Claude</w:t>
      </w:r>
    </w:p>
    <w:p>
      <w:pPr>
        <w:pStyle w:val="Heading2"/>
        <w:spacing w:after="140" w:before="280"/>
      </w:pPr>
      <w:r>
        <w:rPr>
          <w:rFonts w:ascii="Calibri" w:cs="Calibri" w:eastAsia="Calibri" w:hAnsi="Calibri"/>
          <w:b/>
          <w:bCs/>
          <w:sz w:val="28"/>
          <w:szCs w:val="28"/>
        </w:rPr>
        <w:t xml:space="preserve">The Honest Assessment</w:t>
      </w:r>
    </w:p>
    <w:p>
      <w:pPr>
        <w:spacing w:after="120" w:line="300"/>
      </w:pPr>
      <w:r>
        <w:rPr>
          <w:rFonts w:ascii="Calibri" w:cs="Calibri" w:eastAsia="Calibri" w:hAnsi="Calibri"/>
          <w:sz w:val="22"/>
          <w:szCs w:val="22"/>
        </w:rPr>
        <w:t xml:space="preserve">"Transition zone thickness" is not a standardized, named radiomic biomarker with an established protocol the way ADC, rCBV, or tumor volume are. The earlier replies should not have implied it was. The approach combines validated components into a principled engineering metric, but the specific composite is not something you'll find under that name in published glioma literature.</w:t>
      </w:r>
    </w:p>
    <w:p>
      <w:pPr>
        <w:pStyle w:val="Heading2"/>
        <w:spacing w:after="140" w:before="280"/>
      </w:pPr>
      <w:r>
        <w:rPr>
          <w:rFonts w:ascii="Calibri" w:cs="Calibri" w:eastAsia="Calibri" w:hAnsi="Calibri"/>
          <w:b/>
          <w:bCs/>
          <w:sz w:val="28"/>
          <w:szCs w:val="28"/>
        </w:rPr>
        <w:t xml:space="preserve">What IS Established in the Literature</w:t>
      </w:r>
    </w:p>
    <w:p>
      <w:pPr>
        <w:pStyle w:val="Heading3"/>
        <w:spacing w:after="100" w:before="220"/>
      </w:pPr>
      <w:r>
        <w:rPr>
          <w:rFonts w:ascii="Calibri" w:cs="Calibri" w:eastAsia="Calibri" w:hAnsi="Calibri"/>
          <w:b/>
          <w:bCs/>
          <w:sz w:val="24"/>
          <w:szCs w:val="24"/>
        </w:rPr>
        <w:t xml:space="preserve">1. Distance transform / local thickness method</w:t>
      </w:r>
    </w:p>
    <w:p>
      <w:pPr>
        <w:spacing w:after="120" w:line="300"/>
      </w:pPr>
      <w:r>
        <w:rPr>
          <w:rFonts w:ascii="Calibri" w:cs="Calibri" w:eastAsia="Calibri" w:hAnsi="Calibri"/>
          <w:sz w:val="22"/>
          <w:szCs w:val="22"/>
        </w:rPr>
        <w:t xml:space="preserve">Well-validated, just not specifically for glioma transition zones:</w:t>
      </w:r>
    </w:p>
    <w:p>
      <w:pPr>
        <w:pStyle w:val="ListParagraph"/>
        <w:numPr>
          <w:ilvl w:val="0"/>
          <w:numId w:val="2"/>
        </w:numPr>
        <w:spacing w:after="80" w:line="300"/>
      </w:pPr>
      <w:r>
        <w:rPr>
          <w:rFonts w:ascii="Calibri" w:cs="Calibri" w:eastAsia="Calibri" w:hAnsi="Calibri"/>
          <w:sz w:val="22"/>
          <w:szCs w:val="22"/>
        </w:rPr>
        <w:t xml:space="preserve">Hildebrand &amp; Rüegsegger (1997) — the foundational "local thickness" definition using inscribed spheres, used extensively in bone microarchitecture (trabecular thickness in micro-CT).</w:t>
      </w:r>
    </w:p>
    <w:p>
      <w:pPr>
        <w:pStyle w:val="ListParagraph"/>
        <w:numPr>
          <w:ilvl w:val="0"/>
          <w:numId w:val="2"/>
        </w:numPr>
        <w:spacing w:after="80" w:line="300"/>
      </w:pPr>
      <w:r>
        <w:rPr>
          <w:rFonts w:ascii="Calibri" w:cs="Calibri" w:eastAsia="Calibri" w:hAnsi="Calibri"/>
          <w:sz w:val="22"/>
          <w:szCs w:val="22"/>
        </w:rPr>
        <w:t xml:space="preserve">BoneJ and similar tools implement this for medical imaging routinely.</w:t>
      </w:r>
    </w:p>
    <w:p>
      <w:pPr>
        <w:pStyle w:val="Heading3"/>
        <w:spacing w:after="100" w:before="220"/>
      </w:pPr>
      <w:r>
        <w:rPr>
          <w:rFonts w:ascii="Calibri" w:cs="Calibri" w:eastAsia="Calibri" w:hAnsi="Calibri"/>
          <w:b/>
          <w:bCs/>
          <w:sz w:val="24"/>
          <w:szCs w:val="24"/>
        </w:rPr>
        <w:t xml:space="preserve">2. Peritumoral / rim analysis in gliomas</w:t>
      </w:r>
    </w:p>
    <w:p>
      <w:pPr>
        <w:spacing w:after="120" w:line="300"/>
      </w:pPr>
      <w:r>
        <w:rPr>
          <w:rFonts w:ascii="Calibri" w:cs="Calibri" w:eastAsia="Calibri" w:hAnsi="Calibri"/>
          <w:sz w:val="22"/>
          <w:szCs w:val="22"/>
        </w:rPr>
        <w:t xml:space="preserve">Well-established, but typically uses:</w:t>
      </w:r>
    </w:p>
    <w:p>
      <w:pPr>
        <w:pStyle w:val="ListParagraph"/>
        <w:numPr>
          <w:ilvl w:val="0"/>
          <w:numId w:val="2"/>
        </w:numPr>
        <w:spacing w:after="80" w:line="300"/>
      </w:pPr>
      <w:r>
        <w:rPr>
          <w:rFonts w:ascii="Calibri" w:cs="Calibri" w:eastAsia="Calibri" w:hAnsi="Calibri"/>
          <w:sz w:val="22"/>
          <w:szCs w:val="22"/>
        </w:rPr>
        <w:t xml:space="preserve">Fixed-margin dilation (1 mm, 3 mm, 5 mm shells) — the dominant approach in radiomics.</w:t>
      </w:r>
    </w:p>
    <w:p>
      <w:pPr>
        <w:pStyle w:val="ListParagraph"/>
        <w:numPr>
          <w:ilvl w:val="0"/>
          <w:numId w:val="2"/>
        </w:numPr>
        <w:spacing w:after="80" w:line="300"/>
      </w:pPr>
      <w:r>
        <w:rPr>
          <w:rFonts w:ascii="Calibri" w:cs="Calibri" w:eastAsia="Calibri" w:hAnsi="Calibri"/>
          <w:sz w:val="22"/>
          <w:szCs w:val="22"/>
        </w:rPr>
        <w:t xml:space="preserve">Cropping the tumor volume by different margins to define rim and core sub-volumes.</w:t>
      </w:r>
    </w:p>
    <w:p>
      <w:pPr>
        <w:pStyle w:val="ListParagraph"/>
        <w:numPr>
          <w:ilvl w:val="0"/>
          <w:numId w:val="2"/>
        </w:numPr>
        <w:spacing w:after="80" w:line="300"/>
      </w:pPr>
      <w:r>
        <w:rPr>
          <w:rFonts w:ascii="Calibri" w:cs="Calibri" w:eastAsia="Calibri" w:hAnsi="Calibri"/>
          <w:sz w:val="22"/>
          <w:szCs w:val="22"/>
        </w:rPr>
        <w:t xml:space="preserve">Volume ratios like T2-bright / T1-enhancing for glioblastoma characterization.</w:t>
      </w:r>
    </w:p>
    <w:p>
      <w:pPr>
        <w:pStyle w:val="Heading3"/>
        <w:spacing w:after="100" w:before="220"/>
      </w:pPr>
      <w:r>
        <w:rPr>
          <w:rFonts w:ascii="Calibri" w:cs="Calibri" w:eastAsia="Calibri" w:hAnsi="Calibri"/>
          <w:b/>
          <w:bCs/>
          <w:sz w:val="24"/>
          <w:szCs w:val="24"/>
        </w:rPr>
        <w:t xml:space="preserve">3. What is NOT standard</w:t>
      </w:r>
    </w:p>
    <w:p>
      <w:pPr>
        <w:spacing w:after="120" w:line="300"/>
      </w:pPr>
      <w:r>
        <w:rPr>
          <w:rFonts w:ascii="Calibri" w:cs="Calibri" w:eastAsia="Calibri" w:hAnsi="Calibri"/>
          <w:sz w:val="22"/>
          <w:szCs w:val="22"/>
        </w:rPr>
        <w:t xml:space="preserve">Treating the "transition zone" as a measured anatomical thickness (in mm) with a distance transform on segmentation-defined boundaries. This is a reasonable engineering choice, but not a published, validated biomarker.</w:t>
      </w:r>
    </w:p>
    <w:p>
      <w:pPr>
        <w:pStyle w:val="Heading2"/>
        <w:spacing w:after="140" w:before="280"/>
      </w:pPr>
      <w:r>
        <w:rPr>
          <w:rFonts w:ascii="Calibri" w:cs="Calibri" w:eastAsia="Calibri" w:hAnsi="Calibri"/>
          <w:b/>
          <w:bCs/>
          <w:sz w:val="28"/>
          <w:szCs w:val="28"/>
        </w:rPr>
        <w:t xml:space="preserve">What This Means for Your Work</w:t>
      </w:r>
    </w:p>
    <w:p>
      <w:pPr>
        <w:spacing w:after="120" w:line="300"/>
      </w:pPr>
      <w:r>
        <w:rPr>
          <w:rFonts w:ascii="Calibri" w:cs="Calibri" w:eastAsia="Calibri" w:hAnsi="Calibri"/>
          <w:sz w:val="22"/>
          <w:szCs w:val="22"/>
        </w:rPr>
        <w:t xml:space="preserve">Three options, ranked by how defensible each is in publication:</w:t>
      </w:r>
    </w:p>
    <w:p>
      <w:pPr>
        <w:pStyle w:val="ListParagraph"/>
        <w:numPr>
          <w:ilvl w:val="0"/>
          <w:numId w:val="2"/>
        </w:numPr>
        <w:spacing w:after="80" w:line="300"/>
      </w:pPr>
      <w:r>
        <w:rPr>
          <w:rFonts w:ascii="Calibri" w:cs="Calibri" w:eastAsia="Calibri" w:hAnsi="Calibri"/>
          <w:b/>
          <w:bCs/>
          <w:sz w:val="22"/>
          <w:szCs w:val="22"/>
        </w:rPr>
        <w:t xml:space="preserve">Option A — Peritumoral shell radiomics (most defensible). </w:t>
      </w:r>
      <w:r>
        <w:rPr>
          <w:rFonts w:ascii="Calibri" w:cs="Calibri" w:eastAsia="Calibri" w:hAnsi="Calibri"/>
          <w:sz w:val="22"/>
          <w:szCs w:val="22"/>
        </w:rPr>
        <w:t xml:space="preserve">Define fixed-width shells (1, 3, 5 mm) around ET using morphological dilation, extract radiomic features from each shell. Matches existing literature.</w:t>
      </w:r>
    </w:p>
    <w:p>
      <w:pPr>
        <w:pStyle w:val="ListParagraph"/>
        <w:numPr>
          <w:ilvl w:val="0"/>
          <w:numId w:val="2"/>
        </w:numPr>
        <w:spacing w:after="80" w:line="300"/>
      </w:pPr>
      <w:r>
        <w:rPr>
          <w:rFonts w:ascii="Calibri" w:cs="Calibri" w:eastAsia="Calibri" w:hAnsi="Calibri"/>
          <w:b/>
          <w:bCs/>
          <w:sz w:val="22"/>
          <w:szCs w:val="22"/>
        </w:rPr>
        <w:t xml:space="preserve">Option B — Adapt local thickness methods (novel but principled). </w:t>
      </w:r>
      <w:r>
        <w:rPr>
          <w:rFonts w:ascii="Calibri" w:cs="Calibri" w:eastAsia="Calibri" w:hAnsi="Calibri"/>
          <w:sz w:val="22"/>
          <w:szCs w:val="22"/>
        </w:rPr>
        <w:t xml:space="preserve">Apply Hildebrand-Rüegsegger local thickness to glioma rim/transition regions. Justify as methodological transfer and validate against grade, IDH, or survival.</w:t>
      </w:r>
    </w:p>
    <w:p>
      <w:pPr>
        <w:pStyle w:val="ListParagraph"/>
        <w:numPr>
          <w:ilvl w:val="0"/>
          <w:numId w:val="2"/>
        </w:numPr>
        <w:spacing w:after="80" w:line="300"/>
      </w:pPr>
      <w:r>
        <w:rPr>
          <w:rFonts w:ascii="Calibri" w:cs="Calibri" w:eastAsia="Calibri" w:hAnsi="Calibri"/>
          <w:b/>
          <w:bCs/>
          <w:sz w:val="22"/>
          <w:szCs w:val="22"/>
        </w:rPr>
        <w:t xml:space="preserve">Option C — Volumetric ratios (simpler, established). </w:t>
      </w:r>
      <w:r>
        <w:rPr>
          <w:rFonts w:ascii="Calibri" w:cs="Calibri" w:eastAsia="Calibri" w:hAnsi="Calibri"/>
          <w:sz w:val="22"/>
          <w:szCs w:val="22"/>
        </w:rPr>
        <w:t xml:space="preserve">Compute ratios like (WT − ET − NCR) / ET, which captures similar information with precedent in the literature.</w:t>
      </w:r>
    </w:p>
    <w:p>
      <w:pPr>
        <w:pStyle w:val="Heading2"/>
        <w:spacing w:after="140" w:before="280"/>
      </w:pPr>
      <w:r>
        <w:rPr>
          <w:rFonts w:ascii="Calibri" w:cs="Calibri" w:eastAsia="Calibri" w:hAnsi="Calibri"/>
          <w:b/>
          <w:bCs/>
          <w:sz w:val="28"/>
          <w:szCs w:val="28"/>
        </w:rPr>
        <w:t xml:space="preserve">Recommendation</w:t>
      </w:r>
    </w:p>
    <w:p>
      <w:pPr>
        <w:spacing w:after="120" w:line="300"/>
      </w:pPr>
      <w:r>
        <w:rPr>
          <w:rFonts w:ascii="Calibri" w:cs="Calibri" w:eastAsia="Calibri" w:hAnsi="Calibri"/>
          <w:sz w:val="22"/>
          <w:szCs w:val="22"/>
        </w:rPr>
        <w:t xml:space="preserve">If the metric must be defensible right now, use peritumoral shells with fixed widths plus volumetric ratios. If using the distance-transform approach, frame it explicitly as "adapting Hildebrand-Rüegsegger local thickness to glioma rim quantification," cite bone imaging literature, validate against a clinical endpoint, and compare against established alternatives.</w:t>
      </w:r>
    </w:p>
    <w:p>
      <w:pPr>
        <w:pBdr>
          <w:bottom w:val="single" w:color="2E75B6" w:sz="6" w:space="4"/>
        </w:pBdr>
        <w:spacing w:after="80" w:before="280"/>
      </w:pPr>
      <w:r>
        <w:rPr>
          <w:rFonts w:ascii="Calibri" w:cs="Calibri" w:eastAsia="Calibri" w:hAnsi="Calibri"/>
          <w:b/>
          <w:bCs/>
          <w:color w:val="2E75B6"/>
          <w:sz w:val="24"/>
          <w:szCs w:val="24"/>
        </w:rPr>
        <w:t xml:space="preserve">Question 5</w:t>
      </w:r>
    </w:p>
    <w:p>
      <w:pPr>
        <w:spacing w:after="120" w:line="300"/>
      </w:pPr>
      <w:r>
        <w:rPr>
          <w:rFonts w:ascii="Calibri" w:cs="Calibri" w:eastAsia="Calibri" w:hAnsi="Calibri"/>
          <w:sz w:val="22"/>
          <w:szCs w:val="22"/>
        </w:rPr>
        <w:t xml:space="preserve">I wrote a code for transition zone thickness with a different approach in mind. I am attaching the code here for you to go over and critique. Also recommend which approach should I go with?</w:t>
      </w:r>
    </w:p>
    <w:p>
      <w:pPr>
        <w:pBdr>
          <w:bottom w:val="single" w:color="70AD47" w:sz="6" w:space="4"/>
        </w:pBdr>
        <w:spacing w:after="80" w:before="280"/>
      </w:pPr>
      <w:r>
        <w:rPr>
          <w:rFonts w:ascii="Calibri" w:cs="Calibri" w:eastAsia="Calibri" w:hAnsi="Calibri"/>
          <w:b/>
          <w:bCs/>
          <w:color w:val="70AD47"/>
          <w:sz w:val="24"/>
          <w:szCs w:val="24"/>
        </w:rPr>
        <w:t xml:space="preserve">Claude</w:t>
      </w:r>
    </w:p>
    <w:p>
      <w:pPr>
        <w:spacing w:after="120" w:line="300"/>
      </w:pPr>
      <w:r>
        <w:rPr>
          <w:rFonts w:ascii="Calibri" w:cs="Calibri" w:eastAsia="Calibri" w:hAnsi="Calibri"/>
          <w:sz w:val="22"/>
          <w:szCs w:val="22"/>
        </w:rPr>
        <w:t xml:space="preserve">(Initial reply: code attachment did not arrive. Suggested re-uploading and listed common alternative approaches that the user's method might match.)</w:t>
      </w:r>
    </w:p>
    <w:p>
      <w:pPr>
        <w:pBdr>
          <w:bottom w:val="single" w:color="2E75B6" w:sz="6" w:space="4"/>
        </w:pBdr>
        <w:spacing w:after="80" w:before="280"/>
      </w:pPr>
      <w:r>
        <w:rPr>
          <w:rFonts w:ascii="Calibri" w:cs="Calibri" w:eastAsia="Calibri" w:hAnsi="Calibri"/>
          <w:b/>
          <w:bCs/>
          <w:color w:val="2E75B6"/>
          <w:sz w:val="24"/>
          <w:szCs w:val="24"/>
        </w:rPr>
        <w:t xml:space="preserve">Question 6</w:t>
      </w:r>
    </w:p>
    <w:p>
      <w:pPr>
        <w:spacing w:after="120" w:line="300"/>
      </w:pPr>
      <w:r>
        <w:rPr>
          <w:rFonts w:ascii="Calibri" w:cs="Calibri" w:eastAsia="Calibri" w:hAnsi="Calibri"/>
          <w:sz w:val="22"/>
          <w:szCs w:val="22"/>
        </w:rPr>
        <w:t xml:space="preserve">[Code uploaded: additional_features_3d.py — implements transition_zone_thickness via outward-normal ray casting with intensity-band stopping criterion]</w:t>
      </w:r>
    </w:p>
    <w:p>
      <w:pPr>
        <w:pBdr>
          <w:bottom w:val="single" w:color="70AD47" w:sz="6" w:space="4"/>
        </w:pBdr>
        <w:spacing w:after="80" w:before="280"/>
      </w:pPr>
      <w:r>
        <w:rPr>
          <w:rFonts w:ascii="Calibri" w:cs="Calibri" w:eastAsia="Calibri" w:hAnsi="Calibri"/>
          <w:b/>
          <w:bCs/>
          <w:color w:val="70AD47"/>
          <w:sz w:val="24"/>
          <w:szCs w:val="24"/>
        </w:rPr>
        <w:t xml:space="preserve">Claude</w:t>
      </w:r>
    </w:p>
    <w:p>
      <w:pPr>
        <w:pStyle w:val="Heading2"/>
        <w:spacing w:after="140" w:before="280"/>
      </w:pPr>
      <w:r>
        <w:rPr>
          <w:rFonts w:ascii="Calibri" w:cs="Calibri" w:eastAsia="Calibri" w:hAnsi="Calibri"/>
          <w:b/>
          <w:bCs/>
          <w:sz w:val="28"/>
          <w:szCs w:val="28"/>
        </w:rPr>
        <w:t xml:space="preserve">What Your Approach Actually Does</w:t>
      </w:r>
    </w:p>
    <w:p>
      <w:pPr>
        <w:spacing w:after="120" w:line="300"/>
      </w:pPr>
      <w:r>
        <w:rPr>
          <w:rFonts w:ascii="Calibri" w:cs="Calibri" w:eastAsia="Calibri" w:hAnsi="Calibri"/>
          <w:sz w:val="22"/>
          <w:szCs w:val="22"/>
        </w:rPr>
        <w:t xml:space="preserve">The transition_zone_thickness function uses a ray-casting / normal-projection method:</w:t>
      </w:r>
    </w:p>
    <w:p>
      <w:pPr>
        <w:pStyle w:val="ListParagraph"/>
        <w:numPr>
          <w:ilvl w:val="0"/>
          <w:numId w:val="2"/>
        </w:numPr>
        <w:spacing w:after="80" w:line="300"/>
      </w:pPr>
      <w:r>
        <w:rPr>
          <w:rFonts w:ascii="Calibri" w:cs="Calibri" w:eastAsia="Calibri" w:hAnsi="Calibri"/>
          <w:sz w:val="22"/>
          <w:szCs w:val="22"/>
        </w:rPr>
        <w:t xml:space="preserve">Find tumor-core boundary voxels adjacent to edema.</w:t>
      </w:r>
    </w:p>
    <w:p>
      <w:pPr>
        <w:pStyle w:val="ListParagraph"/>
        <w:numPr>
          <w:ilvl w:val="0"/>
          <w:numId w:val="2"/>
        </w:numPr>
        <w:spacing w:after="80" w:line="300"/>
      </w:pPr>
      <w:r>
        <w:rPr>
          <w:rFonts w:ascii="Calibri" w:cs="Calibri" w:eastAsia="Calibri" w:hAnsi="Calibri"/>
          <w:sz w:val="22"/>
          <w:szCs w:val="22"/>
        </w:rPr>
        <w:t xml:space="preserve">At each boundary voxel, compute the outward normal direction (via gradient of the distance transform).</w:t>
      </w:r>
    </w:p>
    <w:p>
      <w:pPr>
        <w:pStyle w:val="ListParagraph"/>
        <w:numPr>
          <w:ilvl w:val="0"/>
          <w:numId w:val="2"/>
        </w:numPr>
        <w:spacing w:after="80" w:line="300"/>
      </w:pPr>
      <w:r>
        <w:rPr>
          <w:rFonts w:ascii="Calibri" w:cs="Calibri" w:eastAsia="Calibri" w:hAnsi="Calibri"/>
          <w:sz w:val="22"/>
          <w:szCs w:val="22"/>
        </w:rPr>
        <w:t xml:space="preserve">Cast a ray outward from each boundary point along that normal.</w:t>
      </w:r>
    </w:p>
    <w:p>
      <w:pPr>
        <w:pStyle w:val="ListParagraph"/>
        <w:numPr>
          <w:ilvl w:val="0"/>
          <w:numId w:val="2"/>
        </w:numPr>
        <w:spacing w:after="80" w:line="300"/>
      </w:pPr>
      <w:r>
        <w:rPr>
          <w:rFonts w:ascii="Calibri" w:cs="Calibri" w:eastAsia="Calibri" w:hAnsi="Calibri"/>
          <w:sz w:val="22"/>
          <w:szCs w:val="22"/>
        </w:rPr>
        <w:t xml:space="preserve">March step-by-step (0.25 voxel steps) along the ray, sampling T1CE intensity via trilinear interpolation.</w:t>
      </w:r>
    </w:p>
    <w:p>
      <w:pPr>
        <w:pStyle w:val="ListParagraph"/>
        <w:numPr>
          <w:ilvl w:val="0"/>
          <w:numId w:val="2"/>
        </w:numPr>
        <w:spacing w:after="80" w:line="300"/>
      </w:pPr>
      <w:r>
        <w:rPr>
          <w:rFonts w:ascii="Calibri" w:cs="Calibri" w:eastAsia="Calibri" w:hAnsi="Calibri"/>
          <w:sz w:val="22"/>
          <w:szCs w:val="22"/>
        </w:rPr>
        <w:t xml:space="preserve">Stop when the ray reaches a point that is inside edema AND has T1CE intensity within a 40th–60th percentile band of edema intensities.</w:t>
      </w:r>
    </w:p>
    <w:p>
      <w:pPr>
        <w:pStyle w:val="ListParagraph"/>
        <w:numPr>
          <w:ilvl w:val="0"/>
          <w:numId w:val="2"/>
        </w:numPr>
        <w:spacing w:after="80" w:line="300"/>
      </w:pPr>
      <w:r>
        <w:rPr>
          <w:rFonts w:ascii="Calibri" w:cs="Calibri" w:eastAsia="Calibri" w:hAnsi="Calibri"/>
          <w:sz w:val="22"/>
          <w:szCs w:val="22"/>
        </w:rPr>
        <w:t xml:space="preserve">Apply linear interpolation between sample points to refine the hit position.</w:t>
      </w:r>
    </w:p>
    <w:p>
      <w:pPr>
        <w:pStyle w:val="ListParagraph"/>
        <w:numPr>
          <w:ilvl w:val="0"/>
          <w:numId w:val="2"/>
        </w:numPr>
        <w:spacing w:after="80" w:line="300"/>
      </w:pPr>
      <w:r>
        <w:rPr>
          <w:rFonts w:ascii="Calibri" w:cs="Calibri" w:eastAsia="Calibri" w:hAnsi="Calibri"/>
          <w:sz w:val="22"/>
          <w:szCs w:val="22"/>
        </w:rPr>
        <w:t xml:space="preserve">Report the median ray length across all boundary points.</w:t>
      </w:r>
    </w:p>
    <w:p>
      <w:pPr>
        <w:spacing w:after="120" w:line="300"/>
      </w:pPr>
      <w:r>
        <w:rPr>
          <w:rFonts w:ascii="Calibri" w:cs="Calibri" w:eastAsia="Calibri" w:hAnsi="Calibri"/>
          <w:sz w:val="22"/>
          <w:szCs w:val="22"/>
        </w:rPr>
        <w:t xml:space="preserve">This is fundamentally different from the distance-transform approach — it's an intensity-aware, geometry-aware ray-casting method, where "thickness" is defined as the distance from the tumor core boundary to where the T1CE intensity matches "typical edema" intensity along an outward ray.</w:t>
      </w:r>
    </w:p>
    <w:p>
      <w:pPr>
        <w:pStyle w:val="Heading2"/>
        <w:spacing w:after="140" w:before="280"/>
      </w:pPr>
      <w:r>
        <w:rPr>
          <w:rFonts w:ascii="Calibri" w:cs="Calibri" w:eastAsia="Calibri" w:hAnsi="Calibri"/>
          <w:b/>
          <w:bCs/>
          <w:sz w:val="28"/>
          <w:szCs w:val="28"/>
        </w:rPr>
        <w:t xml:space="preserve">Critique: What's Good</w:t>
      </w:r>
    </w:p>
    <w:p>
      <w:pPr>
        <w:pStyle w:val="ListParagraph"/>
        <w:numPr>
          <w:ilvl w:val="0"/>
          <w:numId w:val="2"/>
        </w:numPr>
        <w:spacing w:after="80" w:line="300"/>
      </w:pPr>
      <w:r>
        <w:rPr>
          <w:rFonts w:ascii="Calibri" w:cs="Calibri" w:eastAsia="Calibri" w:hAnsi="Calibri"/>
          <w:b/>
          <w:bCs/>
          <w:sz w:val="22"/>
          <w:szCs w:val="22"/>
        </w:rPr>
        <w:t xml:space="preserve">Outward normals via distance-transform gradient</w:t>
      </w:r>
      <w:r>
        <w:rPr>
          <w:rFonts w:ascii="Calibri" w:cs="Calibri" w:eastAsia="Calibri" w:hAnsi="Calibri"/>
          <w:sz w:val="22"/>
          <w:szCs w:val="22"/>
        </w:rPr>
        <w:t xml:space="preserve"> — mathematically elegant, avoids the centroid-based ray-casting trap, respects irregular shapes.</w:t>
      </w:r>
    </w:p>
    <w:p>
      <w:pPr>
        <w:pStyle w:val="ListParagraph"/>
        <w:numPr>
          <w:ilvl w:val="0"/>
          <w:numId w:val="2"/>
        </w:numPr>
        <w:spacing w:after="80" w:line="300"/>
      </w:pPr>
      <w:r>
        <w:rPr>
          <w:rFonts w:ascii="Calibri" w:cs="Calibri" w:eastAsia="Calibri" w:hAnsi="Calibri"/>
          <w:b/>
          <w:bCs/>
          <w:sz w:val="22"/>
          <w:szCs w:val="22"/>
        </w:rPr>
        <w:t xml:space="preserve">Sub-voxel sampling with trilinear interpolation</w:t>
      </w:r>
      <w:r>
        <w:rPr>
          <w:rFonts w:ascii="Calibri" w:cs="Calibri" w:eastAsia="Calibri" w:hAnsi="Calibri"/>
          <w:sz w:val="22"/>
          <w:szCs w:val="22"/>
        </w:rPr>
        <w:t xml:space="preserve"> — sub-millimeter precision, far better than voxel-counting.</w:t>
      </w:r>
    </w:p>
    <w:p>
      <w:pPr>
        <w:pStyle w:val="ListParagraph"/>
        <w:numPr>
          <w:ilvl w:val="0"/>
          <w:numId w:val="2"/>
        </w:numPr>
        <w:spacing w:after="80" w:line="300"/>
      </w:pPr>
      <w:r>
        <w:rPr>
          <w:rFonts w:ascii="Calibri" w:cs="Calibri" w:eastAsia="Calibri" w:hAnsi="Calibri"/>
          <w:b/>
          <w:bCs/>
          <w:sz w:val="22"/>
          <w:szCs w:val="22"/>
        </w:rPr>
        <w:t xml:space="preserve">Linear interpolation refinement at the hit point</w:t>
      </w:r>
      <w:r>
        <w:rPr>
          <w:rFonts w:ascii="Calibri" w:cs="Calibri" w:eastAsia="Calibri" w:hAnsi="Calibri"/>
          <w:sz w:val="22"/>
          <w:szCs w:val="22"/>
        </w:rPr>
        <w:t xml:space="preserve"> — solves for the intensity-crossing position between samples.</w:t>
      </w:r>
    </w:p>
    <w:p>
      <w:pPr>
        <w:pStyle w:val="ListParagraph"/>
        <w:numPr>
          <w:ilvl w:val="0"/>
          <w:numId w:val="2"/>
        </w:numPr>
        <w:spacing w:after="80" w:line="300"/>
      </w:pPr>
      <w:r>
        <w:rPr>
          <w:rFonts w:ascii="Calibri" w:cs="Calibri" w:eastAsia="Calibri" w:hAnsi="Calibri"/>
          <w:b/>
          <w:bCs/>
          <w:sz w:val="22"/>
          <w:szCs w:val="22"/>
        </w:rPr>
        <w:t xml:space="preserve">Per-ray measurement, then aggregate with median</w:t>
      </w:r>
      <w:r>
        <w:rPr>
          <w:rFonts w:ascii="Calibri" w:cs="Calibri" w:eastAsia="Calibri" w:hAnsi="Calibri"/>
          <w:sz w:val="22"/>
          <w:szCs w:val="22"/>
        </w:rPr>
        <w:t xml:space="preserve"> — robust to ray-level outliers.</w:t>
      </w:r>
    </w:p>
    <w:p>
      <w:pPr>
        <w:pStyle w:val="ListParagraph"/>
        <w:numPr>
          <w:ilvl w:val="0"/>
          <w:numId w:val="2"/>
        </w:numPr>
        <w:spacing w:after="80" w:line="300"/>
      </w:pPr>
      <w:r>
        <w:rPr>
          <w:rFonts w:ascii="Calibri" w:cs="Calibri" w:eastAsia="Calibri" w:hAnsi="Calibri"/>
          <w:b/>
          <w:bCs/>
          <w:sz w:val="22"/>
          <w:szCs w:val="22"/>
        </w:rPr>
        <w:t xml:space="preserve">Edema intensity band as stopping criterion</w:t>
      </w:r>
      <w:r>
        <w:rPr>
          <w:rFonts w:ascii="Calibri" w:cs="Calibri" w:eastAsia="Calibri" w:hAnsi="Calibri"/>
          <w:sz w:val="22"/>
          <w:szCs w:val="22"/>
        </w:rPr>
        <w:t xml:space="preserve"> — acknowledges that "transition" is intensity-defined, not purely geometric.</w:t>
      </w:r>
    </w:p>
    <w:p>
      <w:pPr>
        <w:pStyle w:val="Heading2"/>
        <w:spacing w:after="140" w:before="280"/>
      </w:pPr>
      <w:r>
        <w:rPr>
          <w:rFonts w:ascii="Calibri" w:cs="Calibri" w:eastAsia="Calibri" w:hAnsi="Calibri"/>
          <w:b/>
          <w:bCs/>
          <w:sz w:val="28"/>
          <w:szCs w:val="28"/>
        </w:rPr>
        <w:t xml:space="preserve">Critique: What's Problematic</w:t>
      </w:r>
    </w:p>
    <w:p>
      <w:pPr>
        <w:pStyle w:val="Heading3"/>
        <w:spacing w:after="100" w:before="220"/>
      </w:pPr>
      <w:r>
        <w:rPr>
          <w:rFonts w:ascii="Calibri" w:cs="Calibri" w:eastAsia="Calibri" w:hAnsi="Calibri"/>
          <w:b/>
          <w:bCs/>
          <w:sz w:val="24"/>
          <w:szCs w:val="24"/>
        </w:rPr>
        <w:t xml:space="preserve">Major Issues</w:t>
      </w:r>
    </w:p>
    <w:p>
      <w:pPr>
        <w:pStyle w:val="ListParagraph"/>
        <w:numPr>
          <w:ilvl w:val="0"/>
          <w:numId w:val="2"/>
        </w:numPr>
        <w:spacing w:after="80" w:line="300"/>
      </w:pPr>
      <w:r>
        <w:rPr>
          <w:rFonts w:ascii="Calibri" w:cs="Calibri" w:eastAsia="Calibri" w:hAnsi="Calibri"/>
          <w:b/>
          <w:bCs/>
          <w:sz w:val="22"/>
          <w:szCs w:val="22"/>
        </w:rPr>
        <w:t xml:space="preserve">z_best is referenced but never computed.</w:t>
      </w:r>
      <w:r>
        <w:rPr>
          <w:rFonts w:ascii="Calibri" w:cs="Calibri" w:eastAsia="Calibri" w:hAnsi="Calibri"/>
          <w:sz w:val="22"/>
          <w:szCs w:val="22"/>
        </w:rPr>
        <w:t xml:space="preserve"> The block that defines it is commented out, but later code still references it. This will crash at runtime.</w:t>
      </w:r>
    </w:p>
    <w:p>
      <w:pPr>
        <w:pStyle w:val="ListParagraph"/>
        <w:numPr>
          <w:ilvl w:val="0"/>
          <w:numId w:val="2"/>
        </w:numPr>
        <w:spacing w:after="80" w:line="300"/>
      </w:pPr>
      <w:r>
        <w:rPr>
          <w:rFonts w:ascii="Calibri" w:cs="Calibri" w:eastAsia="Calibri" w:hAnsi="Calibri"/>
          <w:b/>
          <w:bCs/>
          <w:sz w:val="22"/>
          <w:szCs w:val="22"/>
        </w:rPr>
        <w:t xml:space="preserve">Intensity band logic is questionable for T1CE.</w:t>
      </w:r>
      <w:r>
        <w:rPr>
          <w:rFonts w:ascii="Calibri" w:cs="Calibri" w:eastAsia="Calibri" w:hAnsi="Calibri"/>
          <w:sz w:val="22"/>
          <w:szCs w:val="22"/>
        </w:rPr>
        <w:t xml:space="preserve"> Edema has no characteristic T1CE signature (it's hypo-/iso-intense). The 40–60 percentile band of edema T1CE values is hard to interpret biologically. FLAIR or T2 would be far better.</w:t>
      </w:r>
    </w:p>
    <w:p>
      <w:pPr>
        <w:pStyle w:val="ListParagraph"/>
        <w:numPr>
          <w:ilvl w:val="0"/>
          <w:numId w:val="2"/>
        </w:numPr>
        <w:spacing w:after="80" w:line="300"/>
      </w:pPr>
      <w:r>
        <w:rPr>
          <w:rFonts w:ascii="Calibri" w:cs="Calibri" w:eastAsia="Calibri" w:hAnsi="Calibri"/>
          <w:b/>
          <w:bCs/>
          <w:sz w:val="22"/>
          <w:szCs w:val="22"/>
        </w:rPr>
        <w:t xml:space="preserve">Outward normal computed on full TC mask globally.</w:t>
      </w:r>
      <w:r>
        <w:rPr>
          <w:rFonts w:ascii="Calibri" w:cs="Calibri" w:eastAsia="Calibri" w:hAnsi="Calibri"/>
          <w:sz w:val="22"/>
          <w:szCs w:val="22"/>
        </w:rPr>
        <w:t xml:space="preserve"> At boundary voxels where TC borders both edema and brain, the normal may point away from edema, causing rays to miss it silently.</w:t>
      </w:r>
    </w:p>
    <w:p>
      <w:pPr>
        <w:pStyle w:val="ListParagraph"/>
        <w:numPr>
          <w:ilvl w:val="0"/>
          <w:numId w:val="2"/>
        </w:numPr>
        <w:spacing w:after="80" w:line="300"/>
      </w:pPr>
      <w:r>
        <w:rPr>
          <w:rFonts w:ascii="Calibri" w:cs="Calibri" w:eastAsia="Calibri" w:hAnsi="Calibri"/>
          <w:b/>
          <w:bCs/>
          <w:sz w:val="22"/>
          <w:szCs w:val="22"/>
        </w:rPr>
        <w:t xml:space="preserve">Ray termination logic has a gap.</w:t>
      </w:r>
      <w:r>
        <w:rPr>
          <w:rFonts w:ascii="Calibri" w:cs="Calibri" w:eastAsia="Calibri" w:hAnsi="Calibri"/>
          <w:sz w:val="22"/>
          <w:szCs w:val="22"/>
        </w:rPr>
        <w:t xml:space="preserve"> A ray that briefly leaves TC into brain (not edema) breaks immediately — silently dropping that boundary point and biasing the sample.</w:t>
      </w:r>
    </w:p>
    <w:p>
      <w:pPr>
        <w:pStyle w:val="ListParagraph"/>
        <w:numPr>
          <w:ilvl w:val="0"/>
          <w:numId w:val="2"/>
        </w:numPr>
        <w:spacing w:after="80" w:line="300"/>
      </w:pPr>
      <w:r>
        <w:rPr>
          <w:rFonts w:ascii="Calibri" w:cs="Calibri" w:eastAsia="Calibri" w:hAnsi="Calibri"/>
          <w:b/>
          <w:bCs/>
          <w:sz w:val="22"/>
          <w:szCs w:val="22"/>
        </w:rPr>
        <w:t xml:space="preserve">Units conflation in step size.</w:t>
      </w:r>
      <w:r>
        <w:rPr>
          <w:rFonts w:ascii="Calibri" w:cs="Calibri" w:eastAsia="Calibri" w:hAnsi="Calibri"/>
          <w:sz w:val="22"/>
          <w:szCs w:val="22"/>
        </w:rPr>
        <w:t xml:space="preserve"> mm_per_vox_step = ||u * spacing|| mixes a voxel-space unit vector with mm spacing — introduces directional bias on anisotropic voxels.</w:t>
      </w:r>
    </w:p>
    <w:p>
      <w:pPr>
        <w:pStyle w:val="ListParagraph"/>
        <w:numPr>
          <w:ilvl w:val="0"/>
          <w:numId w:val="2"/>
        </w:numPr>
        <w:spacing w:after="80" w:line="300"/>
      </w:pPr>
      <w:r>
        <w:rPr>
          <w:rFonts w:ascii="Calibri" w:cs="Calibri" w:eastAsia="Calibri" w:hAnsi="Calibri"/>
          <w:b/>
          <w:bCs/>
          <w:sz w:val="22"/>
          <w:szCs w:val="22"/>
        </w:rPr>
        <w:t xml:space="preserve">Inconsistent sampling: NN for masks, linear for intensity.</w:t>
      </w:r>
      <w:r>
        <w:rPr>
          <w:rFonts w:ascii="Calibri" w:cs="Calibri" w:eastAsia="Calibri" w:hAnsi="Calibri"/>
          <w:sz w:val="22"/>
          <w:szCs w:val="22"/>
        </w:rPr>
        <w:t xml:space="preserve"> Edge cases where a sub-voxel point is "in edema" by NN but not by partial-volume reasoning.</w:t>
      </w:r>
    </w:p>
    <w:p>
      <w:pPr>
        <w:pStyle w:val="ListParagraph"/>
        <w:numPr>
          <w:ilvl w:val="0"/>
          <w:numId w:val="2"/>
        </w:numPr>
        <w:spacing w:after="80" w:line="300"/>
      </w:pPr>
      <w:r>
        <w:rPr>
          <w:rFonts w:ascii="Calibri" w:cs="Calibri" w:eastAsia="Calibri" w:hAnsi="Calibri"/>
          <w:b/>
          <w:bCs/>
          <w:sz w:val="22"/>
          <w:szCs w:val="22"/>
        </w:rPr>
        <w:t xml:space="preserve">Empty-input guards all commented out.</w:t>
      </w:r>
      <w:r>
        <w:rPr>
          <w:rFonts w:ascii="Calibri" w:cs="Calibri" w:eastAsia="Calibri" w:hAnsi="Calibri"/>
          <w:sz w:val="22"/>
          <w:szCs w:val="22"/>
        </w:rPr>
        <w:t xml:space="preserve"> Empty TC, empty boundary, empty edema all need explicit early returns; currently the function will throw.</w:t>
      </w:r>
    </w:p>
    <w:p>
      <w:pPr>
        <w:pStyle w:val="Heading3"/>
        <w:spacing w:after="100" w:before="220"/>
      </w:pPr>
      <w:r>
        <w:rPr>
          <w:rFonts w:ascii="Calibri" w:cs="Calibri" w:eastAsia="Calibri" w:hAnsi="Calibri"/>
          <w:b/>
          <w:bCs/>
          <w:sz w:val="24"/>
          <w:szCs w:val="24"/>
        </w:rPr>
        <w:t xml:space="preserve">Minor Issues</w:t>
      </w:r>
    </w:p>
    <w:p>
      <w:pPr>
        <w:pStyle w:val="ListParagraph"/>
        <w:numPr>
          <w:ilvl w:val="0"/>
          <w:numId w:val="2"/>
        </w:numPr>
        <w:spacing w:after="80" w:line="300"/>
      </w:pPr>
      <w:r>
        <w:rPr>
          <w:rFonts w:ascii="Calibri" w:cs="Calibri" w:eastAsia="Calibri" w:hAnsi="Calibri"/>
          <w:sz w:val="22"/>
          <w:szCs w:val="22"/>
        </w:rPr>
        <w:t xml:space="preserve">n_successful_rays = sum(np.isfinite(thicknesses)) is just len(thicknesses) — every appended value is finite.</w:t>
      </w:r>
    </w:p>
    <w:p>
      <w:pPr>
        <w:pStyle w:val="ListParagraph"/>
        <w:numPr>
          <w:ilvl w:val="0"/>
          <w:numId w:val="2"/>
        </w:numPr>
        <w:spacing w:after="80" w:line="300"/>
      </w:pPr>
      <w:r>
        <w:rPr>
          <w:rFonts w:ascii="Calibri" w:cs="Calibri" w:eastAsia="Calibri" w:hAnsi="Calibri"/>
          <w:sz w:val="22"/>
          <w:szCs w:val="22"/>
        </w:rPr>
        <w:t xml:space="preserve">No morphological cleanup of segmentations before measurement.</w:t>
      </w:r>
    </w:p>
    <w:p>
      <w:pPr>
        <w:pStyle w:val="ListParagraph"/>
        <w:numPr>
          <w:ilvl w:val="0"/>
          <w:numId w:val="2"/>
        </w:numPr>
        <w:spacing w:after="80" w:line="300"/>
      </w:pPr>
      <w:r>
        <w:rPr>
          <w:rFonts w:ascii="Calibri" w:cs="Calibri" w:eastAsia="Calibri" w:hAnsi="Calibri"/>
          <w:sz w:val="22"/>
          <w:szCs w:val="22"/>
        </w:rPr>
        <w:t xml:space="preserve">max_dist_mm=80.0 acceptable, but long rays without a hit don't contribute, biasing the sample.</w:t>
      </w:r>
    </w:p>
    <w:p>
      <w:pPr>
        <w:pStyle w:val="ListParagraph"/>
        <w:numPr>
          <w:ilvl w:val="0"/>
          <w:numId w:val="2"/>
        </w:numPr>
        <w:spacing w:after="80" w:line="300"/>
      </w:pPr>
      <w:r>
        <w:rPr>
          <w:rFonts w:ascii="Calibri" w:cs="Calibri" w:eastAsia="Calibri" w:hAnsi="Calibri"/>
          <w:sz w:val="22"/>
          <w:szCs w:val="22"/>
        </w:rPr>
        <w:t xml:space="preserve">No handling of multifocal tumors — every boundary voxel contributes equally.</w:t>
      </w:r>
    </w:p>
    <w:p>
      <w:pPr>
        <w:pStyle w:val="Heading2"/>
        <w:spacing w:after="140" w:before="280"/>
      </w:pPr>
      <w:r>
        <w:rPr>
          <w:rFonts w:ascii="Calibri" w:cs="Calibri" w:eastAsia="Calibri" w:hAnsi="Calibri"/>
          <w:b/>
          <w:bCs/>
          <w:sz w:val="28"/>
          <w:szCs w:val="28"/>
        </w:rPr>
        <w:t xml:space="preserve">Comparison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spacing w:after="0" w:line="260"/>
            </w:pPr>
            <w:r>
              <w:rPr>
                <w:rFonts w:ascii="Calibri" w:cs="Calibri" w:eastAsia="Calibri" w:hAnsi="Calibri"/>
                <w:b/>
                <w:bCs/>
                <w:sz w:val="20"/>
                <w:szCs w:val="20"/>
              </w:rPr>
              <w:t xml:space="preserve">Aspect</w:t>
            </w:r>
          </w:p>
        </w:tc>
        <w:tc>
          <w:tcPr>
            <w:tcW w:type="dxa" w:w="348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spacing w:after="0" w:line="260"/>
            </w:pPr>
            <w:r>
              <w:rPr>
                <w:rFonts w:ascii="Calibri" w:cs="Calibri" w:eastAsia="Calibri" w:hAnsi="Calibri"/>
                <w:b/>
                <w:bCs/>
                <w:sz w:val="20"/>
                <w:szCs w:val="20"/>
              </w:rPr>
              <w:t xml:space="preserve">Ray-casting + intensity band</w:t>
            </w:r>
          </w:p>
        </w:tc>
        <w:tc>
          <w:tcPr>
            <w:tcW w:type="dxa" w:w="348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spacing w:after="0" w:line="260"/>
            </w:pPr>
            <w:r>
              <w:rPr>
                <w:rFonts w:ascii="Calibri" w:cs="Calibri" w:eastAsia="Calibri" w:hAnsi="Calibri"/>
                <w:b/>
                <w:bCs/>
                <w:sz w:val="20"/>
                <w:szCs w:val="20"/>
              </w:rPr>
              <w:t xml:space="preserve">Distance-transform local thickness</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What it measures</w:t>
            </w:r>
          </w:p>
        </w:tc>
        <w:tc>
          <w:tcPr>
            <w:tcW w:type="dxa" w:w="34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Distance to where intensity matches edema</w:t>
            </w:r>
          </w:p>
        </w:tc>
        <w:tc>
          <w:tcPr>
            <w:tcW w:type="dxa" w:w="34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Diameter of largest sphere fitting in shell</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Definition of TZ</w:t>
            </w:r>
          </w:p>
        </w:tc>
        <w:tc>
          <w:tcPr>
            <w:tcW w:type="dxa" w:w="34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Intensity-defined</w:t>
            </w:r>
          </w:p>
        </w:tc>
        <w:tc>
          <w:tcPr>
            <w:tcW w:type="dxa" w:w="34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Geometry-defined</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Handles irregular shapes</w:t>
            </w:r>
          </w:p>
        </w:tc>
        <w:tc>
          <w:tcPr>
            <w:tcW w:type="dxa" w:w="34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Yes (per-voxel normals)</w:t>
            </w:r>
          </w:p>
        </w:tc>
        <w:tc>
          <w:tcPr>
            <w:tcW w:type="dxa" w:w="34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Yes (per-voxel inscribed sphere)</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Anisotropic voxels</w:t>
            </w:r>
          </w:p>
        </w:tc>
        <w:tc>
          <w:tcPr>
            <w:tcW w:type="dxa" w:w="34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Has a subtle bug</w:t>
            </w:r>
          </w:p>
        </w:tc>
        <w:tc>
          <w:tcPr>
            <w:tcW w:type="dxa" w:w="34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Handled cleanly</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Sensitivity to seg noise</w:t>
            </w:r>
          </w:p>
        </w:tc>
        <w:tc>
          <w:tcPr>
            <w:tcW w:type="dxa" w:w="34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Moderate</w:t>
            </w:r>
          </w:p>
        </w:tc>
        <w:tc>
          <w:tcPr>
            <w:tcW w:type="dxa" w:w="34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High but easily fixed</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Sensitivity to intensity</w:t>
            </w:r>
          </w:p>
        </w:tc>
        <w:tc>
          <w:tcPr>
            <w:tcW w:type="dxa" w:w="34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High (scanner, bias field)</w:t>
            </w:r>
          </w:p>
        </w:tc>
        <w:tc>
          <w:tcPr>
            <w:tcW w:type="dxa" w:w="34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Zero</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Reproducibility across scanners</w:t>
            </w:r>
          </w:p>
        </w:tc>
        <w:tc>
          <w:tcPr>
            <w:tcW w:type="dxa" w:w="34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Lower</w:t>
            </w:r>
          </w:p>
        </w:tc>
        <w:tc>
          <w:tcPr>
            <w:tcW w:type="dxa" w:w="34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Higher</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Biological interpretability</w:t>
            </w:r>
          </w:p>
        </w:tc>
        <w:tc>
          <w:tcPr>
            <w:tcW w:type="dxa" w:w="34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Unclear on T1CE</w:t>
            </w:r>
          </w:p>
        </w:tc>
        <w:tc>
          <w:tcPr>
            <w:tcW w:type="dxa" w:w="34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Unambiguous geometric meaning</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Failure modes</w:t>
            </w:r>
          </w:p>
        </w:tc>
        <w:tc>
          <w:tcPr>
            <w:tcW w:type="dxa" w:w="34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Silent ray drops</w:t>
            </w:r>
          </w:p>
        </w:tc>
        <w:tc>
          <w:tcPr>
            <w:tcW w:type="dxa" w:w="34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Empty mask returns NaN cleanly</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Literature precedent</w:t>
            </w:r>
          </w:p>
        </w:tc>
        <w:tc>
          <w:tcPr>
            <w:tcW w:type="dxa" w:w="34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Novel hybrid</w:t>
            </w:r>
          </w:p>
        </w:tc>
        <w:tc>
          <w:tcPr>
            <w:tcW w:type="dxa" w:w="34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Hildebrand-Rüegsegger (transferable)</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Computational cost</w:t>
            </w:r>
          </w:p>
        </w:tc>
        <w:tc>
          <w:tcPr>
            <w:tcW w:type="dxa" w:w="34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Higher (per-ray marching)</w:t>
            </w:r>
          </w:p>
        </w:tc>
        <w:tc>
          <w:tcPr>
            <w:tcW w:type="dxa" w:w="34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Lower (one distance transform)</w:t>
            </w:r>
          </w:p>
        </w:tc>
      </w:tr>
    </w:tbl>
    <w:p>
      <w:pPr>
        <w:pStyle w:val="Heading2"/>
        <w:spacing w:after="140" w:before="280"/>
      </w:pPr>
      <w:r>
        <w:rPr>
          <w:rFonts w:ascii="Calibri" w:cs="Calibri" w:eastAsia="Calibri" w:hAnsi="Calibri"/>
          <w:b/>
          <w:bCs/>
          <w:sz w:val="28"/>
          <w:szCs w:val="28"/>
        </w:rPr>
        <w:t xml:space="preserve">Recommendation</w:t>
      </w:r>
    </w:p>
    <w:p>
      <w:pPr>
        <w:spacing w:after="120" w:line="300"/>
      </w:pPr>
      <w:r>
        <w:rPr>
          <w:rFonts w:ascii="Calibri" w:cs="Calibri" w:eastAsia="Calibri" w:hAnsi="Calibri"/>
          <w:b/>
          <w:bCs/>
          <w:sz w:val="22"/>
          <w:szCs w:val="22"/>
        </w:rPr>
        <w:t xml:space="preserve">Go with the distance-transform approach for the published metric, but keep the ray-casting code as a complementary feature.</w:t>
      </w:r>
    </w:p>
    <w:p>
      <w:pPr>
        <w:pStyle w:val="Heading3"/>
        <w:spacing w:after="100" w:before="220"/>
      </w:pPr>
      <w:r>
        <w:rPr>
          <w:rFonts w:ascii="Calibri" w:cs="Calibri" w:eastAsia="Calibri" w:hAnsi="Calibri"/>
          <w:b/>
          <w:bCs/>
          <w:sz w:val="24"/>
          <w:szCs w:val="24"/>
        </w:rPr>
        <w:t xml:space="preserve">Why distance-transform should be the primary metric</w:t>
      </w:r>
    </w:p>
    <w:p>
      <w:pPr>
        <w:pStyle w:val="ListParagraph"/>
        <w:numPr>
          <w:ilvl w:val="0"/>
          <w:numId w:val="2"/>
        </w:numPr>
        <w:spacing w:after="80" w:line="300"/>
      </w:pPr>
      <w:r>
        <w:rPr>
          <w:rFonts w:ascii="Calibri" w:cs="Calibri" w:eastAsia="Calibri" w:hAnsi="Calibri"/>
          <w:sz w:val="22"/>
          <w:szCs w:val="22"/>
        </w:rPr>
        <w:t xml:space="preserve">Reproducibility — depends only on segmentation, not on intensity.</w:t>
      </w:r>
    </w:p>
    <w:p>
      <w:pPr>
        <w:pStyle w:val="ListParagraph"/>
        <w:numPr>
          <w:ilvl w:val="0"/>
          <w:numId w:val="2"/>
        </w:numPr>
        <w:spacing w:after="80" w:line="300"/>
      </w:pPr>
      <w:r>
        <w:rPr>
          <w:rFonts w:ascii="Calibri" w:cs="Calibri" w:eastAsia="Calibri" w:hAnsi="Calibri"/>
          <w:sz w:val="22"/>
          <w:szCs w:val="22"/>
        </w:rPr>
        <w:t xml:space="preserve">Defensibility — cite established methodology (local thickness in bone imaging).</w:t>
      </w:r>
    </w:p>
    <w:p>
      <w:pPr>
        <w:pStyle w:val="ListParagraph"/>
        <w:numPr>
          <w:ilvl w:val="0"/>
          <w:numId w:val="2"/>
        </w:numPr>
        <w:spacing w:after="80" w:line="300"/>
      </w:pPr>
      <w:r>
        <w:rPr>
          <w:rFonts w:ascii="Calibri" w:cs="Calibri" w:eastAsia="Calibri" w:hAnsi="Calibri"/>
          <w:sz w:val="22"/>
          <w:szCs w:val="22"/>
        </w:rPr>
        <w:t xml:space="preserve">Robustness — no silent failure modes; bugs are easier to catch.</w:t>
      </w:r>
    </w:p>
    <w:p>
      <w:pPr>
        <w:pStyle w:val="ListParagraph"/>
        <w:numPr>
          <w:ilvl w:val="0"/>
          <w:numId w:val="2"/>
        </w:numPr>
        <w:spacing w:after="80" w:line="300"/>
      </w:pPr>
      <w:r>
        <w:rPr>
          <w:rFonts w:ascii="Calibri" w:cs="Calibri" w:eastAsia="Calibri" w:hAnsi="Calibri"/>
          <w:sz w:val="22"/>
          <w:szCs w:val="22"/>
        </w:rPr>
        <w:t xml:space="preserve">Speed — single distance transform vs per-voxel ray marching.</w:t>
      </w:r>
    </w:p>
    <w:p>
      <w:pPr>
        <w:pStyle w:val="Heading3"/>
        <w:spacing w:after="100" w:before="220"/>
      </w:pPr>
      <w:r>
        <w:rPr>
          <w:rFonts w:ascii="Calibri" w:cs="Calibri" w:eastAsia="Calibri" w:hAnsi="Calibri"/>
          <w:b/>
          <w:bCs/>
          <w:sz w:val="24"/>
          <w:szCs w:val="24"/>
        </w:rPr>
        <w:t xml:space="preserve">Why the ray-casting approach is still valuable</w:t>
      </w:r>
    </w:p>
    <w:p>
      <w:pPr>
        <w:pStyle w:val="ListParagraph"/>
        <w:numPr>
          <w:ilvl w:val="0"/>
          <w:numId w:val="2"/>
        </w:numPr>
        <w:spacing w:after="80" w:line="300"/>
      </w:pPr>
      <w:r>
        <w:rPr>
          <w:rFonts w:ascii="Calibri" w:cs="Calibri" w:eastAsia="Calibri" w:hAnsi="Calibri"/>
          <w:sz w:val="22"/>
          <w:szCs w:val="22"/>
        </w:rPr>
        <w:t xml:space="preserve">The outward normal computation is genuinely useful as a utility.</w:t>
      </w:r>
    </w:p>
    <w:p>
      <w:pPr>
        <w:pStyle w:val="ListParagraph"/>
        <w:numPr>
          <w:ilvl w:val="0"/>
          <w:numId w:val="2"/>
        </w:numPr>
        <w:spacing w:after="80" w:line="300"/>
      </w:pPr>
      <w:r>
        <w:rPr>
          <w:rFonts w:ascii="Calibri" w:cs="Calibri" w:eastAsia="Calibri" w:hAnsi="Calibri"/>
          <w:sz w:val="22"/>
          <w:szCs w:val="22"/>
        </w:rPr>
        <w:t xml:space="preserve">The intensity-aware aspect captures something different — biological transition rather than geometric transition.</w:t>
      </w:r>
    </w:p>
    <w:p>
      <w:pPr>
        <w:pStyle w:val="ListParagraph"/>
        <w:numPr>
          <w:ilvl w:val="0"/>
          <w:numId w:val="2"/>
        </w:numPr>
        <w:spacing w:after="80" w:line="300"/>
      </w:pPr>
      <w:r>
        <w:rPr>
          <w:rFonts w:ascii="Calibri" w:cs="Calibri" w:eastAsia="Calibri" w:hAnsi="Calibri"/>
          <w:sz w:val="22"/>
          <w:szCs w:val="22"/>
        </w:rPr>
        <w:t xml:space="preserve">Switch the modality from T1CE to FLAIR (where edema is bright) and it becomes a meaningful infiltration depth metric.</w:t>
      </w:r>
    </w:p>
    <w:p>
      <w:pPr>
        <w:pStyle w:val="ListParagraph"/>
        <w:numPr>
          <w:ilvl w:val="0"/>
          <w:numId w:val="2"/>
        </w:numPr>
        <w:spacing w:after="80" w:line="300"/>
      </w:pPr>
      <w:r>
        <w:rPr>
          <w:rFonts w:ascii="Calibri" w:cs="Calibri" w:eastAsia="Calibri" w:hAnsi="Calibri"/>
          <w:sz w:val="22"/>
          <w:szCs w:val="22"/>
        </w:rPr>
        <w:t xml:space="preserve">Reporting both lets you study their correlation.</w:t>
      </w:r>
    </w:p>
    <w:p>
      <w:pPr>
        <w:pStyle w:val="Heading3"/>
        <w:spacing w:after="100" w:before="220"/>
      </w:pPr>
      <w:r>
        <w:rPr>
          <w:rFonts w:ascii="Calibri" w:cs="Calibri" w:eastAsia="Calibri" w:hAnsi="Calibri"/>
          <w:b/>
          <w:bCs/>
          <w:sz w:val="24"/>
          <w:szCs w:val="24"/>
        </w:rPr>
        <w:t xml:space="preserve">Concrete plan</w:t>
      </w:r>
    </w:p>
    <w:p>
      <w:pPr>
        <w:pStyle w:val="ListParagraph"/>
        <w:numPr>
          <w:ilvl w:val="0"/>
          <w:numId w:val="2"/>
        </w:numPr>
        <w:spacing w:after="80" w:line="300"/>
      </w:pPr>
      <w:r>
        <w:rPr>
          <w:rFonts w:ascii="Calibri" w:cs="Calibri" w:eastAsia="Calibri" w:hAnsi="Calibri"/>
          <w:b/>
          <w:bCs/>
          <w:sz w:val="22"/>
          <w:szCs w:val="22"/>
        </w:rPr>
        <w:t xml:space="preserve">Primary metric: </w:t>
      </w:r>
      <w:r>
        <w:rPr>
          <w:rFonts w:ascii="Calibri" w:cs="Calibri" w:eastAsia="Calibri" w:hAnsi="Calibri"/>
          <w:sz w:val="22"/>
          <w:szCs w:val="22"/>
        </w:rPr>
        <w:t xml:space="preserve">Distance-transform local thickness on the geometric transition zone (WT − TC). Report mean, median, p95, std.</w:t>
      </w:r>
    </w:p>
    <w:p>
      <w:pPr>
        <w:pStyle w:val="ListParagraph"/>
        <w:numPr>
          <w:ilvl w:val="0"/>
          <w:numId w:val="2"/>
        </w:numPr>
        <w:spacing w:after="80" w:line="300"/>
      </w:pPr>
      <w:r>
        <w:rPr>
          <w:rFonts w:ascii="Calibri" w:cs="Calibri" w:eastAsia="Calibri" w:hAnsi="Calibri"/>
          <w:b/>
          <w:bCs/>
          <w:sz w:val="22"/>
          <w:szCs w:val="22"/>
        </w:rPr>
        <w:t xml:space="preserve">Secondary metric: </w:t>
      </w:r>
      <w:r>
        <w:rPr>
          <w:rFonts w:ascii="Calibri" w:cs="Calibri" w:eastAsia="Calibri" w:hAnsi="Calibri"/>
          <w:sz w:val="22"/>
          <w:szCs w:val="22"/>
        </w:rPr>
        <w:t xml:space="preserve">Ray-casting on FLAIR (not T1CE), after fixing z_best, the units bug, and the silent-failure issue.</w:t>
      </w:r>
    </w:p>
    <w:p>
      <w:pPr>
        <w:pStyle w:val="ListParagraph"/>
        <w:numPr>
          <w:ilvl w:val="0"/>
          <w:numId w:val="2"/>
        </w:numPr>
        <w:spacing w:after="80" w:line="300"/>
      </w:pPr>
      <w:r>
        <w:rPr>
          <w:rFonts w:ascii="Calibri" w:cs="Calibri" w:eastAsia="Calibri" w:hAnsi="Calibri"/>
          <w:b/>
          <w:bCs/>
          <w:sz w:val="22"/>
          <w:szCs w:val="22"/>
        </w:rPr>
        <w:t xml:space="preserve">Validate both </w:t>
      </w:r>
      <w:r>
        <w:rPr>
          <w:rFonts w:ascii="Calibri" w:cs="Calibri" w:eastAsia="Calibri" w:hAnsi="Calibri"/>
          <w:sz w:val="22"/>
          <w:szCs w:val="22"/>
        </w:rPr>
        <w:t xml:space="preserve">against a clinical endpoint (grade, IDH, MGMT, OS) to see which carries information.</w:t>
      </w:r>
    </w:p>
    <w:p>
      <w:pPr>
        <w:pBdr>
          <w:bottom w:val="single" w:color="2E75B6" w:sz="6" w:space="4"/>
        </w:pBdr>
        <w:spacing w:after="80" w:before="280"/>
      </w:pPr>
      <w:r>
        <w:rPr>
          <w:rFonts w:ascii="Calibri" w:cs="Calibri" w:eastAsia="Calibri" w:hAnsi="Calibri"/>
          <w:b/>
          <w:bCs/>
          <w:color w:val="2E75B6"/>
          <w:sz w:val="24"/>
          <w:szCs w:val="24"/>
        </w:rPr>
        <w:t xml:space="preserve">Question 7</w:t>
      </w:r>
    </w:p>
    <w:p>
      <w:pPr>
        <w:spacing w:after="120" w:line="300"/>
      </w:pPr>
      <w:r>
        <w:rPr>
          <w:rFonts w:ascii="Calibri" w:cs="Calibri" w:eastAsia="Calibri" w:hAnsi="Calibri"/>
          <w:sz w:val="22"/>
          <w:szCs w:val="22"/>
        </w:rPr>
        <w:t xml:space="preserve">Yes and remove the z_best in ray-casting method</w:t>
      </w:r>
    </w:p>
    <w:p>
      <w:pPr>
        <w:pBdr>
          <w:bottom w:val="single" w:color="70AD47" w:sz="6" w:space="4"/>
        </w:pBdr>
        <w:spacing w:after="80" w:before="280"/>
      </w:pPr>
      <w:r>
        <w:rPr>
          <w:rFonts w:ascii="Calibri" w:cs="Calibri" w:eastAsia="Calibri" w:hAnsi="Calibri"/>
          <w:b/>
          <w:bCs/>
          <w:color w:val="70AD47"/>
          <w:sz w:val="24"/>
          <w:szCs w:val="24"/>
        </w:rPr>
        <w:t xml:space="preserve">Claude</w:t>
      </w:r>
    </w:p>
    <w:p>
      <w:pPr>
        <w:spacing w:after="120" w:line="300"/>
      </w:pPr>
      <w:r>
        <w:rPr>
          <w:rFonts w:ascii="Calibri" w:cs="Calibri" w:eastAsia="Calibri" w:hAnsi="Calibri"/>
          <w:sz w:val="22"/>
          <w:szCs w:val="22"/>
        </w:rPr>
        <w:t xml:space="preserve">Built a clean, runnable module containing both methods side-by-side as transition_zone_thickness.py.</w:t>
      </w:r>
    </w:p>
    <w:p>
      <w:pPr>
        <w:pStyle w:val="Heading2"/>
        <w:spacing w:after="140" w:before="280"/>
      </w:pPr>
      <w:r>
        <w:rPr>
          <w:rFonts w:ascii="Calibri" w:cs="Calibri" w:eastAsia="Calibri" w:hAnsi="Calibri"/>
          <w:b/>
          <w:bCs/>
          <w:sz w:val="28"/>
          <w:szCs w:val="28"/>
        </w:rPr>
        <w:t xml:space="preserve">Summary of Changes from the Original</w:t>
      </w:r>
    </w:p>
    <w:p>
      <w:pPr>
        <w:pStyle w:val="Heading3"/>
        <w:spacing w:after="100" w:before="220"/>
      </w:pPr>
      <w:r>
        <w:rPr>
          <w:rFonts w:ascii="Calibri" w:cs="Calibri" w:eastAsia="Calibri" w:hAnsi="Calibri"/>
          <w:b/>
          <w:bCs/>
          <w:sz w:val="24"/>
          <w:szCs w:val="24"/>
        </w:rPr>
        <w:t xml:space="preserve">Removed entirely</w:t>
      </w:r>
    </w:p>
    <w:p>
      <w:pPr>
        <w:pStyle w:val="ListParagraph"/>
        <w:numPr>
          <w:ilvl w:val="0"/>
          <w:numId w:val="2"/>
        </w:numPr>
        <w:spacing w:after="80" w:line="300"/>
      </w:pPr>
      <w:r>
        <w:rPr>
          <w:rFonts w:ascii="Calibri" w:cs="Calibri" w:eastAsia="Calibri" w:hAnsi="Calibri"/>
          <w:sz w:val="22"/>
          <w:szCs w:val="22"/>
        </w:rPr>
        <w:t xml:space="preserve">z_best and the axial-slice argmax logic — gone everywhere, including the return dict.</w:t>
      </w:r>
    </w:p>
    <w:p>
      <w:pPr>
        <w:pStyle w:val="ListParagraph"/>
        <w:numPr>
          <w:ilvl w:val="0"/>
          <w:numId w:val="2"/>
        </w:numPr>
        <w:spacing w:after="80" w:line="300"/>
      </w:pPr>
      <w:r>
        <w:rPr>
          <w:rFonts w:ascii="Calibri" w:cs="Calibri" w:eastAsia="Calibri" w:hAnsi="Calibri"/>
          <w:sz w:val="22"/>
          <w:szCs w:val="22"/>
        </w:rPr>
        <w:t xml:space="preserve">All commented-out dead code.</w:t>
      </w:r>
    </w:p>
    <w:p>
      <w:pPr>
        <w:pStyle w:val="ListParagraph"/>
        <w:numPr>
          <w:ilvl w:val="0"/>
          <w:numId w:val="2"/>
        </w:numPr>
        <w:spacing w:after="80" w:line="300"/>
      </w:pPr>
      <w:r>
        <w:rPr>
          <w:rFonts w:ascii="Calibri" w:cs="Calibri" w:eastAsia="Calibri" w:hAnsi="Calibri"/>
          <w:sz w:val="22"/>
          <w:szCs w:val="22"/>
        </w:rPr>
        <w:t xml:space="preserve">Dependency on NiftiImage and vasari_features — module is now self-contained, takes plain numpy arrays plus spacing tuple.</w:t>
      </w:r>
    </w:p>
    <w:p>
      <w:pPr>
        <w:pStyle w:val="Heading3"/>
        <w:spacing w:after="100" w:before="220"/>
      </w:pPr>
      <w:r>
        <w:rPr>
          <w:rFonts w:ascii="Calibri" w:cs="Calibri" w:eastAsia="Calibri" w:hAnsi="Calibri"/>
          <w:b/>
          <w:bCs/>
          <w:sz w:val="24"/>
          <w:szCs w:val="24"/>
        </w:rPr>
        <w:t xml:space="preserve">Fixed bugs</w:t>
      </w:r>
    </w:p>
    <w:p>
      <w:pPr>
        <w:pStyle w:val="ListParagraph"/>
        <w:numPr>
          <w:ilvl w:val="0"/>
          <w:numId w:val="2"/>
        </w:numPr>
        <w:spacing w:after="80" w:line="300"/>
      </w:pPr>
      <w:r>
        <w:rPr>
          <w:rFonts w:ascii="Calibri" w:cs="Calibri" w:eastAsia="Calibri" w:hAnsi="Calibri"/>
          <w:b/>
          <w:bCs/>
          <w:sz w:val="22"/>
          <w:szCs w:val="22"/>
        </w:rPr>
        <w:t xml:space="preserve">Units bug in normals: </w:t>
      </w:r>
      <w:r>
        <w:rPr>
          <w:rFonts w:ascii="Calibri" w:cs="Calibri" w:eastAsia="Calibri" w:hAnsi="Calibri"/>
          <w:sz w:val="22"/>
          <w:szCs w:val="22"/>
        </w:rPr>
        <w:t xml:space="preserve">outward normals are now computed and used in physical (mm) space consistently. Voxel-step for map_coordinates indexing is derived as (u_mm * step_mm) / spacing.</w:t>
      </w:r>
    </w:p>
    <w:p>
      <w:pPr>
        <w:pStyle w:val="ListParagraph"/>
        <w:numPr>
          <w:ilvl w:val="0"/>
          <w:numId w:val="2"/>
        </w:numPr>
        <w:spacing w:after="80" w:line="300"/>
      </w:pPr>
      <w:r>
        <w:rPr>
          <w:rFonts w:ascii="Calibri" w:cs="Calibri" w:eastAsia="Calibri" w:hAnsi="Calibri"/>
          <w:b/>
          <w:bCs/>
          <w:sz w:val="22"/>
          <w:szCs w:val="22"/>
        </w:rPr>
        <w:t xml:space="preserve">Step size: </w:t>
      </w:r>
      <w:r>
        <w:rPr>
          <w:rFonts w:ascii="Calibri" w:cs="Calibri" w:eastAsia="Calibri" w:hAnsi="Calibri"/>
          <w:sz w:val="22"/>
          <w:szCs w:val="22"/>
        </w:rPr>
        <w:t xml:space="preserve">now step_mm = 0.25 * min(spacing) by default, in mm — no directional bias from anisotropic spacing.</w:t>
      </w:r>
    </w:p>
    <w:p>
      <w:pPr>
        <w:pStyle w:val="ListParagraph"/>
        <w:numPr>
          <w:ilvl w:val="0"/>
          <w:numId w:val="2"/>
        </w:numPr>
        <w:spacing w:after="80" w:line="300"/>
      </w:pPr>
      <w:r>
        <w:rPr>
          <w:rFonts w:ascii="Calibri" w:cs="Calibri" w:eastAsia="Calibri" w:hAnsi="Calibri"/>
          <w:b/>
          <w:bCs/>
          <w:sz w:val="22"/>
          <w:szCs w:val="22"/>
        </w:rPr>
        <w:t xml:space="preserve">Empty-mask early returns: </w:t>
      </w:r>
      <w:r>
        <w:rPr>
          <w:rFonts w:ascii="Calibri" w:cs="Calibri" w:eastAsia="Calibri" w:hAnsi="Calibri"/>
          <w:sz w:val="22"/>
          <w:szCs w:val="22"/>
        </w:rPr>
        <w:t xml:space="preserve">TC empty, edema empty, no boundary, no edema intensities, no successful rays — each returns a clean NaN result instead of crashing.</w:t>
      </w:r>
    </w:p>
    <w:p>
      <w:pPr>
        <w:pStyle w:val="ListParagraph"/>
        <w:numPr>
          <w:ilvl w:val="0"/>
          <w:numId w:val="2"/>
        </w:numPr>
        <w:spacing w:after="80" w:line="300"/>
      </w:pPr>
      <w:r>
        <w:rPr>
          <w:rFonts w:ascii="Calibri" w:cs="Calibri" w:eastAsia="Calibri" w:hAnsi="Calibri"/>
          <w:b/>
          <w:bCs/>
          <w:sz w:val="22"/>
          <w:szCs w:val="22"/>
        </w:rPr>
        <w:t xml:space="preserve">Ray outcome accounting: </w:t>
      </w:r>
      <w:r>
        <w:rPr>
          <w:rFonts w:ascii="Calibri" w:cs="Calibri" w:eastAsia="Calibri" w:hAnsi="Calibri"/>
          <w:sz w:val="22"/>
          <w:szCs w:val="22"/>
        </w:rPr>
        <w:t xml:space="preserve">explicit counters for hit, exited_no_hit, hit_max_dist, degenerate_normal — auditable QC for the median.</w:t>
      </w:r>
    </w:p>
    <w:p>
      <w:pPr>
        <w:pStyle w:val="Heading3"/>
        <w:spacing w:after="100" w:before="220"/>
      </w:pPr>
      <w:r>
        <w:rPr>
          <w:rFonts w:ascii="Calibri" w:cs="Calibri" w:eastAsia="Calibri" w:hAnsi="Calibri"/>
          <w:b/>
          <w:bCs/>
          <w:sz w:val="24"/>
          <w:szCs w:val="24"/>
        </w:rPr>
        <w:t xml:space="preserve">Added</w:t>
      </w:r>
    </w:p>
    <w:p>
      <w:pPr>
        <w:pStyle w:val="ListParagraph"/>
        <w:numPr>
          <w:ilvl w:val="0"/>
          <w:numId w:val="2"/>
        </w:numPr>
        <w:spacing w:after="80" w:line="300"/>
      </w:pPr>
      <w:r>
        <w:rPr>
          <w:rFonts w:ascii="Calibri" w:cs="Calibri" w:eastAsia="Calibri" w:hAnsi="Calibri"/>
          <w:b/>
          <w:bCs/>
          <w:sz w:val="22"/>
          <w:szCs w:val="22"/>
        </w:rPr>
        <w:t xml:space="preserve">Method A: </w:t>
      </w:r>
      <w:r>
        <w:rPr>
          <w:rFonts w:ascii="Calibri" w:cs="Calibri" w:eastAsia="Calibri" w:hAnsi="Calibri"/>
          <w:sz w:val="22"/>
          <w:szCs w:val="22"/>
        </w:rPr>
        <w:t xml:space="preserve">transition_zone_thickness_distance_transform — primary geometric method. Returns full distribution stats and the per-voxel thickness map for visualization.</w:t>
      </w:r>
    </w:p>
    <w:p>
      <w:pPr>
        <w:pStyle w:val="ListParagraph"/>
        <w:numPr>
          <w:ilvl w:val="0"/>
          <w:numId w:val="2"/>
        </w:numPr>
        <w:spacing w:after="80" w:line="300"/>
      </w:pPr>
      <w:r>
        <w:rPr>
          <w:rFonts w:ascii="Calibri" w:cs="Calibri" w:eastAsia="Calibri" w:hAnsi="Calibri"/>
          <w:b/>
          <w:bCs/>
          <w:sz w:val="22"/>
          <w:szCs w:val="22"/>
        </w:rPr>
        <w:t xml:space="preserve">Method B: </w:t>
      </w:r>
      <w:r>
        <w:rPr>
          <w:rFonts w:ascii="Calibri" w:cs="Calibri" w:eastAsia="Calibri" w:hAnsi="Calibri"/>
          <w:sz w:val="22"/>
          <w:szCs w:val="22"/>
        </w:rPr>
        <w:t xml:space="preserve">transition_zone_thickness_raycast — fixed and modality-agnostic ray-casting. Docstring strongly recommends FLAIR over T1CE.</w:t>
      </w:r>
    </w:p>
    <w:p>
      <w:pPr>
        <w:pStyle w:val="ListParagraph"/>
        <w:numPr>
          <w:ilvl w:val="0"/>
          <w:numId w:val="2"/>
        </w:numPr>
        <w:spacing w:after="80" w:line="300"/>
      </w:pPr>
      <w:r>
        <w:rPr>
          <w:rFonts w:ascii="Calibri" w:cs="Calibri" w:eastAsia="Calibri" w:hAnsi="Calibri"/>
          <w:b/>
          <w:bCs/>
          <w:sz w:val="22"/>
          <w:szCs w:val="22"/>
        </w:rPr>
        <w:t xml:space="preserve">Convenience wrapper: </w:t>
      </w:r>
      <w:r>
        <w:rPr>
          <w:rFonts w:ascii="Calibri" w:cs="Calibri" w:eastAsia="Calibri" w:hAnsi="Calibri"/>
          <w:sz w:val="22"/>
          <w:szCs w:val="22"/>
        </w:rPr>
        <w:t xml:space="preserve">transition_zone_thickness_both runs both and returns a combined report.</w:t>
      </w:r>
    </w:p>
    <w:p>
      <w:pPr>
        <w:pStyle w:val="ListParagraph"/>
        <w:numPr>
          <w:ilvl w:val="0"/>
          <w:numId w:val="2"/>
        </w:numPr>
        <w:spacing w:after="80" w:line="300"/>
      </w:pPr>
      <w:r>
        <w:rPr>
          <w:rFonts w:ascii="Calibri" w:cs="Calibri" w:eastAsia="Calibri" w:hAnsi="Calibri"/>
          <w:sz w:val="22"/>
          <w:szCs w:val="22"/>
        </w:rPr>
        <w:t xml:space="preserve">Light morphological cleanup option (closing + small-component removal) to reduce sensitivity to segmentation noise; can be disabled.</w:t>
      </w:r>
    </w:p>
    <w:p>
      <w:pPr>
        <w:pStyle w:val="Heading3"/>
        <w:spacing w:after="100" w:before="220"/>
      </w:pPr>
      <w:r>
        <w:rPr>
          <w:rFonts w:ascii="Calibri" w:cs="Calibri" w:eastAsia="Calibri" w:hAnsi="Calibri"/>
          <w:b/>
          <w:bCs/>
          <w:sz w:val="24"/>
          <w:szCs w:val="24"/>
        </w:rPr>
        <w:t xml:space="preserve">Verified on synthetic data</w:t>
      </w:r>
    </w:p>
    <w:p>
      <w:pPr>
        <w:pStyle w:val="ListParagraph"/>
        <w:numPr>
          <w:ilvl w:val="0"/>
          <w:numId w:val="2"/>
        </w:numPr>
        <w:spacing w:after="80" w:line="300"/>
      </w:pPr>
      <w:r>
        <w:rPr>
          <w:rFonts w:ascii="Calibri" w:cs="Calibri" w:eastAsia="Calibri" w:hAnsi="Calibri"/>
          <w:sz w:val="22"/>
          <w:szCs w:val="22"/>
        </w:rPr>
        <w:t xml:space="preserve">Syntax check passes.</w:t>
      </w:r>
    </w:p>
    <w:p>
      <w:pPr>
        <w:pStyle w:val="ListParagraph"/>
        <w:numPr>
          <w:ilvl w:val="0"/>
          <w:numId w:val="2"/>
        </w:numPr>
        <w:spacing w:after="80" w:line="300"/>
      </w:pPr>
      <w:r>
        <w:rPr>
          <w:rFonts w:ascii="Calibri" w:cs="Calibri" w:eastAsia="Calibri" w:hAnsi="Calibri"/>
          <w:sz w:val="22"/>
          <w:szCs w:val="22"/>
        </w:rPr>
        <w:t xml:space="preserve">Synthetic spherical tumor with 5 mm shell: DT method recovers ~5.66 mm max thickness, scales correctly with anisotropic voxels (1, 1, 3 mm).</w:t>
      </w:r>
    </w:p>
    <w:p>
      <w:pPr>
        <w:pStyle w:val="ListParagraph"/>
        <w:numPr>
          <w:ilvl w:val="0"/>
          <w:numId w:val="2"/>
        </w:numPr>
        <w:spacing w:after="80" w:line="300"/>
      </w:pPr>
      <w:r>
        <w:rPr>
          <w:rFonts w:ascii="Calibri" w:cs="Calibri" w:eastAsia="Calibri" w:hAnsi="Calibri"/>
          <w:sz w:val="22"/>
          <w:szCs w:val="22"/>
        </w:rPr>
        <w:t xml:space="preserve">Ray-casting outcome counters all populate correctly.</w:t>
      </w:r>
    </w:p>
    <w:p>
      <w:pPr>
        <w:pStyle w:val="Heading2"/>
        <w:spacing w:after="140" w:before="280"/>
      </w:pPr>
      <w:r>
        <w:rPr>
          <w:rFonts w:ascii="Calibri" w:cs="Calibri" w:eastAsia="Calibri" w:hAnsi="Calibri"/>
          <w:b/>
          <w:bCs/>
          <w:sz w:val="28"/>
          <w:szCs w:val="28"/>
        </w:rPr>
        <w:t xml:space="preserve">Practical Recommendations</w:t>
      </w:r>
    </w:p>
    <w:p>
      <w:pPr>
        <w:pStyle w:val="ListParagraph"/>
        <w:numPr>
          <w:ilvl w:val="0"/>
          <w:numId w:val="2"/>
        </w:numPr>
        <w:spacing w:after="80" w:line="300"/>
      </w:pPr>
      <w:r>
        <w:rPr>
          <w:rFonts w:ascii="Calibri" w:cs="Calibri" w:eastAsia="Calibri" w:hAnsi="Calibri"/>
          <w:b/>
          <w:bCs/>
          <w:sz w:val="22"/>
          <w:szCs w:val="22"/>
        </w:rPr>
        <w:t xml:space="preserve">For ray-casting, switch to FLAIR. </w:t>
      </w:r>
      <w:r>
        <w:rPr>
          <w:rFonts w:ascii="Calibri" w:cs="Calibri" w:eastAsia="Calibri" w:hAnsi="Calibri"/>
          <w:sz w:val="22"/>
          <w:szCs w:val="22"/>
        </w:rPr>
        <w:t xml:space="preserve">On T1CE, the intensity band is essentially noise. On FLAIR, edema is bright and the percentile band carries real signal.</w:t>
      </w:r>
    </w:p>
    <w:p>
      <w:pPr>
        <w:pStyle w:val="ListParagraph"/>
        <w:numPr>
          <w:ilvl w:val="0"/>
          <w:numId w:val="2"/>
        </w:numPr>
        <w:spacing w:after="80" w:line="300"/>
      </w:pPr>
      <w:r>
        <w:rPr>
          <w:rFonts w:ascii="Calibri" w:cs="Calibri" w:eastAsia="Calibri" w:hAnsi="Calibri"/>
          <w:b/>
          <w:bCs/>
          <w:sz w:val="22"/>
          <w:szCs w:val="22"/>
        </w:rPr>
        <w:t xml:space="preserve">Validate both metrics on a small held-out cohort </w:t>
      </w:r>
      <w:r>
        <w:rPr>
          <w:rFonts w:ascii="Calibri" w:cs="Calibri" w:eastAsia="Calibri" w:hAnsi="Calibri"/>
          <w:sz w:val="22"/>
          <w:szCs w:val="22"/>
        </w:rPr>
        <w:t xml:space="preserve">against grade / IDH / OS before committing. If correlation &gt; 0.8, prefer the DT method (faster, more reproducible). If they capture different variance, use both as features.</w:t>
      </w:r>
    </w:p>
    <w:p>
      <w:pPr>
        <w:pStyle w:val="ListParagraph"/>
        <w:numPr>
          <w:ilvl w:val="0"/>
          <w:numId w:val="2"/>
        </w:numPr>
        <w:spacing w:after="80" w:line="300"/>
      </w:pPr>
      <w:r>
        <w:rPr>
          <w:rFonts w:ascii="Calibri" w:cs="Calibri" w:eastAsia="Calibri" w:hAnsi="Calibri"/>
          <w:b/>
          <w:bCs/>
          <w:sz w:val="22"/>
          <w:szCs w:val="22"/>
        </w:rPr>
        <w:t xml:space="preserve">Always inspect ray_outcomes </w:t>
      </w:r>
      <w:r>
        <w:rPr>
          <w:rFonts w:ascii="Calibri" w:cs="Calibri" w:eastAsia="Calibri" w:hAnsi="Calibri"/>
          <w:sz w:val="22"/>
          <w:szCs w:val="22"/>
        </w:rPr>
        <w:t xml:space="preserve">when reporting raycast numbers — if exited_no_hit is comparable to hit, the median is computed on a heavily biased subsample.</w:t>
      </w:r>
    </w:p>
    <w:p>
      <w:pPr>
        <w:pBdr>
          <w:top w:val="single" w:color="BFBFBF" w:sz="6" w:space="8"/>
        </w:pBdr>
        <w:spacing w:after="0" w:before="480"/>
        <w:jc w:val="center"/>
      </w:pPr>
      <w:r>
        <w:rPr>
          <w:rFonts w:ascii="Calibri" w:cs="Calibri" w:eastAsia="Calibri" w:hAnsi="Calibri"/>
          <w:i/>
          <w:iCs/>
          <w:color w:val="808080"/>
          <w:sz w:val="20"/>
          <w:szCs w:val="20"/>
        </w:rPr>
        <w:t xml:space="preserve">End of conversation transcript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40" w:before="280"/>
      <w:outlineLvl w:val="1"/>
    </w:pPr>
    <w:rPr>
      <w:rFonts w:ascii="Calibri" w:cs="Calibri" w:eastAsia="Calibri" w:hAnsi="Calibri"/>
      <w:b/>
      <w:bCs/>
      <w:color w:val="2E5395"/>
      <w:sz w:val="28"/>
      <w:szCs w:val="28"/>
    </w:rPr>
  </w:style>
  <w:style w:type="paragraph" w:styleId="Heading3">
    <w:name w:val="Heading 3"/>
    <w:basedOn w:val="Normal"/>
    <w:next w:val="Normal"/>
    <w:qFormat/>
    <w:pPr>
      <w:spacing w:after="100" w:before="220"/>
      <w:outlineLvl w:val="2"/>
    </w:pPr>
    <w:rPr>
      <w:rFonts w:ascii="Calibri" w:cs="Calibri" w:eastAsia="Calibri" w:hAnsi="Calibri"/>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Transition Zone Thickness in Brain Gliomas</dc:title>
  <dc:creator>Claude</dc:creator>
  <cp:lastModifiedBy>Un-named</cp:lastModifiedBy>
  <cp:revision>1</cp:revision>
  <dcterms:created xsi:type="dcterms:W3CDTF">2026-04-27T08:24:34.025Z</dcterms:created>
  <dcterms:modified xsi:type="dcterms:W3CDTF">2026-04-27T08:24:34.026Z</dcterms:modified>
</cp:coreProperties>
</file>

<file path=docProps/custom.xml><?xml version="1.0" encoding="utf-8"?>
<Properties xmlns="http://schemas.openxmlformats.org/officeDocument/2006/custom-properties" xmlns:vt="http://schemas.openxmlformats.org/officeDocument/2006/docPropsVTypes"/>
</file>