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A0D5F">
      <w:pPr>
        <w:bidi w:val="0"/>
        <w:jc w:val="center"/>
        <w:rPr>
          <w:rFonts w:hint="eastAsia" w:ascii="黑体" w:hAnsi="黑体" w:eastAsia="黑体" w:cs="黑体"/>
          <w:sz w:val="48"/>
          <w:szCs w:val="48"/>
          <w:lang w:val="en-US" w:eastAsia="zh-CN"/>
        </w:rPr>
      </w:pPr>
      <w:bookmarkStart w:id="0" w:name="_Toc11903"/>
      <w:bookmarkStart w:id="1" w:name="_Toc24318"/>
      <w:r>
        <w:rPr>
          <w:rFonts w:hint="eastAsia" w:ascii="黑体" w:hAnsi="黑体" w:eastAsia="黑体" w:cs="黑体"/>
          <w:sz w:val="48"/>
          <w:szCs w:val="48"/>
          <w:lang w:val="en-US" w:eastAsia="zh-CN"/>
        </w:rPr>
        <w:t>中国国际大学生创新大赛</w:t>
      </w:r>
      <w:bookmarkEnd w:id="0"/>
      <w:bookmarkEnd w:id="1"/>
    </w:p>
    <w:p w14:paraId="1752788A">
      <w:pPr>
        <w:bidi w:val="0"/>
        <w:jc w:val="center"/>
        <w:rPr>
          <w:rFonts w:hint="eastAsia" w:ascii="黑体" w:hAnsi="黑体" w:eastAsia="黑体" w:cs="黑体"/>
          <w:sz w:val="15"/>
          <w:szCs w:val="15"/>
          <w:lang w:val="en-US" w:eastAsia="zh-CN"/>
        </w:rPr>
      </w:pPr>
    </w:p>
    <w:p w14:paraId="03B72EFE">
      <w:pPr>
        <w:bidi w:val="0"/>
        <w:jc w:val="center"/>
        <w:rPr>
          <w:rFonts w:hint="eastAsia" w:ascii="黑体" w:hAnsi="黑体" w:eastAsia="黑体" w:cs="黑体"/>
          <w:sz w:val="72"/>
          <w:szCs w:val="72"/>
          <w:lang w:val="en-US" w:eastAsia="zh-CN"/>
        </w:rPr>
      </w:pPr>
      <w:bookmarkStart w:id="2" w:name="_Toc28456"/>
      <w:bookmarkStart w:id="3" w:name="_Toc28022"/>
      <w:r>
        <w:rPr>
          <w:rFonts w:hint="eastAsia" w:ascii="黑体" w:hAnsi="黑体" w:eastAsia="黑体" w:cs="黑体"/>
          <w:sz w:val="72"/>
          <w:szCs w:val="72"/>
          <w:lang w:val="en-US" w:eastAsia="zh-CN"/>
        </w:rPr>
        <w:t>项目计划书</w:t>
      </w:r>
      <w:bookmarkEnd w:id="2"/>
      <w:bookmarkEnd w:id="3"/>
    </w:p>
    <w:p w14:paraId="358349A8">
      <w:pPr>
        <w:kinsoku w:val="0"/>
        <w:autoSpaceDE w:val="0"/>
        <w:autoSpaceDN w:val="0"/>
        <w:adjustRightInd w:val="0"/>
        <w:snapToGrid w:val="0"/>
        <w:spacing w:before="185" w:after="160" w:line="187" w:lineRule="auto"/>
        <w:jc w:val="both"/>
        <w:textAlignment w:val="baseline"/>
        <w:outlineLvl w:val="0"/>
        <w:rPr>
          <w:rFonts w:hint="default" w:ascii="微软雅黑" w:hAnsi="微软雅黑" w:eastAsia="微软雅黑" w:cs="微软雅黑"/>
          <w:b/>
          <w:bCs/>
          <w:snapToGrid w:val="0"/>
          <w:color w:val="000000"/>
          <w:spacing w:val="8"/>
          <w:sz w:val="43"/>
          <w:szCs w:val="43"/>
          <w:lang w:val="en-US" w:eastAsia="zh-CN"/>
        </w:rPr>
      </w:pPr>
    </w:p>
    <w:p w14:paraId="7DFC9938">
      <w:pPr>
        <w:kinsoku w:val="0"/>
        <w:autoSpaceDE w:val="0"/>
        <w:autoSpaceDN w:val="0"/>
        <w:adjustRightInd w:val="0"/>
        <w:snapToGrid w:val="0"/>
        <w:spacing w:before="185" w:after="160" w:line="187" w:lineRule="auto"/>
        <w:jc w:val="both"/>
        <w:textAlignment w:val="baseline"/>
        <w:outlineLvl w:val="0"/>
        <w:rPr>
          <w:rFonts w:hint="default" w:ascii="微软雅黑" w:hAnsi="微软雅黑" w:eastAsia="微软雅黑" w:cs="微软雅黑"/>
          <w:b/>
          <w:bCs/>
          <w:snapToGrid w:val="0"/>
          <w:color w:val="000000"/>
          <w:spacing w:val="8"/>
          <w:sz w:val="43"/>
          <w:szCs w:val="43"/>
          <w:lang w:val="en-US" w:eastAsia="zh-CN"/>
        </w:rPr>
      </w:pPr>
    </w:p>
    <w:p w14:paraId="1B0E85E4"/>
    <w:tbl>
      <w:tblPr>
        <w:tblStyle w:val="36"/>
        <w:tblW w:w="50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8"/>
        <w:gridCol w:w="6201"/>
      </w:tblGrid>
      <w:tr w14:paraId="63CA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1687" w:type="pct"/>
            <w:shd w:val="clear" w:color="auto" w:fill="D7D7D7" w:themeFill="background1" w:themeFillShade="D8"/>
            <w:vAlign w:val="center"/>
          </w:tcPr>
          <w:p w14:paraId="1A339CE5">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项目名称</w:t>
            </w:r>
          </w:p>
        </w:tc>
        <w:tc>
          <w:tcPr>
            <w:tcW w:w="3312" w:type="pct"/>
            <w:vAlign w:val="center"/>
          </w:tcPr>
          <w:p w14:paraId="6246B28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书途智引-基于大模型的智慧图书馆AI馆员服务系统</w:t>
            </w:r>
          </w:p>
        </w:tc>
      </w:tr>
      <w:tr w14:paraId="5292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13A9CF3E">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项目类别</w:t>
            </w:r>
          </w:p>
        </w:tc>
        <w:tc>
          <w:tcPr>
            <w:tcW w:w="3312" w:type="pct"/>
            <w:vAlign w:val="center"/>
          </w:tcPr>
          <w:p w14:paraId="6AAF25DD">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“人工智能</w:t>
            </w:r>
            <w:r>
              <w:rPr>
                <w:rFonts w:hint="default" w:ascii="Times New Roman" w:hAnsi="Times New Roman" w:eastAsia="宋体"/>
                <w:b w:val="0"/>
                <w:bCs/>
                <w:color w:val="000000"/>
                <w:kern w:val="0"/>
                <w:sz w:val="24"/>
                <w:szCs w:val="24"/>
                <w:lang w:val="en-US" w:eastAsia="zh-CN"/>
              </w:rPr>
              <w:t>+</w:t>
            </w:r>
            <w:r>
              <w:rPr>
                <w:rFonts w:hint="eastAsia" w:ascii="Times New Roman" w:hAnsi="Times New Roman" w:eastAsia="宋体"/>
                <w:b w:val="0"/>
                <w:bCs/>
                <w:color w:val="000000"/>
                <w:kern w:val="0"/>
                <w:sz w:val="24"/>
                <w:szCs w:val="24"/>
                <w:lang w:val="en-US" w:eastAsia="zh-CN"/>
              </w:rPr>
              <w:t>”项目</w:t>
            </w:r>
          </w:p>
        </w:tc>
      </w:tr>
      <w:tr w14:paraId="4DB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1687" w:type="pct"/>
            <w:shd w:val="clear" w:color="auto" w:fill="D7D7D7" w:themeFill="background1" w:themeFillShade="D8"/>
            <w:vAlign w:val="center"/>
          </w:tcPr>
          <w:p w14:paraId="11EAC47B">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参赛组别</w:t>
            </w:r>
          </w:p>
        </w:tc>
        <w:tc>
          <w:tcPr>
            <w:tcW w:w="3312" w:type="pct"/>
            <w:vAlign w:val="center"/>
          </w:tcPr>
          <w:p w14:paraId="40A2B655">
            <w:pPr>
              <w:widowControl/>
              <w:suppressAutoHyphens/>
              <w:bidi w:val="0"/>
              <w:spacing w:before="0" w:after="0" w:line="240" w:lineRule="auto"/>
              <w:ind w:firstLine="0"/>
              <w:jc w:val="center"/>
              <w:rPr>
                <w:rFonts w:hint="default"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本科生组-创意组</w:t>
            </w:r>
          </w:p>
          <w:p w14:paraId="0D111F9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p>
        </w:tc>
      </w:tr>
      <w:tr w14:paraId="013E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4058CADD">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项目负责人</w:t>
            </w:r>
          </w:p>
        </w:tc>
        <w:tc>
          <w:tcPr>
            <w:tcW w:w="3312" w:type="pct"/>
            <w:vAlign w:val="center"/>
          </w:tcPr>
          <w:p w14:paraId="497A2601">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冯承坤</w:t>
            </w:r>
          </w:p>
        </w:tc>
      </w:tr>
      <w:tr w14:paraId="5BA2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329FB434">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团队成员</w:t>
            </w:r>
          </w:p>
        </w:tc>
        <w:tc>
          <w:tcPr>
            <w:tcW w:w="3312" w:type="pct"/>
            <w:vAlign w:val="center"/>
          </w:tcPr>
          <w:p w14:paraId="1970C0B9">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冯承坤、吕冠辉、王艾昕</w:t>
            </w:r>
          </w:p>
        </w:tc>
      </w:tr>
      <w:tr w14:paraId="6378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36B729DF">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指导教师</w:t>
            </w:r>
          </w:p>
        </w:tc>
        <w:tc>
          <w:tcPr>
            <w:tcW w:w="3312" w:type="pct"/>
            <w:vAlign w:val="center"/>
          </w:tcPr>
          <w:p w14:paraId="73907839">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张维</w:t>
            </w:r>
          </w:p>
        </w:tc>
      </w:tr>
      <w:tr w14:paraId="01DB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0F2C3144">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学       校</w:t>
            </w:r>
          </w:p>
        </w:tc>
        <w:tc>
          <w:tcPr>
            <w:tcW w:w="3312" w:type="pct"/>
            <w:vAlign w:val="center"/>
          </w:tcPr>
          <w:p w14:paraId="30A8E13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上海电力大学</w:t>
            </w:r>
          </w:p>
        </w:tc>
      </w:tr>
      <w:tr w14:paraId="3953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687" w:type="pct"/>
            <w:shd w:val="clear" w:color="auto" w:fill="D7D7D7" w:themeFill="background1" w:themeFillShade="D8"/>
            <w:vAlign w:val="center"/>
          </w:tcPr>
          <w:p w14:paraId="6B767D91">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所在院部</w:t>
            </w:r>
          </w:p>
        </w:tc>
        <w:tc>
          <w:tcPr>
            <w:tcW w:w="3312" w:type="pct"/>
            <w:vAlign w:val="center"/>
          </w:tcPr>
          <w:p w14:paraId="43C6D653">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人工智能学部</w:t>
            </w:r>
          </w:p>
        </w:tc>
      </w:tr>
      <w:tr w14:paraId="2E3E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687" w:type="pct"/>
            <w:shd w:val="clear" w:color="auto" w:fill="D7D7D7" w:themeFill="background1" w:themeFillShade="D8"/>
            <w:vAlign w:val="center"/>
          </w:tcPr>
          <w:p w14:paraId="65804686">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eastAsia="zh-CN"/>
              </w:rPr>
            </w:pPr>
            <w:r>
              <w:rPr>
                <w:rFonts w:hint="eastAsia" w:ascii="Times New Roman" w:hAnsi="Times New Roman" w:eastAsia="宋体"/>
                <w:b/>
                <w:color w:val="000000"/>
                <w:kern w:val="0"/>
                <w:sz w:val="24"/>
                <w:szCs w:val="24"/>
                <w:lang w:val="en-US" w:eastAsia="zh-CN"/>
              </w:rPr>
              <w:t>电子邮箱</w:t>
            </w:r>
          </w:p>
        </w:tc>
        <w:tc>
          <w:tcPr>
            <w:tcW w:w="3312" w:type="pct"/>
            <w:vAlign w:val="center"/>
          </w:tcPr>
          <w:p w14:paraId="74B2220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eastAsia="zh-CN"/>
              </w:rPr>
            </w:pPr>
            <w:r>
              <w:rPr>
                <w:rFonts w:hint="eastAsia" w:ascii="Times New Roman" w:hAnsi="Times New Roman" w:eastAsia="宋体"/>
                <w:b w:val="0"/>
                <w:bCs/>
                <w:color w:val="000000"/>
                <w:kern w:val="0"/>
                <w:sz w:val="24"/>
                <w:szCs w:val="24"/>
                <w:lang w:val="en-US" w:eastAsia="zh-CN"/>
              </w:rPr>
              <w:t>15293069269@163.com</w:t>
            </w:r>
          </w:p>
        </w:tc>
      </w:tr>
    </w:tbl>
    <w:p w14:paraId="022D74C3">
      <w:pPr>
        <w:tabs>
          <w:tab w:val="center" w:pos="4317"/>
        </w:tabs>
        <w:kinsoku w:val="0"/>
        <w:autoSpaceDE w:val="0"/>
        <w:autoSpaceDN w:val="0"/>
        <w:adjustRightInd w:val="0"/>
        <w:snapToGrid w:val="0"/>
        <w:spacing w:after="160" w:line="240" w:lineRule="auto"/>
        <w:jc w:val="both"/>
        <w:textAlignment w:val="baseline"/>
        <w:rPr>
          <w:rFonts w:hint="eastAsia" w:ascii="宋体" w:hAnsi="宋体" w:cs="宋体"/>
          <w:b/>
          <w:snapToGrid w:val="0"/>
          <w:color w:val="000000"/>
          <w:sz w:val="28"/>
          <w:szCs w:val="21"/>
          <w:lang w:val="en-US" w:eastAsia="zh-CN"/>
        </w:rPr>
      </w:pPr>
    </w:p>
    <w:p w14:paraId="5124C006">
      <w:pPr>
        <w:tabs>
          <w:tab w:val="center" w:pos="4317"/>
        </w:tabs>
        <w:kinsoku w:val="0"/>
        <w:autoSpaceDE w:val="0"/>
        <w:autoSpaceDN w:val="0"/>
        <w:adjustRightInd w:val="0"/>
        <w:snapToGrid w:val="0"/>
        <w:spacing w:after="160" w:line="240" w:lineRule="auto"/>
        <w:jc w:val="center"/>
        <w:textAlignment w:val="baseline"/>
        <w:rPr>
          <w:rFonts w:hint="eastAsia" w:ascii="宋体" w:hAnsi="宋体" w:cs="宋体"/>
          <w:b/>
          <w:snapToGrid w:val="0"/>
          <w:color w:val="000000"/>
          <w:sz w:val="28"/>
          <w:szCs w:val="21"/>
          <w:lang w:val="en-US" w:eastAsia="zh-CN"/>
        </w:rPr>
      </w:pPr>
    </w:p>
    <w:p w14:paraId="651C0A1A">
      <w:pPr>
        <w:tabs>
          <w:tab w:val="center" w:pos="4317"/>
        </w:tabs>
        <w:kinsoku w:val="0"/>
        <w:autoSpaceDE w:val="0"/>
        <w:autoSpaceDN w:val="0"/>
        <w:adjustRightInd w:val="0"/>
        <w:snapToGrid w:val="0"/>
        <w:spacing w:after="160" w:line="240" w:lineRule="auto"/>
        <w:jc w:val="center"/>
        <w:textAlignment w:val="baseline"/>
        <w:rPr>
          <w:rFonts w:hint="default" w:ascii="宋体" w:hAnsi="宋体" w:cs="宋体"/>
          <w:b/>
          <w:snapToGrid w:val="0"/>
          <w:color w:val="000000"/>
          <w:sz w:val="28"/>
          <w:szCs w:val="21"/>
          <w:lang w:val="en-US" w:eastAsia="zh-CN"/>
        </w:rPr>
      </w:pPr>
      <w:r>
        <w:rPr>
          <w:rFonts w:hint="eastAsia" w:ascii="宋体" w:hAnsi="宋体" w:cs="宋体"/>
          <w:b/>
          <w:snapToGrid w:val="0"/>
          <w:color w:val="000000"/>
          <w:sz w:val="28"/>
          <w:szCs w:val="21"/>
          <w:lang w:val="en-US" w:eastAsia="zh-CN"/>
        </w:rPr>
        <w:t>2026年9月5日</w:t>
      </w:r>
    </w:p>
    <w:p w14:paraId="23840628">
      <w:pPr>
        <w:spacing w:after="120"/>
      </w:pPr>
    </w:p>
    <w:p w14:paraId="39225445">
      <w:r>
        <w:br w:type="page"/>
      </w:r>
    </w:p>
    <w:p w14:paraId="22F94FC1"/>
    <w:p w14:paraId="71E0F5D0">
      <w:pPr>
        <w:keepNext w:val="0"/>
        <w:keepLines w:val="0"/>
        <w:pageBreakBefore w:val="0"/>
        <w:widowControl/>
        <w:suppressAutoHyphens/>
        <w:kinsoku/>
        <w:wordWrap/>
        <w:overflowPunct/>
        <w:topLinePunct w:val="0"/>
        <w:autoSpaceDE/>
        <w:autoSpaceDN/>
        <w:bidi w:val="0"/>
        <w:adjustRightInd/>
        <w:snapToGrid/>
        <w:spacing w:before="0" w:after="0" w:line="279" w:lineRule="auto"/>
        <w:ind w:firstLine="0"/>
        <w:jc w:val="center"/>
        <w:textAlignment w:val="auto"/>
        <w:rPr>
          <w:rFonts w:ascii="Times New Roman" w:hAnsi="Times New Roman" w:eastAsia="黑体"/>
          <w:b w:val="0"/>
          <w:i w:val="0"/>
          <w:color w:val="000000"/>
          <w:kern w:val="0"/>
          <w:sz w:val="30"/>
        </w:rPr>
      </w:pPr>
      <w:r>
        <w:rPr>
          <w:rFonts w:ascii="Times New Roman" w:hAnsi="Times New Roman" w:eastAsia="黑体"/>
          <w:b w:val="0"/>
          <w:i w:val="0"/>
          <w:color w:val="000000"/>
          <w:kern w:val="0"/>
          <w:sz w:val="30"/>
        </w:rPr>
        <w:t>执行摘要</w:t>
      </w:r>
    </w:p>
    <w:p w14:paraId="44192ED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书途智</w:t>
      </w:r>
      <w:r>
        <w:rPr>
          <w:rFonts w:hint="eastAsia" w:ascii="Times New Roman" w:hAnsi="Times New Roman" w:eastAsia="宋体"/>
          <w:b w:val="0"/>
          <w:i w:val="0"/>
          <w:color w:val="000000"/>
          <w:kern w:val="0"/>
          <w:sz w:val="24"/>
          <w:lang w:val="en-US" w:eastAsia="zh-CN"/>
        </w:rPr>
        <w:t>引</w:t>
      </w:r>
      <w:r>
        <w:rPr>
          <w:rFonts w:ascii="Times New Roman" w:hAnsi="Times New Roman" w:eastAsia="宋体"/>
          <w:b w:val="0"/>
          <w:i w:val="0"/>
          <w:color w:val="000000"/>
          <w:kern w:val="0"/>
          <w:sz w:val="24"/>
        </w:rPr>
        <w:t>（BookPath AI）秉承“让每一位高校学子都能拥有专属专业级数字图书导师”为立项初心，直击全国高校图书馆海量学术藏书“流通率低、检索匹配粗糙、读者选书试错成本高、碎片阅读缺乏路径”四大沉疴痛点，在行业内首创提出“AI自然语言表达与物理馆藏事实严格解耦分离”的技术路线，将大模型的意图推演、语义扩展与情感共鸣能力，同高校经严格机读编目认证的真实馆藏物理库存、借阅状态与书架定位深度锚定，从源头彻底杜绝 AI 学术幻觉。系统内建“六维量化透明匹配”、“自适应长短期画像记忆中枢”、“三阶段知识图谱研习路径”以及“全链路多级平滑降级”四大核心壁垒，实现了从单点搜索向全流程学习伴随的价值飞跃。目前系统已高质量完成工业全栈代码交付，具备在全国高校图书馆极速复制推广的坚实基础。</w:t>
      </w:r>
    </w:p>
    <w:p w14:paraId="1E59669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在系统核心性能与工程落地指标方面，“书途智启”展现出了远超行业传统方案的卓越表现。</w:t>
      </w:r>
    </w:p>
    <w:p w14:paraId="5CD4383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首先，在推荐准确率上，立项之初设定的基准目标为不低于 75%，而在面向真实学术诉求的实测环境下，系统凭借多模态召回与六维加权打分机制，最终取得了 88.4% 的高满意命中率，相比同行业传统系统仅约 35% 至 42% 的机械关键词匹配，实现了推荐质量的跨越式提升。</w:t>
      </w:r>
    </w:p>
    <w:p w14:paraId="7FE22B1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其次，在自然语言交互维度，系统对复杂多轮对话意图的正确识别率实测达到 94.6%（远超 ≥80% 的预设目标），彻底打破了传统系统无意图分析、仅能进行刚性字面检索的局限；在交互时延上，得益于异步协程架构与 SSE 流式长连接技术，系统在端到端响应要求控制在 2.0 秒以内的指标下，做到了首字渲染时间小于 650 毫秒的极速打字机式平滑输出，相较于传统检索系统普遍大于 3 秒的排队等待，大幅优化了读者的交互体验。</w:t>
      </w:r>
    </w:p>
    <w:p w14:paraId="68C68F5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此外，针对传统平台单次交互孤立、会话刷新即遗忘的痛点，本系统不仅圆满达成支持 5 轮以上交互的基线，更成功实现了长达 12 轮的长上下文动态约束保持，有效支撑了深度的连续学术咨询；在学术真实性这一核心防线上，系统从架构底层实行 100% 物理馆藏实时锚定，彻底杜绝了通用大模型在推荐中高达 35% 以上的虚构书目和无馆藏“学术幻觉”。</w:t>
      </w:r>
    </w:p>
    <w:p w14:paraId="22DF9E4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最后，在商业部署与工程推广方面，传统大型商业图书系统的定制改造往往动辄需要数十万元启动资金，而书途智启基于轻量化 Docker 容器栈设计，将单校软硬件首年部署成本从预期的小于 1.5 万元进一步压缩至数千元级别，具备极强的开箱即用性与大规模校园推广优势。</w:t>
      </w:r>
    </w:p>
    <w:p w14:paraId="5667CA5E">
      <w:pPr>
        <w:spacing w:after="120"/>
      </w:pPr>
    </w:p>
    <w:p w14:paraId="64A6BE4E">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p>
    <w:sdt>
      <w:sdtPr>
        <w:rPr>
          <w:rFonts w:ascii="宋体" w:hAnsi="宋体" w:eastAsia="宋体" w:cstheme="minorBidi"/>
          <w:b/>
          <w:bCs/>
          <w:sz w:val="32"/>
          <w:szCs w:val="22"/>
          <w:lang w:val="en-US" w:eastAsia="en-US" w:bidi="ar-SA"/>
        </w:rPr>
        <w:id w:val="147456561"/>
        <w15:color w:val="DBDBDB"/>
        <w:docPartObj>
          <w:docPartGallery w:val="Table of Contents"/>
          <w:docPartUnique/>
        </w:docPartObj>
      </w:sdtPr>
      <w:sdtEndPr>
        <w:rPr>
          <w:rFonts w:hint="eastAsia" w:asciiTheme="minorHAnsi" w:hAnsiTheme="minorHAnsi" w:eastAsiaTheme="minorEastAsia" w:cstheme="minorBidi"/>
          <w:b/>
          <w:bCs/>
          <w:sz w:val="22"/>
          <w:szCs w:val="22"/>
          <w:lang w:val="en-US" w:eastAsia="en-US" w:bidi="ar-SA"/>
        </w:rPr>
      </w:sdtEndPr>
      <w:sdtContent>
        <w:p w14:paraId="0EE670EC">
          <w:pPr>
            <w:spacing w:before="0" w:beforeLines="0" w:after="0" w:afterLines="0" w:line="240" w:lineRule="auto"/>
            <w:ind w:left="0" w:leftChars="0" w:right="0" w:rightChars="0" w:firstLine="0" w:firstLineChars="0"/>
            <w:jc w:val="center"/>
            <w:rPr>
              <w:rFonts w:eastAsia="宋体"/>
              <w:b/>
              <w:bCs/>
              <w:sz w:val="32"/>
            </w:rPr>
          </w:pPr>
          <w:r>
            <w:rPr>
              <w:rFonts w:ascii="宋体" w:hAnsi="宋体" w:eastAsia="宋体"/>
              <w:b/>
              <w:bCs/>
              <w:sz w:val="32"/>
            </w:rPr>
            <w:t>目录</w:t>
          </w:r>
        </w:p>
        <w:p w14:paraId="528C84F4">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TOC \o "1-2" \h \u </w:instrText>
          </w:r>
          <w:r>
            <w:rPr>
              <w:rFonts w:hint="eastAsia" w:ascii="Times New Roman" w:hAnsi="Times New Roman" w:eastAsia="宋体"/>
              <w:sz w:val="24"/>
            </w:rPr>
            <w:fldChar w:fldCharType="separate"/>
          </w: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_Toc12485 </w:instrText>
          </w:r>
          <w:r>
            <w:rPr>
              <w:rFonts w:hint="eastAsia" w:ascii="Times New Roman" w:hAnsi="Times New Roman" w:eastAsia="宋体"/>
              <w:sz w:val="24"/>
            </w:rPr>
            <w:fldChar w:fldCharType="separate"/>
          </w:r>
          <w:r>
            <w:rPr>
              <w:rFonts w:hint="eastAsia" w:ascii="黑体" w:hAnsi="黑体" w:eastAsia="宋体" w:cs="黑体"/>
              <w:bCs/>
              <w:kern w:val="0"/>
              <w:sz w:val="24"/>
            </w:rPr>
            <w:t>第一章 项目概述与立项宗旨</w:t>
          </w:r>
          <w:r>
            <w:rPr>
              <w:rFonts w:eastAsia="宋体"/>
              <w:sz w:val="24"/>
            </w:rPr>
            <w:tab/>
          </w:r>
          <w:r>
            <w:rPr>
              <w:rFonts w:eastAsia="宋体"/>
              <w:sz w:val="24"/>
            </w:rPr>
            <w:fldChar w:fldCharType="begin"/>
          </w:r>
          <w:r>
            <w:rPr>
              <w:rFonts w:eastAsia="宋体"/>
              <w:sz w:val="24"/>
            </w:rPr>
            <w:instrText xml:space="preserve"> PAGEREF _Toc12485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5608504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_Toc13062 </w:instrText>
          </w:r>
          <w:r>
            <w:rPr>
              <w:rFonts w:hint="eastAsia" w:ascii="Times New Roman" w:hAnsi="Times New Roman" w:eastAsia="宋体"/>
              <w:sz w:val="24"/>
            </w:rPr>
            <w:fldChar w:fldCharType="separate"/>
          </w:r>
          <w:r>
            <w:rPr>
              <w:rFonts w:ascii="Times New Roman" w:hAnsi="Times New Roman" w:eastAsia="宋体"/>
              <w:bCs/>
              <w:kern w:val="0"/>
              <w:sz w:val="24"/>
            </w:rPr>
            <w:t xml:space="preserve">1.1 </w:t>
          </w:r>
          <w:r>
            <w:rPr>
              <w:rFonts w:hint="eastAsia" w:ascii="Times New Roman" w:hAnsi="Times New Roman" w:eastAsia="宋体"/>
              <w:bCs/>
              <w:kern w:val="0"/>
              <w:sz w:val="24"/>
            </w:rPr>
            <w:t>项目背景与时代定位</w:t>
          </w:r>
          <w:r>
            <w:rPr>
              <w:rFonts w:eastAsia="宋体"/>
              <w:sz w:val="24"/>
            </w:rPr>
            <w:tab/>
          </w:r>
          <w:r>
            <w:rPr>
              <w:rFonts w:eastAsia="宋体"/>
              <w:sz w:val="24"/>
            </w:rPr>
            <w:fldChar w:fldCharType="begin"/>
          </w:r>
          <w:r>
            <w:rPr>
              <w:rFonts w:eastAsia="宋体"/>
              <w:sz w:val="24"/>
            </w:rPr>
            <w:instrText xml:space="preserve"> PAGEREF _Toc13062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39B9FE4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_Toc14835 </w:instrText>
          </w:r>
          <w:r>
            <w:rPr>
              <w:rFonts w:hint="eastAsia" w:ascii="Times New Roman" w:hAnsi="Times New Roman" w:eastAsia="宋体"/>
              <w:sz w:val="24"/>
            </w:rPr>
            <w:fldChar w:fldCharType="separate"/>
          </w:r>
          <w:r>
            <w:rPr>
              <w:rFonts w:ascii="Times New Roman" w:hAnsi="Times New Roman" w:eastAsia="宋体"/>
              <w:bCs/>
              <w:kern w:val="0"/>
              <w:sz w:val="24"/>
            </w:rPr>
            <w:t xml:space="preserve">1.2 </w:t>
          </w:r>
          <w:r>
            <w:rPr>
              <w:rFonts w:hint="eastAsia" w:ascii="Times New Roman" w:hAnsi="Times New Roman" w:eastAsia="宋体" w:cs="黑体"/>
              <w:bCs/>
              <w:kern w:val="0"/>
              <w:sz w:val="24"/>
            </w:rPr>
            <w:t>核心设计哲学：AI自然语言表达与真实馆藏事实解耦</w:t>
          </w:r>
          <w:r>
            <w:rPr>
              <w:rFonts w:eastAsia="宋体"/>
              <w:sz w:val="24"/>
            </w:rPr>
            <w:tab/>
          </w:r>
          <w:r>
            <w:rPr>
              <w:rFonts w:eastAsia="宋体"/>
              <w:sz w:val="24"/>
            </w:rPr>
            <w:fldChar w:fldCharType="begin"/>
          </w:r>
          <w:r>
            <w:rPr>
              <w:rFonts w:eastAsia="宋体"/>
              <w:sz w:val="24"/>
            </w:rPr>
            <w:instrText xml:space="preserve"> PAGEREF _Toc14835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07DE7C5F">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_Toc22090 </w:instrText>
          </w:r>
          <w:r>
            <w:rPr>
              <w:rFonts w:hint="eastAsia" w:ascii="Times New Roman" w:hAnsi="Times New Roman" w:eastAsia="宋体"/>
              <w:sz w:val="24"/>
            </w:rPr>
            <w:fldChar w:fldCharType="separate"/>
          </w:r>
          <w:r>
            <w:rPr>
              <w:rFonts w:ascii="Times New Roman" w:hAnsi="Times New Roman" w:eastAsia="宋体"/>
              <w:bCs/>
              <w:kern w:val="0"/>
              <w:sz w:val="24"/>
            </w:rPr>
            <w:t>1.3 核心痛点与系统价值主张对照分析</w:t>
          </w:r>
          <w:r>
            <w:rPr>
              <w:rFonts w:eastAsia="宋体"/>
              <w:sz w:val="24"/>
            </w:rPr>
            <w:tab/>
          </w:r>
          <w:r>
            <w:rPr>
              <w:rFonts w:eastAsia="宋体"/>
              <w:sz w:val="24"/>
            </w:rPr>
            <w:fldChar w:fldCharType="begin"/>
          </w:r>
          <w:r>
            <w:rPr>
              <w:rFonts w:eastAsia="宋体"/>
              <w:sz w:val="24"/>
            </w:rPr>
            <w:instrText xml:space="preserve"> PAGEREF _Toc22090 \h </w:instrText>
          </w:r>
          <w:r>
            <w:rPr>
              <w:rFonts w:eastAsia="宋体"/>
              <w:sz w:val="24"/>
            </w:rPr>
            <w:fldChar w:fldCharType="separate"/>
          </w:r>
          <w:r>
            <w:rPr>
              <w:rFonts w:eastAsia="宋体"/>
              <w:sz w:val="24"/>
            </w:rPr>
            <w:t>- 2 -</w:t>
          </w:r>
          <w:r>
            <w:rPr>
              <w:rFonts w:eastAsia="宋体"/>
              <w:sz w:val="24"/>
            </w:rPr>
            <w:fldChar w:fldCharType="end"/>
          </w:r>
          <w:r>
            <w:rPr>
              <w:rFonts w:hint="eastAsia" w:ascii="Times New Roman" w:hAnsi="Times New Roman" w:eastAsia="宋体"/>
              <w:sz w:val="24"/>
            </w:rPr>
            <w:fldChar w:fldCharType="end"/>
          </w:r>
        </w:p>
        <w:p w14:paraId="6BC09B4B">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_Toc8030 </w:instrText>
          </w:r>
          <w:r>
            <w:rPr>
              <w:rFonts w:hint="eastAsia" w:ascii="Times New Roman" w:hAnsi="Times New Roman" w:eastAsia="宋体"/>
              <w:sz w:val="24"/>
            </w:rPr>
            <w:fldChar w:fldCharType="separate"/>
          </w:r>
          <w:r>
            <w:rPr>
              <w:rFonts w:hint="eastAsia" w:ascii="黑体" w:hAnsi="黑体" w:eastAsia="宋体" w:cs="黑体"/>
              <w:bCs/>
              <w:kern w:val="0"/>
              <w:sz w:val="24"/>
            </w:rPr>
            <w:t>第二章 宏观政策背景、市场需求与竞品分析</w:t>
          </w:r>
          <w:r>
            <w:rPr>
              <w:rFonts w:eastAsia="宋体"/>
              <w:sz w:val="24"/>
            </w:rPr>
            <w:tab/>
          </w:r>
          <w:r>
            <w:rPr>
              <w:rFonts w:eastAsia="宋体"/>
              <w:sz w:val="24"/>
            </w:rPr>
            <w:fldChar w:fldCharType="begin"/>
          </w:r>
          <w:r>
            <w:rPr>
              <w:rFonts w:eastAsia="宋体"/>
              <w:sz w:val="24"/>
            </w:rPr>
            <w:instrText xml:space="preserve"> PAGEREF _Toc8030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3BB0F1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_Toc5516 </w:instrText>
          </w:r>
          <w:r>
            <w:rPr>
              <w:rFonts w:hint="eastAsia" w:ascii="Times New Roman" w:hAnsi="Times New Roman" w:eastAsia="宋体"/>
              <w:sz w:val="24"/>
            </w:rPr>
            <w:fldChar w:fldCharType="separate"/>
          </w:r>
          <w:r>
            <w:rPr>
              <w:rFonts w:ascii="Times New Roman" w:hAnsi="Times New Roman" w:eastAsia="宋体"/>
              <w:bCs/>
              <w:kern w:val="0"/>
              <w:sz w:val="24"/>
            </w:rPr>
            <w:t>2.1 国家宏观战略与高校教育数字化赋能</w:t>
          </w:r>
          <w:r>
            <w:rPr>
              <w:rFonts w:eastAsia="宋体"/>
              <w:sz w:val="24"/>
            </w:rPr>
            <w:tab/>
          </w:r>
          <w:r>
            <w:rPr>
              <w:rFonts w:eastAsia="宋体"/>
              <w:sz w:val="24"/>
            </w:rPr>
            <w:fldChar w:fldCharType="begin"/>
          </w:r>
          <w:r>
            <w:rPr>
              <w:rFonts w:eastAsia="宋体"/>
              <w:sz w:val="24"/>
            </w:rPr>
            <w:instrText xml:space="preserve"> PAGEREF _Toc5516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B87C78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_Toc31665 </w:instrText>
          </w:r>
          <w:r>
            <w:rPr>
              <w:rFonts w:hint="eastAsia" w:ascii="Times New Roman" w:hAnsi="Times New Roman" w:eastAsia="宋体"/>
              <w:sz w:val="24"/>
            </w:rPr>
            <w:fldChar w:fldCharType="separate"/>
          </w:r>
          <w:r>
            <w:rPr>
              <w:rFonts w:ascii="Times New Roman" w:hAnsi="Times New Roman" w:eastAsia="宋体"/>
              <w:bCs/>
              <w:kern w:val="0"/>
              <w:sz w:val="24"/>
            </w:rPr>
            <w:t>2.2 用户群体特征、借阅行为与痛点调研数据</w:t>
          </w:r>
          <w:r>
            <w:rPr>
              <w:rFonts w:eastAsia="宋体"/>
              <w:sz w:val="24"/>
            </w:rPr>
            <w:tab/>
          </w:r>
          <w:r>
            <w:rPr>
              <w:rFonts w:eastAsia="宋体"/>
              <w:sz w:val="24"/>
            </w:rPr>
            <w:fldChar w:fldCharType="begin"/>
          </w:r>
          <w:r>
            <w:rPr>
              <w:rFonts w:eastAsia="宋体"/>
              <w:sz w:val="24"/>
            </w:rPr>
            <w:instrText xml:space="preserve"> PAGEREF _Toc31665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56C43C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_Toc30816 </w:instrText>
          </w:r>
          <w:r>
            <w:rPr>
              <w:rFonts w:hint="eastAsia" w:ascii="Times New Roman" w:hAnsi="Times New Roman" w:eastAsia="宋体"/>
              <w:sz w:val="24"/>
            </w:rPr>
            <w:fldChar w:fldCharType="separate"/>
          </w:r>
          <w:r>
            <w:rPr>
              <w:rFonts w:ascii="Times New Roman" w:hAnsi="Times New Roman" w:eastAsia="宋体"/>
              <w:bCs/>
              <w:kern w:val="0"/>
              <w:sz w:val="24"/>
            </w:rPr>
            <w:t>2.3 深度竞品对比与市场差异化壁垒</w:t>
          </w:r>
          <w:r>
            <w:rPr>
              <w:rFonts w:eastAsia="宋体"/>
              <w:sz w:val="24"/>
            </w:rPr>
            <w:tab/>
          </w:r>
          <w:r>
            <w:rPr>
              <w:rFonts w:eastAsia="宋体"/>
              <w:sz w:val="24"/>
            </w:rPr>
            <w:fldChar w:fldCharType="begin"/>
          </w:r>
          <w:r>
            <w:rPr>
              <w:rFonts w:eastAsia="宋体"/>
              <w:sz w:val="24"/>
            </w:rPr>
            <w:instrText xml:space="preserve"> PAGEREF _Toc30816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02119B9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_Toc6504 </w:instrText>
          </w:r>
          <w:r>
            <w:rPr>
              <w:rFonts w:hint="eastAsia" w:ascii="Times New Roman" w:hAnsi="Times New Roman" w:eastAsia="宋体"/>
              <w:sz w:val="24"/>
            </w:rPr>
            <w:fldChar w:fldCharType="separate"/>
          </w:r>
          <w:r>
            <w:rPr>
              <w:rFonts w:hint="eastAsia" w:ascii="黑体" w:hAnsi="黑体" w:eastAsia="宋体" w:cs="黑体"/>
              <w:bCs/>
              <w:kern w:val="0"/>
              <w:sz w:val="24"/>
            </w:rPr>
            <w:t>第三章 系统总体架构与技术选型</w:t>
          </w:r>
          <w:r>
            <w:rPr>
              <w:rFonts w:eastAsia="宋体"/>
              <w:sz w:val="24"/>
            </w:rPr>
            <w:tab/>
          </w:r>
          <w:r>
            <w:rPr>
              <w:rFonts w:eastAsia="宋体"/>
              <w:sz w:val="24"/>
            </w:rPr>
            <w:fldChar w:fldCharType="begin"/>
          </w:r>
          <w:r>
            <w:rPr>
              <w:rFonts w:eastAsia="宋体"/>
              <w:sz w:val="24"/>
            </w:rPr>
            <w:instrText xml:space="preserve"> PAGEREF _Toc6504 \h </w:instrText>
          </w:r>
          <w:r>
            <w:rPr>
              <w:rFonts w:eastAsia="宋体"/>
              <w:sz w:val="24"/>
            </w:rPr>
            <w:fldChar w:fldCharType="separate"/>
          </w:r>
          <w:r>
            <w:rPr>
              <w:rFonts w:eastAsia="宋体"/>
              <w:sz w:val="24"/>
            </w:rPr>
            <w:t>- 5 -</w:t>
          </w:r>
          <w:r>
            <w:rPr>
              <w:rFonts w:eastAsia="宋体"/>
              <w:sz w:val="24"/>
            </w:rPr>
            <w:fldChar w:fldCharType="end"/>
          </w:r>
          <w:r>
            <w:rPr>
              <w:rFonts w:hint="eastAsia" w:ascii="Times New Roman" w:hAnsi="Times New Roman" w:eastAsia="宋体"/>
              <w:sz w:val="24"/>
            </w:rPr>
            <w:fldChar w:fldCharType="end"/>
          </w:r>
        </w:p>
        <w:p w14:paraId="5BC90CDB">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_Toc17346 </w:instrText>
          </w:r>
          <w:r>
            <w:rPr>
              <w:rFonts w:hint="eastAsia" w:ascii="Times New Roman" w:hAnsi="Times New Roman" w:eastAsia="宋体"/>
              <w:sz w:val="24"/>
            </w:rPr>
            <w:fldChar w:fldCharType="separate"/>
          </w:r>
          <w:r>
            <w:rPr>
              <w:rFonts w:ascii="Times New Roman" w:hAnsi="Times New Roman" w:eastAsia="宋体"/>
              <w:bCs/>
              <w:kern w:val="0"/>
              <w:sz w:val="24"/>
            </w:rPr>
            <w:t>3.1 四层分层解耦架构设计</w:t>
          </w:r>
          <w:r>
            <w:rPr>
              <w:rFonts w:eastAsia="宋体"/>
              <w:sz w:val="24"/>
            </w:rPr>
            <w:tab/>
          </w:r>
          <w:r>
            <w:rPr>
              <w:rFonts w:eastAsia="宋体"/>
              <w:sz w:val="24"/>
            </w:rPr>
            <w:fldChar w:fldCharType="begin"/>
          </w:r>
          <w:r>
            <w:rPr>
              <w:rFonts w:eastAsia="宋体"/>
              <w:sz w:val="24"/>
            </w:rPr>
            <w:instrText xml:space="preserve"> PAGEREF _Toc17346 \h </w:instrText>
          </w:r>
          <w:r>
            <w:rPr>
              <w:rFonts w:eastAsia="宋体"/>
              <w:sz w:val="24"/>
            </w:rPr>
            <w:fldChar w:fldCharType="separate"/>
          </w:r>
          <w:r>
            <w:rPr>
              <w:rFonts w:eastAsia="宋体"/>
              <w:sz w:val="24"/>
            </w:rPr>
            <w:t>- 5 -</w:t>
          </w:r>
          <w:r>
            <w:rPr>
              <w:rFonts w:eastAsia="宋体"/>
              <w:sz w:val="24"/>
            </w:rPr>
            <w:fldChar w:fldCharType="end"/>
          </w:r>
          <w:r>
            <w:rPr>
              <w:rFonts w:hint="eastAsia" w:ascii="Times New Roman" w:hAnsi="Times New Roman" w:eastAsia="宋体"/>
              <w:sz w:val="24"/>
            </w:rPr>
            <w:fldChar w:fldCharType="end"/>
          </w:r>
        </w:p>
        <w:p w14:paraId="79AC4584">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_Toc25681 </w:instrText>
          </w:r>
          <w:r>
            <w:rPr>
              <w:rFonts w:hint="eastAsia" w:ascii="Times New Roman" w:hAnsi="Times New Roman" w:eastAsia="宋体"/>
              <w:sz w:val="24"/>
            </w:rPr>
            <w:fldChar w:fldCharType="separate"/>
          </w:r>
          <w:r>
            <w:rPr>
              <w:rFonts w:ascii="Times New Roman" w:hAnsi="Times New Roman" w:eastAsia="宋体"/>
              <w:bCs/>
              <w:kern w:val="0"/>
              <w:sz w:val="24"/>
            </w:rPr>
            <w:t>3.2 关键技术选型深度论证与权衡</w:t>
          </w:r>
          <w:r>
            <w:rPr>
              <w:rFonts w:eastAsia="宋体"/>
              <w:sz w:val="24"/>
            </w:rPr>
            <w:tab/>
          </w:r>
          <w:r>
            <w:rPr>
              <w:rFonts w:eastAsia="宋体"/>
              <w:sz w:val="24"/>
            </w:rPr>
            <w:fldChar w:fldCharType="begin"/>
          </w:r>
          <w:r>
            <w:rPr>
              <w:rFonts w:eastAsia="宋体"/>
              <w:sz w:val="24"/>
            </w:rPr>
            <w:instrText xml:space="preserve"> PAGEREF _Toc25681 \h </w:instrText>
          </w:r>
          <w:r>
            <w:rPr>
              <w:rFonts w:eastAsia="宋体"/>
              <w:sz w:val="24"/>
            </w:rPr>
            <w:fldChar w:fldCharType="separate"/>
          </w:r>
          <w:r>
            <w:rPr>
              <w:rFonts w:eastAsia="宋体"/>
              <w:sz w:val="24"/>
            </w:rPr>
            <w:t>- 6 -</w:t>
          </w:r>
          <w:r>
            <w:rPr>
              <w:rFonts w:eastAsia="宋体"/>
              <w:sz w:val="24"/>
            </w:rPr>
            <w:fldChar w:fldCharType="end"/>
          </w:r>
          <w:r>
            <w:rPr>
              <w:rFonts w:hint="eastAsia" w:ascii="Times New Roman" w:hAnsi="Times New Roman" w:eastAsia="宋体"/>
              <w:sz w:val="24"/>
            </w:rPr>
            <w:fldChar w:fldCharType="end"/>
          </w:r>
        </w:p>
        <w:p w14:paraId="4586817E">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_Toc3071 </w:instrText>
          </w:r>
          <w:r>
            <w:rPr>
              <w:rFonts w:hint="eastAsia" w:ascii="Times New Roman" w:hAnsi="Times New Roman" w:eastAsia="宋体"/>
              <w:sz w:val="24"/>
            </w:rPr>
            <w:fldChar w:fldCharType="separate"/>
          </w:r>
          <w:r>
            <w:rPr>
              <w:rFonts w:hint="eastAsia" w:ascii="黑体" w:hAnsi="黑体" w:eastAsia="宋体" w:cs="黑体"/>
              <w:bCs/>
              <w:kern w:val="0"/>
              <w:sz w:val="24"/>
            </w:rPr>
            <w:t>第四章 智能推荐引擎算法机理与七步流水线</w:t>
          </w:r>
          <w:r>
            <w:rPr>
              <w:rFonts w:eastAsia="宋体"/>
              <w:sz w:val="24"/>
            </w:rPr>
            <w:tab/>
          </w:r>
          <w:r>
            <w:rPr>
              <w:rFonts w:eastAsia="宋体"/>
              <w:sz w:val="24"/>
            </w:rPr>
            <w:fldChar w:fldCharType="begin"/>
          </w:r>
          <w:r>
            <w:rPr>
              <w:rFonts w:eastAsia="宋体"/>
              <w:sz w:val="24"/>
            </w:rPr>
            <w:instrText xml:space="preserve"> PAGEREF _Toc3071 \h </w:instrText>
          </w:r>
          <w:r>
            <w:rPr>
              <w:rFonts w:eastAsia="宋体"/>
              <w:sz w:val="24"/>
            </w:rPr>
            <w:fldChar w:fldCharType="separate"/>
          </w:r>
          <w:r>
            <w:rPr>
              <w:rFonts w:eastAsia="宋体"/>
              <w:sz w:val="24"/>
            </w:rPr>
            <w:t>- 8 -</w:t>
          </w:r>
          <w:r>
            <w:rPr>
              <w:rFonts w:eastAsia="宋体"/>
              <w:sz w:val="24"/>
            </w:rPr>
            <w:fldChar w:fldCharType="end"/>
          </w:r>
          <w:r>
            <w:rPr>
              <w:rFonts w:hint="eastAsia" w:ascii="Times New Roman" w:hAnsi="Times New Roman" w:eastAsia="宋体"/>
              <w:sz w:val="24"/>
            </w:rPr>
            <w:fldChar w:fldCharType="end"/>
          </w:r>
        </w:p>
        <w:p w14:paraId="52534900">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_Toc84 </w:instrText>
          </w:r>
          <w:r>
            <w:rPr>
              <w:rFonts w:hint="eastAsia" w:ascii="Times New Roman" w:hAnsi="Times New Roman" w:eastAsia="宋体"/>
              <w:sz w:val="24"/>
            </w:rPr>
            <w:fldChar w:fldCharType="separate"/>
          </w:r>
          <w:r>
            <w:rPr>
              <w:rFonts w:ascii="Times New Roman" w:hAnsi="Times New Roman" w:eastAsia="宋体"/>
              <w:bCs/>
              <w:kern w:val="0"/>
              <w:sz w:val="24"/>
            </w:rPr>
            <w:t>4.1 七步推荐管道（Pipeline）全流程工程拆解</w:t>
          </w:r>
          <w:r>
            <w:rPr>
              <w:rFonts w:eastAsia="宋体"/>
              <w:sz w:val="24"/>
            </w:rPr>
            <w:tab/>
          </w:r>
          <w:r>
            <w:rPr>
              <w:rFonts w:eastAsia="宋体"/>
              <w:sz w:val="24"/>
            </w:rPr>
            <w:fldChar w:fldCharType="begin"/>
          </w:r>
          <w:r>
            <w:rPr>
              <w:rFonts w:eastAsia="宋体"/>
              <w:sz w:val="24"/>
            </w:rPr>
            <w:instrText xml:space="preserve"> PAGEREF _Toc84 \h </w:instrText>
          </w:r>
          <w:r>
            <w:rPr>
              <w:rFonts w:eastAsia="宋体"/>
              <w:sz w:val="24"/>
            </w:rPr>
            <w:fldChar w:fldCharType="separate"/>
          </w:r>
          <w:r>
            <w:rPr>
              <w:rFonts w:eastAsia="宋体"/>
              <w:sz w:val="24"/>
            </w:rPr>
            <w:t>- 8 -</w:t>
          </w:r>
          <w:r>
            <w:rPr>
              <w:rFonts w:eastAsia="宋体"/>
              <w:sz w:val="24"/>
            </w:rPr>
            <w:fldChar w:fldCharType="end"/>
          </w:r>
          <w:r>
            <w:rPr>
              <w:rFonts w:hint="eastAsia" w:ascii="Times New Roman" w:hAnsi="Times New Roman" w:eastAsia="宋体"/>
              <w:sz w:val="24"/>
            </w:rPr>
            <w:fldChar w:fldCharType="end"/>
          </w:r>
        </w:p>
        <w:p w14:paraId="00BD9C64">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_Toc2794 </w:instrText>
          </w:r>
          <w:r>
            <w:rPr>
              <w:rFonts w:hint="eastAsia" w:ascii="Times New Roman" w:hAnsi="Times New Roman" w:eastAsia="宋体"/>
              <w:sz w:val="24"/>
            </w:rPr>
            <w:fldChar w:fldCharType="separate"/>
          </w:r>
          <w:r>
            <w:rPr>
              <w:rFonts w:ascii="Times New Roman" w:hAnsi="Times New Roman" w:eastAsia="宋体"/>
              <w:bCs/>
              <w:kern w:val="0"/>
              <w:sz w:val="24"/>
            </w:rPr>
            <w:t>4.2 六维可解释评分模型的数学推导与权重体系</w:t>
          </w:r>
          <w:r>
            <w:rPr>
              <w:rFonts w:eastAsia="宋体"/>
              <w:sz w:val="24"/>
            </w:rPr>
            <w:tab/>
          </w:r>
          <w:r>
            <w:rPr>
              <w:rFonts w:eastAsia="宋体"/>
              <w:sz w:val="24"/>
            </w:rPr>
            <w:fldChar w:fldCharType="begin"/>
          </w:r>
          <w:r>
            <w:rPr>
              <w:rFonts w:eastAsia="宋体"/>
              <w:sz w:val="24"/>
            </w:rPr>
            <w:instrText xml:space="preserve"> PAGEREF _Toc2794 \h </w:instrText>
          </w:r>
          <w:r>
            <w:rPr>
              <w:rFonts w:eastAsia="宋体"/>
              <w:sz w:val="24"/>
            </w:rPr>
            <w:fldChar w:fldCharType="separate"/>
          </w:r>
          <w:r>
            <w:rPr>
              <w:rFonts w:eastAsia="宋体"/>
              <w:sz w:val="24"/>
            </w:rPr>
            <w:t>- 9 -</w:t>
          </w:r>
          <w:r>
            <w:rPr>
              <w:rFonts w:eastAsia="宋体"/>
              <w:sz w:val="24"/>
            </w:rPr>
            <w:fldChar w:fldCharType="end"/>
          </w:r>
          <w:r>
            <w:rPr>
              <w:rFonts w:hint="eastAsia" w:ascii="Times New Roman" w:hAnsi="Times New Roman" w:eastAsia="宋体"/>
              <w:sz w:val="24"/>
            </w:rPr>
            <w:fldChar w:fldCharType="end"/>
          </w:r>
        </w:p>
        <w:p w14:paraId="44FFD3E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_Toc30555 </w:instrText>
          </w:r>
          <w:r>
            <w:rPr>
              <w:rFonts w:hint="eastAsia" w:ascii="Times New Roman" w:hAnsi="Times New Roman" w:eastAsia="宋体"/>
              <w:sz w:val="24"/>
            </w:rPr>
            <w:fldChar w:fldCharType="separate"/>
          </w:r>
          <w:r>
            <w:rPr>
              <w:rFonts w:hint="eastAsia" w:ascii="黑体" w:hAnsi="黑体" w:eastAsia="宋体" w:cs="黑体"/>
              <w:bCs/>
              <w:kern w:val="0"/>
              <w:sz w:val="24"/>
            </w:rPr>
            <w:t>第五章 学习路径规划、动态记忆中枢与闭环服务</w:t>
          </w:r>
          <w:r>
            <w:rPr>
              <w:rFonts w:eastAsia="宋体"/>
              <w:sz w:val="24"/>
            </w:rPr>
            <w:tab/>
          </w:r>
          <w:r>
            <w:rPr>
              <w:rFonts w:eastAsia="宋体"/>
              <w:sz w:val="24"/>
            </w:rPr>
            <w:fldChar w:fldCharType="begin"/>
          </w:r>
          <w:r>
            <w:rPr>
              <w:rFonts w:eastAsia="宋体"/>
              <w:sz w:val="24"/>
            </w:rPr>
            <w:instrText xml:space="preserve"> PAGEREF _Toc30555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346BFC2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_Toc1181 </w:instrText>
          </w:r>
          <w:r>
            <w:rPr>
              <w:rFonts w:hint="eastAsia" w:ascii="Times New Roman" w:hAnsi="Times New Roman" w:eastAsia="宋体"/>
              <w:sz w:val="24"/>
            </w:rPr>
            <w:fldChar w:fldCharType="separate"/>
          </w:r>
          <w:r>
            <w:rPr>
              <w:rFonts w:ascii="Times New Roman" w:hAnsi="Times New Roman" w:eastAsia="宋体"/>
              <w:bCs/>
              <w:kern w:val="0"/>
              <w:sz w:val="24"/>
            </w:rPr>
            <w:t>5.1 “推荐即路径”三阶段知识通关模型</w:t>
          </w:r>
          <w:r>
            <w:rPr>
              <w:rFonts w:eastAsia="宋体"/>
              <w:sz w:val="24"/>
            </w:rPr>
            <w:tab/>
          </w:r>
          <w:r>
            <w:rPr>
              <w:rFonts w:eastAsia="宋体"/>
              <w:sz w:val="24"/>
            </w:rPr>
            <w:fldChar w:fldCharType="begin"/>
          </w:r>
          <w:r>
            <w:rPr>
              <w:rFonts w:eastAsia="宋体"/>
              <w:sz w:val="24"/>
            </w:rPr>
            <w:instrText xml:space="preserve"> PAGEREF _Toc1181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1406A5E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_Toc16266 </w:instrText>
          </w:r>
          <w:r>
            <w:rPr>
              <w:rFonts w:hint="eastAsia" w:ascii="Times New Roman" w:hAnsi="Times New Roman" w:eastAsia="宋体"/>
              <w:sz w:val="24"/>
            </w:rPr>
            <w:fldChar w:fldCharType="separate"/>
          </w:r>
          <w:r>
            <w:rPr>
              <w:rFonts w:ascii="Times New Roman" w:hAnsi="Times New Roman" w:eastAsia="宋体"/>
              <w:bCs/>
              <w:kern w:val="0"/>
              <w:sz w:val="24"/>
            </w:rPr>
            <w:t>5.2 动态画像记忆（ProfileMemory）与用户自适应进化</w:t>
          </w:r>
          <w:r>
            <w:rPr>
              <w:rFonts w:eastAsia="宋体"/>
              <w:sz w:val="24"/>
            </w:rPr>
            <w:tab/>
          </w:r>
          <w:r>
            <w:rPr>
              <w:rFonts w:eastAsia="宋体"/>
              <w:sz w:val="24"/>
            </w:rPr>
            <w:fldChar w:fldCharType="begin"/>
          </w:r>
          <w:r>
            <w:rPr>
              <w:rFonts w:eastAsia="宋体"/>
              <w:sz w:val="24"/>
            </w:rPr>
            <w:instrText xml:space="preserve"> PAGEREF _Toc16266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5C57C178">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_Toc5973 </w:instrText>
          </w:r>
          <w:r>
            <w:rPr>
              <w:rFonts w:hint="eastAsia" w:ascii="Times New Roman" w:hAnsi="Times New Roman" w:eastAsia="宋体"/>
              <w:sz w:val="24"/>
            </w:rPr>
            <w:fldChar w:fldCharType="separate"/>
          </w:r>
          <w:r>
            <w:rPr>
              <w:rFonts w:ascii="Times New Roman" w:hAnsi="Times New Roman" w:eastAsia="宋体"/>
              <w:bCs/>
              <w:kern w:val="0"/>
              <w:sz w:val="24"/>
            </w:rPr>
            <w:t>5.3 闭环服务：馆藏副本模拟预约与五维匿名评测</w:t>
          </w:r>
          <w:r>
            <w:rPr>
              <w:rFonts w:eastAsia="宋体"/>
              <w:sz w:val="24"/>
            </w:rPr>
            <w:tab/>
          </w:r>
          <w:r>
            <w:rPr>
              <w:rFonts w:eastAsia="宋体"/>
              <w:sz w:val="24"/>
            </w:rPr>
            <w:fldChar w:fldCharType="begin"/>
          </w:r>
          <w:r>
            <w:rPr>
              <w:rFonts w:eastAsia="宋体"/>
              <w:sz w:val="24"/>
            </w:rPr>
            <w:instrText xml:space="preserve"> PAGEREF _Toc5973 \h </w:instrText>
          </w:r>
          <w:r>
            <w:rPr>
              <w:rFonts w:eastAsia="宋体"/>
              <w:sz w:val="24"/>
            </w:rPr>
            <w:fldChar w:fldCharType="separate"/>
          </w:r>
          <w:r>
            <w:rPr>
              <w:rFonts w:eastAsia="宋体"/>
              <w:sz w:val="24"/>
            </w:rPr>
            <w:t>- 13 -</w:t>
          </w:r>
          <w:r>
            <w:rPr>
              <w:rFonts w:eastAsia="宋体"/>
              <w:sz w:val="24"/>
            </w:rPr>
            <w:fldChar w:fldCharType="end"/>
          </w:r>
          <w:r>
            <w:rPr>
              <w:rFonts w:hint="eastAsia" w:ascii="Times New Roman" w:hAnsi="Times New Roman" w:eastAsia="宋体"/>
              <w:sz w:val="24"/>
            </w:rPr>
            <w:fldChar w:fldCharType="end"/>
          </w:r>
        </w:p>
        <w:p w14:paraId="45D0A201">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_Toc9260 </w:instrText>
          </w:r>
          <w:r>
            <w:rPr>
              <w:rFonts w:hint="eastAsia" w:ascii="Times New Roman" w:hAnsi="Times New Roman" w:eastAsia="宋体"/>
              <w:sz w:val="24"/>
            </w:rPr>
            <w:fldChar w:fldCharType="separate"/>
          </w:r>
          <w:r>
            <w:rPr>
              <w:rFonts w:hint="eastAsia" w:ascii="黑体" w:hAnsi="黑体" w:eastAsia="宋体" w:cs="黑体"/>
              <w:bCs/>
              <w:kern w:val="0"/>
              <w:sz w:val="24"/>
            </w:rPr>
            <w:t>第六章 图书馆管理运营中台与数据工程流水线</w:t>
          </w:r>
          <w:r>
            <w:rPr>
              <w:rFonts w:eastAsia="宋体"/>
              <w:sz w:val="24"/>
            </w:rPr>
            <w:tab/>
          </w:r>
          <w:r>
            <w:rPr>
              <w:rFonts w:eastAsia="宋体"/>
              <w:sz w:val="24"/>
            </w:rPr>
            <w:fldChar w:fldCharType="begin"/>
          </w:r>
          <w:r>
            <w:rPr>
              <w:rFonts w:eastAsia="宋体"/>
              <w:sz w:val="24"/>
            </w:rPr>
            <w:instrText xml:space="preserve"> PAGEREF _Toc9260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7D229CBD">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_Toc30514 </w:instrText>
          </w:r>
          <w:r>
            <w:rPr>
              <w:rFonts w:hint="eastAsia" w:ascii="Times New Roman" w:hAnsi="Times New Roman" w:eastAsia="宋体"/>
              <w:sz w:val="24"/>
            </w:rPr>
            <w:fldChar w:fldCharType="separate"/>
          </w:r>
          <w:r>
            <w:rPr>
              <w:rFonts w:ascii="Times New Roman" w:hAnsi="Times New Roman" w:eastAsia="宋体"/>
              <w:bCs/>
              <w:kern w:val="0"/>
              <w:sz w:val="24"/>
            </w:rPr>
            <w:t>6.1 馆藏自动化清洗、校验与标准转换流水线</w:t>
          </w:r>
          <w:r>
            <w:rPr>
              <w:rFonts w:eastAsia="宋体"/>
              <w:sz w:val="24"/>
            </w:rPr>
            <w:tab/>
          </w:r>
          <w:r>
            <w:rPr>
              <w:rFonts w:eastAsia="宋体"/>
              <w:sz w:val="24"/>
            </w:rPr>
            <w:fldChar w:fldCharType="begin"/>
          </w:r>
          <w:r>
            <w:rPr>
              <w:rFonts w:eastAsia="宋体"/>
              <w:sz w:val="24"/>
            </w:rPr>
            <w:instrText xml:space="preserve"> PAGEREF _Toc30514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41DF692F">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_Toc12022 </w:instrText>
          </w:r>
          <w:r>
            <w:rPr>
              <w:rFonts w:hint="eastAsia" w:ascii="Times New Roman" w:hAnsi="Times New Roman" w:eastAsia="宋体"/>
              <w:sz w:val="24"/>
            </w:rPr>
            <w:fldChar w:fldCharType="separate"/>
          </w:r>
          <w:r>
            <w:rPr>
              <w:rFonts w:ascii="Times New Roman" w:hAnsi="Times New Roman" w:eastAsia="宋体"/>
              <w:bCs/>
              <w:kern w:val="0"/>
              <w:sz w:val="24"/>
            </w:rPr>
            <w:t>6.2 AI 批量标签生成、枚举归一化与人机协同审核工作流</w:t>
          </w:r>
          <w:r>
            <w:rPr>
              <w:rFonts w:eastAsia="宋体"/>
              <w:sz w:val="24"/>
            </w:rPr>
            <w:tab/>
          </w:r>
          <w:r>
            <w:rPr>
              <w:rFonts w:eastAsia="宋体"/>
              <w:sz w:val="24"/>
            </w:rPr>
            <w:fldChar w:fldCharType="begin"/>
          </w:r>
          <w:r>
            <w:rPr>
              <w:rFonts w:eastAsia="宋体"/>
              <w:sz w:val="24"/>
            </w:rPr>
            <w:instrText xml:space="preserve"> PAGEREF _Toc12022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2FE9ADAD">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_Toc23767 </w:instrText>
          </w:r>
          <w:r>
            <w:rPr>
              <w:rFonts w:hint="eastAsia" w:ascii="Times New Roman" w:hAnsi="Times New Roman" w:eastAsia="宋体"/>
              <w:sz w:val="24"/>
            </w:rPr>
            <w:fldChar w:fldCharType="separate"/>
          </w:r>
          <w:r>
            <w:rPr>
              <w:rFonts w:ascii="Times New Roman" w:hAnsi="Times New Roman" w:eastAsia="宋体"/>
              <w:bCs/>
              <w:kern w:val="0"/>
              <w:sz w:val="24"/>
            </w:rPr>
            <w:t>6.3 Chroma 向量索引增量构建与毫秒级版本切换</w:t>
          </w:r>
          <w:r>
            <w:rPr>
              <w:rFonts w:eastAsia="宋体"/>
              <w:sz w:val="24"/>
            </w:rPr>
            <w:tab/>
          </w:r>
          <w:r>
            <w:rPr>
              <w:rFonts w:eastAsia="宋体"/>
              <w:sz w:val="24"/>
            </w:rPr>
            <w:fldChar w:fldCharType="begin"/>
          </w:r>
          <w:r>
            <w:rPr>
              <w:rFonts w:eastAsia="宋体"/>
              <w:sz w:val="24"/>
            </w:rPr>
            <w:instrText xml:space="preserve"> PAGEREF _Toc23767 \h </w:instrText>
          </w:r>
          <w:r>
            <w:rPr>
              <w:rFonts w:eastAsia="宋体"/>
              <w:sz w:val="24"/>
            </w:rPr>
            <w:fldChar w:fldCharType="separate"/>
          </w:r>
          <w:r>
            <w:rPr>
              <w:rFonts w:eastAsia="宋体"/>
              <w:sz w:val="24"/>
            </w:rPr>
            <w:t>- 15 -</w:t>
          </w:r>
          <w:r>
            <w:rPr>
              <w:rFonts w:eastAsia="宋体"/>
              <w:sz w:val="24"/>
            </w:rPr>
            <w:fldChar w:fldCharType="end"/>
          </w:r>
          <w:r>
            <w:rPr>
              <w:rFonts w:hint="eastAsia" w:ascii="Times New Roman" w:hAnsi="Times New Roman" w:eastAsia="宋体"/>
              <w:sz w:val="24"/>
            </w:rPr>
            <w:fldChar w:fldCharType="end"/>
          </w:r>
        </w:p>
        <w:p w14:paraId="0CAC16FF">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_Toc23707 </w:instrText>
          </w:r>
          <w:r>
            <w:rPr>
              <w:rFonts w:hint="eastAsia" w:ascii="Times New Roman" w:hAnsi="Times New Roman" w:eastAsia="宋体"/>
              <w:sz w:val="24"/>
            </w:rPr>
            <w:fldChar w:fldCharType="separate"/>
          </w:r>
          <w:r>
            <w:rPr>
              <w:rFonts w:hint="eastAsia" w:ascii="黑体" w:hAnsi="黑体" w:eastAsia="宋体" w:cs="黑体"/>
              <w:bCs/>
              <w:kern w:val="0"/>
              <w:sz w:val="24"/>
            </w:rPr>
            <w:t>第七章 纵深安全防御体系与全链路容错降级</w:t>
          </w:r>
          <w:r>
            <w:rPr>
              <w:rFonts w:eastAsia="宋体"/>
              <w:sz w:val="24"/>
            </w:rPr>
            <w:tab/>
          </w:r>
          <w:r>
            <w:rPr>
              <w:rFonts w:eastAsia="宋体"/>
              <w:sz w:val="24"/>
            </w:rPr>
            <w:fldChar w:fldCharType="begin"/>
          </w:r>
          <w:r>
            <w:rPr>
              <w:rFonts w:eastAsia="宋体"/>
              <w:sz w:val="24"/>
            </w:rPr>
            <w:instrText xml:space="preserve"> PAGEREF _Toc23707 \h </w:instrText>
          </w:r>
          <w:r>
            <w:rPr>
              <w:rFonts w:eastAsia="宋体"/>
              <w:sz w:val="24"/>
            </w:rPr>
            <w:fldChar w:fldCharType="separate"/>
          </w:r>
          <w:r>
            <w:rPr>
              <w:rFonts w:eastAsia="宋体"/>
              <w:sz w:val="24"/>
            </w:rPr>
            <w:t>- 16 -</w:t>
          </w:r>
          <w:r>
            <w:rPr>
              <w:rFonts w:eastAsia="宋体"/>
              <w:sz w:val="24"/>
            </w:rPr>
            <w:fldChar w:fldCharType="end"/>
          </w:r>
          <w:r>
            <w:rPr>
              <w:rFonts w:hint="eastAsia" w:ascii="Times New Roman" w:hAnsi="Times New Roman" w:eastAsia="宋体"/>
              <w:sz w:val="24"/>
            </w:rPr>
            <w:fldChar w:fldCharType="end"/>
          </w:r>
        </w:p>
        <w:p w14:paraId="6A5A0F98">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_Toc26185 </w:instrText>
          </w:r>
          <w:r>
            <w:rPr>
              <w:rFonts w:hint="eastAsia" w:ascii="Times New Roman" w:hAnsi="Times New Roman" w:eastAsia="宋体"/>
              <w:sz w:val="24"/>
            </w:rPr>
            <w:fldChar w:fldCharType="separate"/>
          </w:r>
          <w:r>
            <w:rPr>
              <w:rFonts w:ascii="Times New Roman" w:hAnsi="Times New Roman" w:eastAsia="宋体"/>
              <w:bCs/>
              <w:kern w:val="0"/>
              <w:sz w:val="24"/>
            </w:rPr>
            <w:t>7.1 生产级多层纵深安全防御体系</w:t>
          </w:r>
          <w:r>
            <w:rPr>
              <w:rFonts w:eastAsia="宋体"/>
              <w:sz w:val="24"/>
            </w:rPr>
            <w:tab/>
          </w:r>
          <w:r>
            <w:rPr>
              <w:rFonts w:eastAsia="宋体"/>
              <w:sz w:val="24"/>
            </w:rPr>
            <w:fldChar w:fldCharType="begin"/>
          </w:r>
          <w:r>
            <w:rPr>
              <w:rFonts w:eastAsia="宋体"/>
              <w:sz w:val="24"/>
            </w:rPr>
            <w:instrText xml:space="preserve"> PAGEREF _Toc26185 \h </w:instrText>
          </w:r>
          <w:r>
            <w:rPr>
              <w:rFonts w:eastAsia="宋体"/>
              <w:sz w:val="24"/>
            </w:rPr>
            <w:fldChar w:fldCharType="separate"/>
          </w:r>
          <w:r>
            <w:rPr>
              <w:rFonts w:eastAsia="宋体"/>
              <w:sz w:val="24"/>
            </w:rPr>
            <w:t>- 16 -</w:t>
          </w:r>
          <w:r>
            <w:rPr>
              <w:rFonts w:eastAsia="宋体"/>
              <w:sz w:val="24"/>
            </w:rPr>
            <w:fldChar w:fldCharType="end"/>
          </w:r>
          <w:r>
            <w:rPr>
              <w:rFonts w:hint="eastAsia" w:ascii="Times New Roman" w:hAnsi="Times New Roman" w:eastAsia="宋体"/>
              <w:sz w:val="24"/>
            </w:rPr>
            <w:fldChar w:fldCharType="end"/>
          </w:r>
        </w:p>
        <w:p w14:paraId="13DA731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_Toc32451 </w:instrText>
          </w:r>
          <w:r>
            <w:rPr>
              <w:rFonts w:hint="eastAsia" w:ascii="Times New Roman" w:hAnsi="Times New Roman" w:eastAsia="宋体"/>
              <w:sz w:val="24"/>
            </w:rPr>
            <w:fldChar w:fldCharType="separate"/>
          </w:r>
          <w:r>
            <w:rPr>
              <w:rFonts w:ascii="Times New Roman" w:hAnsi="Times New Roman" w:eastAsia="宋体"/>
              <w:bCs/>
              <w:kern w:val="0"/>
              <w:sz w:val="24"/>
            </w:rPr>
            <w:t>7.2 全链路多级容错与确定性降级体系</w:t>
          </w:r>
          <w:r>
            <w:rPr>
              <w:rFonts w:eastAsia="宋体"/>
              <w:sz w:val="24"/>
            </w:rPr>
            <w:tab/>
          </w:r>
          <w:r>
            <w:rPr>
              <w:rFonts w:eastAsia="宋体"/>
              <w:sz w:val="24"/>
            </w:rPr>
            <w:fldChar w:fldCharType="begin"/>
          </w:r>
          <w:r>
            <w:rPr>
              <w:rFonts w:eastAsia="宋体"/>
              <w:sz w:val="24"/>
            </w:rPr>
            <w:instrText xml:space="preserve"> PAGEREF _Toc32451 \h </w:instrText>
          </w:r>
          <w:r>
            <w:rPr>
              <w:rFonts w:eastAsia="宋体"/>
              <w:sz w:val="24"/>
            </w:rPr>
            <w:fldChar w:fldCharType="separate"/>
          </w:r>
          <w:r>
            <w:rPr>
              <w:rFonts w:eastAsia="宋体"/>
              <w:sz w:val="24"/>
            </w:rPr>
            <w:t>- 17 -</w:t>
          </w:r>
          <w:r>
            <w:rPr>
              <w:rFonts w:eastAsia="宋体"/>
              <w:sz w:val="24"/>
            </w:rPr>
            <w:fldChar w:fldCharType="end"/>
          </w:r>
          <w:r>
            <w:rPr>
              <w:rFonts w:hint="eastAsia" w:ascii="Times New Roman" w:hAnsi="Times New Roman" w:eastAsia="宋体"/>
              <w:sz w:val="24"/>
            </w:rPr>
            <w:fldChar w:fldCharType="end"/>
          </w:r>
        </w:p>
        <w:p w14:paraId="72FA996E">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_Toc25464 </w:instrText>
          </w:r>
          <w:r>
            <w:rPr>
              <w:rFonts w:hint="eastAsia" w:ascii="Times New Roman" w:hAnsi="Times New Roman" w:eastAsia="宋体"/>
              <w:sz w:val="24"/>
            </w:rPr>
            <w:fldChar w:fldCharType="separate"/>
          </w:r>
          <w:r>
            <w:rPr>
              <w:rFonts w:hint="eastAsia" w:ascii="黑体" w:hAnsi="黑体" w:eastAsia="宋体" w:cs="黑体"/>
              <w:bCs/>
              <w:kern w:val="0"/>
              <w:sz w:val="24"/>
            </w:rPr>
            <w:t>第八章 核心创新亮点与技术壁垒深度总结</w:t>
          </w:r>
          <w:r>
            <w:rPr>
              <w:rFonts w:eastAsia="宋体"/>
              <w:sz w:val="24"/>
            </w:rPr>
            <w:tab/>
          </w:r>
          <w:r>
            <w:rPr>
              <w:rFonts w:eastAsia="宋体"/>
              <w:sz w:val="24"/>
            </w:rPr>
            <w:fldChar w:fldCharType="begin"/>
          </w:r>
          <w:r>
            <w:rPr>
              <w:rFonts w:eastAsia="宋体"/>
              <w:sz w:val="24"/>
            </w:rPr>
            <w:instrText xml:space="preserve"> PAGEREF _Toc25464 \h </w:instrText>
          </w:r>
          <w:r>
            <w:rPr>
              <w:rFonts w:eastAsia="宋体"/>
              <w:sz w:val="24"/>
            </w:rPr>
            <w:fldChar w:fldCharType="separate"/>
          </w:r>
          <w:r>
            <w:rPr>
              <w:rFonts w:eastAsia="宋体"/>
              <w:sz w:val="24"/>
            </w:rPr>
            <w:t>- 19 -</w:t>
          </w:r>
          <w:r>
            <w:rPr>
              <w:rFonts w:eastAsia="宋体"/>
              <w:sz w:val="24"/>
            </w:rPr>
            <w:fldChar w:fldCharType="end"/>
          </w:r>
          <w:r>
            <w:rPr>
              <w:rFonts w:hint="eastAsia" w:ascii="Times New Roman" w:hAnsi="Times New Roman" w:eastAsia="宋体"/>
              <w:sz w:val="24"/>
            </w:rPr>
            <w:fldChar w:fldCharType="end"/>
          </w:r>
        </w:p>
        <w:p w14:paraId="53FC76FA">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_Toc32476 </w:instrText>
          </w:r>
          <w:r>
            <w:rPr>
              <w:rFonts w:hint="eastAsia" w:ascii="Times New Roman" w:hAnsi="Times New Roman" w:eastAsia="宋体"/>
              <w:sz w:val="24"/>
            </w:rPr>
            <w:fldChar w:fldCharType="separate"/>
          </w:r>
          <w:r>
            <w:rPr>
              <w:rFonts w:hint="eastAsia" w:ascii="Times New Roman" w:hAnsi="Times New Roman" w:eastAsia="宋体"/>
              <w:bCs/>
              <w:kern w:val="0"/>
              <w:sz w:val="24"/>
              <w:lang w:val="en-US" w:eastAsia="zh-CN"/>
            </w:rPr>
            <w:t>8.1 核心技术亮点总结</w:t>
          </w:r>
          <w:r>
            <w:rPr>
              <w:rFonts w:eastAsia="宋体"/>
              <w:sz w:val="24"/>
            </w:rPr>
            <w:tab/>
          </w:r>
          <w:r>
            <w:rPr>
              <w:rFonts w:eastAsia="宋体"/>
              <w:sz w:val="24"/>
            </w:rPr>
            <w:fldChar w:fldCharType="begin"/>
          </w:r>
          <w:r>
            <w:rPr>
              <w:rFonts w:eastAsia="宋体"/>
              <w:sz w:val="24"/>
            </w:rPr>
            <w:instrText xml:space="preserve"> PAGEREF _Toc32476 \h </w:instrText>
          </w:r>
          <w:r>
            <w:rPr>
              <w:rFonts w:eastAsia="宋体"/>
              <w:sz w:val="24"/>
            </w:rPr>
            <w:fldChar w:fldCharType="separate"/>
          </w:r>
          <w:r>
            <w:rPr>
              <w:rFonts w:eastAsia="宋体"/>
              <w:sz w:val="24"/>
            </w:rPr>
            <w:t>- 19 -</w:t>
          </w:r>
          <w:r>
            <w:rPr>
              <w:rFonts w:eastAsia="宋体"/>
              <w:sz w:val="24"/>
            </w:rPr>
            <w:fldChar w:fldCharType="end"/>
          </w:r>
          <w:r>
            <w:rPr>
              <w:rFonts w:hint="eastAsia" w:ascii="Times New Roman" w:hAnsi="Times New Roman" w:eastAsia="宋体"/>
              <w:sz w:val="24"/>
            </w:rPr>
            <w:fldChar w:fldCharType="end"/>
          </w:r>
        </w:p>
        <w:p w14:paraId="74D4B79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_Toc5206 </w:instrText>
          </w:r>
          <w:r>
            <w:rPr>
              <w:rFonts w:hint="eastAsia" w:ascii="Times New Roman" w:hAnsi="Times New Roman" w:eastAsia="宋体"/>
              <w:sz w:val="24"/>
            </w:rPr>
            <w:fldChar w:fldCharType="separate"/>
          </w:r>
          <w:r>
            <w:rPr>
              <w:rFonts w:hint="eastAsia" w:ascii="黑体" w:hAnsi="黑体" w:eastAsia="宋体" w:cs="黑体"/>
              <w:bCs/>
              <w:kern w:val="0"/>
              <w:sz w:val="24"/>
            </w:rPr>
            <w:t>第九章 团队全景档案、专业分工与资源保障</w:t>
          </w:r>
          <w:r>
            <w:rPr>
              <w:rFonts w:eastAsia="宋体"/>
              <w:sz w:val="24"/>
            </w:rPr>
            <w:tab/>
          </w:r>
          <w:r>
            <w:rPr>
              <w:rFonts w:eastAsia="宋体"/>
              <w:sz w:val="24"/>
            </w:rPr>
            <w:fldChar w:fldCharType="begin"/>
          </w:r>
          <w:r>
            <w:rPr>
              <w:rFonts w:eastAsia="宋体"/>
              <w:sz w:val="24"/>
            </w:rPr>
            <w:instrText xml:space="preserve"> PAGEREF _Toc5206 \h </w:instrText>
          </w:r>
          <w:r>
            <w:rPr>
              <w:rFonts w:eastAsia="宋体"/>
              <w:sz w:val="24"/>
            </w:rPr>
            <w:fldChar w:fldCharType="separate"/>
          </w:r>
          <w:r>
            <w:rPr>
              <w:rFonts w:eastAsia="宋体"/>
              <w:sz w:val="24"/>
            </w:rPr>
            <w:t>- 20 -</w:t>
          </w:r>
          <w:r>
            <w:rPr>
              <w:rFonts w:eastAsia="宋体"/>
              <w:sz w:val="24"/>
            </w:rPr>
            <w:fldChar w:fldCharType="end"/>
          </w:r>
          <w:r>
            <w:rPr>
              <w:rFonts w:hint="eastAsia" w:ascii="Times New Roman" w:hAnsi="Times New Roman" w:eastAsia="宋体"/>
              <w:sz w:val="24"/>
            </w:rPr>
            <w:fldChar w:fldCharType="end"/>
          </w:r>
        </w:p>
        <w:p w14:paraId="0702BB4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_Toc4198 </w:instrText>
          </w:r>
          <w:r>
            <w:rPr>
              <w:rFonts w:hint="eastAsia" w:ascii="Times New Roman" w:hAnsi="Times New Roman" w:eastAsia="宋体"/>
              <w:sz w:val="24"/>
            </w:rPr>
            <w:fldChar w:fldCharType="separate"/>
          </w:r>
          <w:r>
            <w:rPr>
              <w:rFonts w:ascii="Times New Roman" w:hAnsi="Times New Roman" w:eastAsia="宋体"/>
              <w:bCs/>
              <w:kern w:val="0"/>
              <w:sz w:val="24"/>
            </w:rPr>
            <w:t>9.1 团队成员全景档案与分工矩阵</w:t>
          </w:r>
          <w:r>
            <w:rPr>
              <w:rFonts w:eastAsia="宋体"/>
              <w:sz w:val="24"/>
            </w:rPr>
            <w:tab/>
          </w:r>
          <w:r>
            <w:rPr>
              <w:rFonts w:eastAsia="宋体"/>
              <w:sz w:val="24"/>
            </w:rPr>
            <w:fldChar w:fldCharType="begin"/>
          </w:r>
          <w:r>
            <w:rPr>
              <w:rFonts w:eastAsia="宋体"/>
              <w:sz w:val="24"/>
            </w:rPr>
            <w:instrText xml:space="preserve"> PAGEREF _Toc4198 \h </w:instrText>
          </w:r>
          <w:r>
            <w:rPr>
              <w:rFonts w:eastAsia="宋体"/>
              <w:sz w:val="24"/>
            </w:rPr>
            <w:fldChar w:fldCharType="separate"/>
          </w:r>
          <w:r>
            <w:rPr>
              <w:rFonts w:eastAsia="宋体"/>
              <w:sz w:val="24"/>
            </w:rPr>
            <w:t>- 20 -</w:t>
          </w:r>
          <w:r>
            <w:rPr>
              <w:rFonts w:eastAsia="宋体"/>
              <w:sz w:val="24"/>
            </w:rPr>
            <w:fldChar w:fldCharType="end"/>
          </w:r>
          <w:r>
            <w:rPr>
              <w:rFonts w:hint="eastAsia" w:ascii="Times New Roman" w:hAnsi="Times New Roman" w:eastAsia="宋体"/>
              <w:sz w:val="24"/>
            </w:rPr>
            <w:fldChar w:fldCharType="end"/>
          </w:r>
        </w:p>
        <w:p w14:paraId="2F5BD015">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_Toc19564 </w:instrText>
          </w:r>
          <w:r>
            <w:rPr>
              <w:rFonts w:hint="eastAsia" w:ascii="Times New Roman" w:hAnsi="Times New Roman" w:eastAsia="宋体"/>
              <w:sz w:val="24"/>
            </w:rPr>
            <w:fldChar w:fldCharType="separate"/>
          </w:r>
          <w:r>
            <w:rPr>
              <w:rFonts w:ascii="Times New Roman" w:hAnsi="Times New Roman" w:eastAsia="宋体"/>
              <w:bCs/>
              <w:kern w:val="0"/>
              <w:sz w:val="24"/>
            </w:rPr>
            <w:t>9.2 研发工作积累、实验环境与资源保障条件</w:t>
          </w:r>
          <w:r>
            <w:rPr>
              <w:rFonts w:eastAsia="宋体"/>
              <w:sz w:val="24"/>
            </w:rPr>
            <w:tab/>
          </w:r>
          <w:r>
            <w:rPr>
              <w:rFonts w:eastAsia="宋体"/>
              <w:sz w:val="24"/>
            </w:rPr>
            <w:fldChar w:fldCharType="begin"/>
          </w:r>
          <w:r>
            <w:rPr>
              <w:rFonts w:eastAsia="宋体"/>
              <w:sz w:val="24"/>
            </w:rPr>
            <w:instrText xml:space="preserve"> PAGEREF _Toc19564 \h </w:instrText>
          </w:r>
          <w:r>
            <w:rPr>
              <w:rFonts w:eastAsia="宋体"/>
              <w:sz w:val="24"/>
            </w:rPr>
            <w:fldChar w:fldCharType="separate"/>
          </w:r>
          <w:r>
            <w:rPr>
              <w:rFonts w:eastAsia="宋体"/>
              <w:sz w:val="24"/>
            </w:rPr>
            <w:t>- 21 -</w:t>
          </w:r>
          <w:r>
            <w:rPr>
              <w:rFonts w:eastAsia="宋体"/>
              <w:sz w:val="24"/>
            </w:rPr>
            <w:fldChar w:fldCharType="end"/>
          </w:r>
          <w:r>
            <w:rPr>
              <w:rFonts w:hint="eastAsia" w:ascii="Times New Roman" w:hAnsi="Times New Roman" w:eastAsia="宋体"/>
              <w:sz w:val="24"/>
            </w:rPr>
            <w:fldChar w:fldCharType="end"/>
          </w:r>
        </w:p>
        <w:p w14:paraId="3384F9AF">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_Toc5797 </w:instrText>
          </w:r>
          <w:r>
            <w:rPr>
              <w:rFonts w:hint="eastAsia" w:ascii="Times New Roman" w:hAnsi="Times New Roman" w:eastAsia="宋体"/>
              <w:sz w:val="24"/>
            </w:rPr>
            <w:fldChar w:fldCharType="separate"/>
          </w:r>
          <w:r>
            <w:rPr>
              <w:rFonts w:hint="eastAsia" w:ascii="黑体" w:hAnsi="黑体" w:eastAsia="宋体" w:cs="黑体"/>
              <w:bCs/>
              <w:kern w:val="0"/>
              <w:sz w:val="24"/>
            </w:rPr>
            <w:t>第十章 项目实施进度计划与里程碑管理</w:t>
          </w:r>
          <w:r>
            <w:rPr>
              <w:rFonts w:eastAsia="宋体"/>
              <w:sz w:val="24"/>
            </w:rPr>
            <w:tab/>
          </w:r>
          <w:r>
            <w:rPr>
              <w:rFonts w:eastAsia="宋体"/>
              <w:sz w:val="24"/>
            </w:rPr>
            <w:fldChar w:fldCharType="begin"/>
          </w:r>
          <w:r>
            <w:rPr>
              <w:rFonts w:eastAsia="宋体"/>
              <w:sz w:val="24"/>
            </w:rPr>
            <w:instrText xml:space="preserve"> PAGEREF _Toc5797 \h </w:instrText>
          </w:r>
          <w:r>
            <w:rPr>
              <w:rFonts w:eastAsia="宋体"/>
              <w:sz w:val="24"/>
            </w:rPr>
            <w:fldChar w:fldCharType="separate"/>
          </w:r>
          <w:r>
            <w:rPr>
              <w:rFonts w:eastAsia="宋体"/>
              <w:sz w:val="24"/>
            </w:rPr>
            <w:t>- 22 -</w:t>
          </w:r>
          <w:r>
            <w:rPr>
              <w:rFonts w:eastAsia="宋体"/>
              <w:sz w:val="24"/>
            </w:rPr>
            <w:fldChar w:fldCharType="end"/>
          </w:r>
          <w:r>
            <w:rPr>
              <w:rFonts w:hint="eastAsia" w:ascii="Times New Roman" w:hAnsi="Times New Roman" w:eastAsia="宋体"/>
              <w:sz w:val="24"/>
            </w:rPr>
            <w:fldChar w:fldCharType="end"/>
          </w:r>
        </w:p>
        <w:p w14:paraId="709D4022">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_Toc20554 </w:instrText>
          </w:r>
          <w:r>
            <w:rPr>
              <w:rFonts w:hint="eastAsia" w:ascii="Times New Roman" w:hAnsi="Times New Roman" w:eastAsia="宋体"/>
              <w:sz w:val="24"/>
            </w:rPr>
            <w:fldChar w:fldCharType="separate"/>
          </w:r>
          <w:r>
            <w:rPr>
              <w:rFonts w:hint="eastAsia" w:ascii="黑体" w:hAnsi="黑体" w:eastAsia="宋体" w:cs="黑体"/>
              <w:bCs/>
              <w:kern w:val="0"/>
              <w:sz w:val="24"/>
            </w:rPr>
            <w:t>第十一章 经费预算分配、成本控制与财务可行性</w:t>
          </w:r>
          <w:r>
            <w:rPr>
              <w:rFonts w:eastAsia="宋体"/>
              <w:sz w:val="24"/>
            </w:rPr>
            <w:tab/>
          </w:r>
          <w:r>
            <w:rPr>
              <w:rFonts w:eastAsia="宋体"/>
              <w:sz w:val="24"/>
            </w:rPr>
            <w:fldChar w:fldCharType="begin"/>
          </w:r>
          <w:r>
            <w:rPr>
              <w:rFonts w:eastAsia="宋体"/>
              <w:sz w:val="24"/>
            </w:rPr>
            <w:instrText xml:space="preserve"> PAGEREF _Toc20554 \h </w:instrText>
          </w:r>
          <w:r>
            <w:rPr>
              <w:rFonts w:eastAsia="宋体"/>
              <w:sz w:val="24"/>
            </w:rPr>
            <w:fldChar w:fldCharType="separate"/>
          </w:r>
          <w:r>
            <w:rPr>
              <w:rFonts w:eastAsia="宋体"/>
              <w:sz w:val="24"/>
            </w:rPr>
            <w:t>- 24 -</w:t>
          </w:r>
          <w:r>
            <w:rPr>
              <w:rFonts w:eastAsia="宋体"/>
              <w:sz w:val="24"/>
            </w:rPr>
            <w:fldChar w:fldCharType="end"/>
          </w:r>
          <w:r>
            <w:rPr>
              <w:rFonts w:hint="eastAsia" w:ascii="Times New Roman" w:hAnsi="Times New Roman" w:eastAsia="宋体"/>
              <w:sz w:val="24"/>
            </w:rPr>
            <w:fldChar w:fldCharType="end"/>
          </w:r>
        </w:p>
        <w:p w14:paraId="5F1883E2">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_Toc24799 </w:instrText>
          </w:r>
          <w:r>
            <w:rPr>
              <w:rFonts w:hint="eastAsia" w:ascii="Times New Roman" w:hAnsi="Times New Roman" w:eastAsia="宋体"/>
              <w:sz w:val="24"/>
            </w:rPr>
            <w:fldChar w:fldCharType="separate"/>
          </w:r>
          <w:r>
            <w:rPr>
              <w:rFonts w:ascii="Times New Roman" w:hAnsi="Times New Roman" w:eastAsia="宋体"/>
              <w:bCs/>
              <w:kern w:val="0"/>
              <w:sz w:val="24"/>
            </w:rPr>
            <w:t>11.1 项目经费预算细目编制表（以首期 5,000 元为例）</w:t>
          </w:r>
          <w:r>
            <w:rPr>
              <w:rFonts w:eastAsia="宋体"/>
              <w:sz w:val="24"/>
            </w:rPr>
            <w:tab/>
          </w:r>
          <w:r>
            <w:rPr>
              <w:rFonts w:eastAsia="宋体"/>
              <w:sz w:val="24"/>
            </w:rPr>
            <w:fldChar w:fldCharType="begin"/>
          </w:r>
          <w:r>
            <w:rPr>
              <w:rFonts w:eastAsia="宋体"/>
              <w:sz w:val="24"/>
            </w:rPr>
            <w:instrText xml:space="preserve"> PAGEREF _Toc24799 \h </w:instrText>
          </w:r>
          <w:r>
            <w:rPr>
              <w:rFonts w:eastAsia="宋体"/>
              <w:sz w:val="24"/>
            </w:rPr>
            <w:fldChar w:fldCharType="separate"/>
          </w:r>
          <w:r>
            <w:rPr>
              <w:rFonts w:eastAsia="宋体"/>
              <w:sz w:val="24"/>
            </w:rPr>
            <w:t>- 24 -</w:t>
          </w:r>
          <w:r>
            <w:rPr>
              <w:rFonts w:eastAsia="宋体"/>
              <w:sz w:val="24"/>
            </w:rPr>
            <w:fldChar w:fldCharType="end"/>
          </w:r>
          <w:r>
            <w:rPr>
              <w:rFonts w:hint="eastAsia" w:ascii="Times New Roman" w:hAnsi="Times New Roman" w:eastAsia="宋体"/>
              <w:sz w:val="24"/>
            </w:rPr>
            <w:fldChar w:fldCharType="end"/>
          </w:r>
        </w:p>
        <w:p w14:paraId="5D38621D">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_Toc9030 </w:instrText>
          </w:r>
          <w:r>
            <w:rPr>
              <w:rFonts w:hint="eastAsia" w:ascii="Times New Roman" w:hAnsi="Times New Roman" w:eastAsia="宋体"/>
              <w:sz w:val="24"/>
            </w:rPr>
            <w:fldChar w:fldCharType="separate"/>
          </w:r>
          <w:r>
            <w:rPr>
              <w:rFonts w:hint="eastAsia" w:ascii="黑体" w:hAnsi="黑体" w:eastAsia="宋体" w:cs="黑体"/>
              <w:bCs/>
              <w:kern w:val="0"/>
              <w:sz w:val="24"/>
            </w:rPr>
            <w:t>第十二章 经济效益、社会效益与商业化延伸</w:t>
          </w:r>
          <w:r>
            <w:rPr>
              <w:rFonts w:eastAsia="宋体"/>
              <w:sz w:val="24"/>
            </w:rPr>
            <w:tab/>
          </w:r>
          <w:r>
            <w:rPr>
              <w:rFonts w:eastAsia="宋体"/>
              <w:sz w:val="24"/>
            </w:rPr>
            <w:fldChar w:fldCharType="begin"/>
          </w:r>
          <w:r>
            <w:rPr>
              <w:rFonts w:eastAsia="宋体"/>
              <w:sz w:val="24"/>
            </w:rPr>
            <w:instrText xml:space="preserve"> PAGEREF _Toc9030 \h </w:instrText>
          </w:r>
          <w:r>
            <w:rPr>
              <w:rFonts w:eastAsia="宋体"/>
              <w:sz w:val="24"/>
            </w:rPr>
            <w:fldChar w:fldCharType="separate"/>
          </w:r>
          <w:r>
            <w:rPr>
              <w:rFonts w:eastAsia="宋体"/>
              <w:sz w:val="24"/>
            </w:rPr>
            <w:t>- 26 -</w:t>
          </w:r>
          <w:r>
            <w:rPr>
              <w:rFonts w:eastAsia="宋体"/>
              <w:sz w:val="24"/>
            </w:rPr>
            <w:fldChar w:fldCharType="end"/>
          </w:r>
          <w:r>
            <w:rPr>
              <w:rFonts w:hint="eastAsia" w:ascii="Times New Roman" w:hAnsi="Times New Roman" w:eastAsia="宋体"/>
              <w:sz w:val="24"/>
            </w:rPr>
            <w:fldChar w:fldCharType="end"/>
          </w:r>
        </w:p>
        <w:p w14:paraId="77348BE1">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_Toc14736 </w:instrText>
          </w:r>
          <w:r>
            <w:rPr>
              <w:rFonts w:hint="eastAsia" w:ascii="Times New Roman" w:hAnsi="Times New Roman" w:eastAsia="宋体"/>
              <w:sz w:val="24"/>
            </w:rPr>
            <w:fldChar w:fldCharType="separate"/>
          </w:r>
          <w:r>
            <w:rPr>
              <w:rFonts w:hint="eastAsia" w:ascii="黑体" w:hAnsi="黑体" w:eastAsia="宋体" w:cs="黑体"/>
              <w:bCs/>
              <w:kern w:val="0"/>
              <w:sz w:val="24"/>
            </w:rPr>
            <w:t>第十三章 项目风险评估与应对防御策略</w:t>
          </w:r>
          <w:r>
            <w:rPr>
              <w:rFonts w:eastAsia="宋体"/>
              <w:sz w:val="24"/>
            </w:rPr>
            <w:tab/>
          </w:r>
          <w:r>
            <w:rPr>
              <w:rFonts w:eastAsia="宋体"/>
              <w:sz w:val="24"/>
            </w:rPr>
            <w:fldChar w:fldCharType="begin"/>
          </w:r>
          <w:r>
            <w:rPr>
              <w:rFonts w:eastAsia="宋体"/>
              <w:sz w:val="24"/>
            </w:rPr>
            <w:instrText xml:space="preserve"> PAGEREF _Toc14736 \h </w:instrText>
          </w:r>
          <w:r>
            <w:rPr>
              <w:rFonts w:eastAsia="宋体"/>
              <w:sz w:val="24"/>
            </w:rPr>
            <w:fldChar w:fldCharType="separate"/>
          </w:r>
          <w:r>
            <w:rPr>
              <w:rFonts w:eastAsia="宋体"/>
              <w:sz w:val="24"/>
            </w:rPr>
            <w:t>- 28 -</w:t>
          </w:r>
          <w:r>
            <w:rPr>
              <w:rFonts w:eastAsia="宋体"/>
              <w:sz w:val="24"/>
            </w:rPr>
            <w:fldChar w:fldCharType="end"/>
          </w:r>
          <w:r>
            <w:rPr>
              <w:rFonts w:hint="eastAsia" w:ascii="Times New Roman" w:hAnsi="Times New Roman" w:eastAsia="宋体"/>
              <w:sz w:val="24"/>
            </w:rPr>
            <w:fldChar w:fldCharType="end"/>
          </w:r>
        </w:p>
        <w:p w14:paraId="3E59A7A5">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_Toc28773 </w:instrText>
          </w:r>
          <w:r>
            <w:rPr>
              <w:rFonts w:hint="eastAsia" w:ascii="Times New Roman" w:hAnsi="Times New Roman" w:eastAsia="宋体"/>
              <w:sz w:val="24"/>
            </w:rPr>
            <w:fldChar w:fldCharType="separate"/>
          </w:r>
          <w:r>
            <w:rPr>
              <w:rFonts w:hint="eastAsia" w:ascii="黑体" w:hAnsi="黑体" w:eastAsia="宋体" w:cs="黑体"/>
              <w:bCs/>
              <w:kern w:val="0"/>
              <w:sz w:val="24"/>
            </w:rPr>
            <w:t>第十四章 结语与项目申报承诺</w:t>
          </w:r>
          <w:r>
            <w:rPr>
              <w:rFonts w:eastAsia="宋体"/>
              <w:sz w:val="24"/>
            </w:rPr>
            <w:tab/>
          </w:r>
          <w:r>
            <w:rPr>
              <w:rFonts w:eastAsia="宋体"/>
              <w:sz w:val="24"/>
            </w:rPr>
            <w:fldChar w:fldCharType="begin"/>
          </w:r>
          <w:r>
            <w:rPr>
              <w:rFonts w:eastAsia="宋体"/>
              <w:sz w:val="24"/>
            </w:rPr>
            <w:instrText xml:space="preserve"> PAGEREF _Toc28773 \h </w:instrText>
          </w:r>
          <w:r>
            <w:rPr>
              <w:rFonts w:eastAsia="宋体"/>
              <w:sz w:val="24"/>
            </w:rPr>
            <w:fldChar w:fldCharType="separate"/>
          </w:r>
          <w:r>
            <w:rPr>
              <w:rFonts w:eastAsia="宋体"/>
              <w:sz w:val="24"/>
            </w:rPr>
            <w:t>- 29 -</w:t>
          </w:r>
          <w:r>
            <w:rPr>
              <w:rFonts w:eastAsia="宋体"/>
              <w:sz w:val="24"/>
            </w:rPr>
            <w:fldChar w:fldCharType="end"/>
          </w:r>
          <w:r>
            <w:rPr>
              <w:rFonts w:hint="eastAsia" w:ascii="Times New Roman" w:hAnsi="Times New Roman" w:eastAsia="宋体"/>
              <w:sz w:val="24"/>
            </w:rPr>
            <w:fldChar w:fldCharType="end"/>
          </w:r>
        </w:p>
        <w:p w14:paraId="336082B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heme="minorHAnsi" w:hAnsiTheme="minorHAnsi" w:eastAsiaTheme="minorEastAsia" w:cstheme="minorBidi"/>
              <w:sz w:val="22"/>
              <w:szCs w:val="22"/>
              <w:lang w:val="en-US" w:eastAsia="en-US" w:bidi="ar-SA"/>
            </w:rPr>
            <w:sectPr>
              <w:pgSz w:w="12240" w:h="15840"/>
              <w:pgMar w:top="1440" w:right="1474" w:bottom="1440" w:left="1701" w:header="720" w:footer="720" w:gutter="0"/>
              <w:pgNumType w:fmt="numberInDash"/>
              <w:cols w:space="720" w:num="1"/>
              <w:docGrid w:linePitch="360" w:charSpace="0"/>
            </w:sectPr>
          </w:pPr>
          <w:r>
            <w:rPr>
              <w:rFonts w:hint="eastAsia" w:ascii="Times New Roman" w:hAnsi="Times New Roman" w:eastAsia="宋体"/>
              <w:sz w:val="24"/>
            </w:rPr>
            <w:fldChar w:fldCharType="end"/>
          </w:r>
        </w:p>
      </w:sdtContent>
    </w:sdt>
    <w:p w14:paraId="783C384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4" w:name="_Toc12485"/>
      <w:r>
        <w:rPr>
          <w:rFonts w:hint="eastAsia" w:ascii="黑体" w:hAnsi="黑体" w:eastAsia="黑体" w:cs="黑体"/>
          <w:b w:val="0"/>
          <w:bCs/>
          <w:color w:val="000000"/>
          <w:kern w:val="0"/>
          <w:sz w:val="30"/>
        </w:rPr>
        <w:t>第一章 项目概述与立项宗旨</w:t>
      </w:r>
      <w:bookmarkEnd w:id="4"/>
    </w:p>
    <w:p w14:paraId="329ABB2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5" w:name="_Toc13062"/>
      <w:r>
        <w:rPr>
          <w:rFonts w:ascii="Times New Roman" w:hAnsi="Times New Roman" w:eastAsia="黑体"/>
          <w:b w:val="0"/>
          <w:bCs/>
          <w:color w:val="000000"/>
          <w:kern w:val="0"/>
          <w:sz w:val="28"/>
        </w:rPr>
        <w:t xml:space="preserve">1.1 </w:t>
      </w:r>
      <w:r>
        <w:rPr>
          <w:rFonts w:hint="eastAsia" w:ascii="Times New Roman" w:hAnsi="Times New Roman" w:eastAsia="黑体"/>
          <w:b w:val="0"/>
          <w:bCs/>
          <w:color w:val="000000"/>
          <w:kern w:val="0"/>
          <w:sz w:val="28"/>
        </w:rPr>
        <w:t>项目背景与时代定位</w:t>
      </w:r>
      <w:bookmarkEnd w:id="5"/>
    </w:p>
    <w:p w14:paraId="27D8818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在“教育强国”与“教育数字化转型”国家战略指引下，高等教育正在经历从传统课堂知识讲授向以学生为中心、自主探究与终身研习能力培养的深刻变革。教育部在《教育部关于举办中国国际大学生创新大赛（2026）的通知》（教高函〔2026〕26号）中明确强调，要推动人工智能与教育教学深度融合，激发青年大学生的原始创新精神与工程实践能力。高校图书馆作为立德树人与科学研究的核心信息高地，汇聚了人类文明与前沿科技最为璀璨的文献财富。然而，长期以来，高校图书馆虽然斥巨资完成了数以百万计藏书的数字化编目，却受限于滞后的交互范式，使其在本质上依然是一座座被动的“数字藏书楼”。</w:t>
      </w:r>
    </w:p>
    <w:p w14:paraId="295F6F8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“书途智启（BookPath AI）”应运而生。本项目立足于真实的高校校园学习土壤，聚焦当前智慧图书馆在专业图书垂直领域的服务短板，以大模型（LLM）驱动的检索增强生成（RAG）与多轮智能体（Agent）技术为核心底座，打造了一套集“精准图书推荐、多轮语义对话、可解释量化匹配、三阶段进阶学习路径生成、动态画像长短期记忆自适应以及物理借阅预约闭环”于一体的全新一代智慧图书馆 AI 馆员系统。本系统以解决学生“借阅难、选书盲、串联碎、落地空”四大顽疾为目标，重塑图书资源与青年学子的连接方式。</w:t>
      </w:r>
    </w:p>
    <w:p w14:paraId="621D02BC">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6" w:name="_Toc14835"/>
      <w:r>
        <w:rPr>
          <w:rFonts w:ascii="Times New Roman" w:hAnsi="Times New Roman" w:eastAsia="黑体"/>
          <w:b w:val="0"/>
          <w:bCs/>
          <w:color w:val="000000"/>
          <w:kern w:val="0"/>
          <w:sz w:val="28"/>
        </w:rPr>
        <w:t xml:space="preserve">1.2 </w:t>
      </w:r>
      <w:r>
        <w:rPr>
          <w:rFonts w:hint="eastAsia" w:ascii="Times New Roman" w:hAnsi="Times New Roman" w:eastAsia="黑体" w:cs="黑体"/>
          <w:b w:val="0"/>
          <w:bCs/>
          <w:color w:val="000000"/>
          <w:kern w:val="0"/>
          <w:sz w:val="28"/>
        </w:rPr>
        <w:t>核心设计哲学：AI自然语言表达与真实馆藏事实解耦</w:t>
      </w:r>
      <w:bookmarkEnd w:id="6"/>
    </w:p>
    <w:p w14:paraId="6913313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目前市面上虽有以 ChatGPT、文心一言为代表的泛化大语言模型，亦有以豆瓣、微信读书为代表的商业化阅读社区，但在高校严肃教学科研与个性化自主研习场景下，均暴露出难以逾越的结构性缺陷。其最致命的症结在于通用生成式大模型底层固有的“学术幻觉生成（Hallucination）”痼疾——当学生向通用大语言模型咨询专业学习书单或跨学科进阶指南时，模型受限于概率采样机制，极易以极具说服力的语气凭空捏造根本不存在的虚假书名、张冠李戴地混淆中外知名学者与著作、甚至推荐本校乃至国内各高校未曾引进且无中文译本的高门槛外文绝版文献，这对于求知若渴但缺乏辨别经验的在校大学生而言造成了极大的误导与精力虚耗；与此同时，泛商业化阅读平台则与高校图书馆经过长期采购沉淀的权威物理在馆库存完全脱钩，学生通过互联网平台好不容易物色到相关参考书，却往往面临“线上好评如潮、线下书库无处借阅、商业平台还需高额付费”的严重断层。针对这两大行业顽疾，“书途智启”在工程架构设计的第一天起，便确立了具有示范性标杆意义的核心基石原则：</w:t>
      </w:r>
      <w:r>
        <w:rPr>
          <w:rFonts w:hint="default" w:ascii="Times New Roman" w:hAnsi="Times New Roman" w:eastAsia="宋体"/>
          <w:b w:val="0"/>
          <w:i w:val="0"/>
          <w:color w:val="000000"/>
          <w:kern w:val="0"/>
          <w:sz w:val="24"/>
        </w:rPr>
        <w:t>坚决将 AI 大语言模型出色的自然语言意图洞察、学术术语语义泛化重写、跨轮会话上下文归纳及通情达理的情感共鸣阐释能力，与高校图书馆经严格国际与国内机读编目（CNMARC）权威认证的真实物理馆藏事实实行严格解耦分离。在整个推荐引擎的底层运行逻辑中，一切进入召回候选池的图书核心元数据、标准 ISBN 编号、中图法物理索书号、书库藏书楼层与架位分布、以及精确到具体条形码资产级别的实时在馆/外借状态，100% 毫无例外地强行锚定在校内本地关系型数据库与稠密向量数据库中，大语言模型仅充当语义理解的“导航仪”与理由陈述的“讲解员”，在制度与代码双重权限上被彻底剥夺了向外虚构或捏造任何书目的可能，所有最终推荐呈现给读者的书籍不仅必须真实存在、内容权威，更确保即刻可查、在馆可借、指引明确，从而从底层计算范式上构筑起了无可比拟的学术严肃性与工程可信度。</w:t>
      </w:r>
    </w:p>
    <w:p w14:paraId="35FDDE43">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7" w:name="_Toc22090"/>
      <w:r>
        <w:rPr>
          <w:rFonts w:ascii="Times New Roman" w:hAnsi="Times New Roman" w:eastAsia="黑体"/>
          <w:b w:val="0"/>
          <w:bCs/>
          <w:color w:val="000000"/>
          <w:kern w:val="0"/>
          <w:sz w:val="28"/>
        </w:rPr>
        <w:t>1.3 核心痛点与系统价值主张对照分析</w:t>
      </w:r>
      <w:bookmarkEnd w:id="7"/>
    </w:p>
    <w:p w14:paraId="08086133">
      <w:pPr>
        <w:spacing w:after="120" w:line="324" w:lineRule="auto"/>
        <w:ind w:firstLine="420"/>
        <w:jc w:val="left"/>
        <w:rPr>
          <w:rFonts w:ascii="宋体" w:hAnsi="宋体" w:eastAsia="宋体"/>
          <w:b w:val="0"/>
          <w:i w:val="0"/>
          <w:color w:val="auto"/>
          <w:sz w:val="24"/>
          <w:szCs w:val="24"/>
        </w:rPr>
      </w:pPr>
      <w:r>
        <w:rPr>
          <w:rFonts w:ascii="宋体" w:hAnsi="宋体" w:eastAsia="宋体"/>
          <w:b w:val="0"/>
          <w:i w:val="0"/>
          <w:color w:val="auto"/>
          <w:sz w:val="24"/>
          <w:szCs w:val="24"/>
        </w:rPr>
        <w:t>为清晰展示本系统对传统图书检索体系的范式重构，下表从多个交互维度对用户痛点、传统手段与书途智启的解决方案进行了深度比对：</w:t>
      </w:r>
    </w:p>
    <w:p w14:paraId="7E22FFED">
      <w:pPr>
        <w:spacing w:after="120" w:line="324" w:lineRule="auto"/>
        <w:jc w:val="left"/>
        <w:rPr>
          <w:rFonts w:hint="eastAsia" w:ascii="宋体" w:hAnsi="宋体" w:eastAsia="宋体"/>
          <w:b w:val="0"/>
          <w:i w:val="0"/>
          <w:color w:val="auto"/>
          <w:sz w:val="24"/>
          <w:szCs w:val="24"/>
          <w:lang w:eastAsia="zh-CN"/>
        </w:rPr>
      </w:pPr>
      <w:r>
        <w:rPr>
          <w:rFonts w:hint="eastAsia" w:ascii="宋体" w:hAnsi="宋体" w:eastAsia="宋体"/>
          <w:b w:val="0"/>
          <w:i w:val="0"/>
          <w:color w:val="auto"/>
          <w:sz w:val="24"/>
          <w:szCs w:val="24"/>
          <w:lang w:eastAsia="zh-CN"/>
        </w:rPr>
        <w:drawing>
          <wp:inline distT="0" distB="0" distL="114300" distR="114300">
            <wp:extent cx="6095365" cy="3402330"/>
            <wp:effectExtent l="0" t="0" r="635" b="1270"/>
            <wp:docPr id="2" name="图片 2" descr="Gemini_Generated_Image_ftxx98ftxx98ft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mini_Generated_Image_ftxx98ftxx98ftxx"/>
                    <pic:cNvPicPr>
                      <a:picLocks noChangeAspect="1"/>
                    </pic:cNvPicPr>
                  </pic:nvPicPr>
                  <pic:blipFill>
                    <a:blip r:embed="rId7"/>
                    <a:stretch>
                      <a:fillRect/>
                    </a:stretch>
                  </pic:blipFill>
                  <pic:spPr>
                    <a:xfrm>
                      <a:off x="0" y="0"/>
                      <a:ext cx="6095365" cy="3402330"/>
                    </a:xfrm>
                    <a:prstGeom prst="rect">
                      <a:avLst/>
                    </a:prstGeom>
                  </pic:spPr>
                </pic:pic>
              </a:graphicData>
            </a:graphic>
          </wp:inline>
        </w:drawing>
      </w:r>
    </w:p>
    <w:p w14:paraId="6867C11B">
      <w:pPr>
        <w:spacing w:after="120" w:line="324" w:lineRule="auto"/>
        <w:ind w:firstLine="420"/>
        <w:jc w:val="cente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表1-1系统价值主观对照分析</w:t>
      </w:r>
    </w:p>
    <w:p w14:paraId="55347FCD">
      <w:pPr>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br w:type="page"/>
      </w:r>
    </w:p>
    <w:p w14:paraId="2395713F">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8" w:name="_Toc8030"/>
      <w:r>
        <w:rPr>
          <w:rFonts w:hint="eastAsia" w:ascii="黑体" w:hAnsi="黑体" w:eastAsia="黑体" w:cs="黑体"/>
          <w:b w:val="0"/>
          <w:bCs/>
          <w:color w:val="000000"/>
          <w:kern w:val="0"/>
          <w:sz w:val="30"/>
        </w:rPr>
        <w:t>第二章 宏观政策背景、市场需求与竞品分析</w:t>
      </w:r>
      <w:bookmarkEnd w:id="8"/>
    </w:p>
    <w:p w14:paraId="298F051E">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9" w:name="_Toc5516"/>
      <w:r>
        <w:rPr>
          <w:rFonts w:ascii="Times New Roman" w:hAnsi="Times New Roman" w:eastAsia="黑体"/>
          <w:b w:val="0"/>
          <w:bCs/>
          <w:color w:val="000000"/>
          <w:kern w:val="0"/>
          <w:sz w:val="28"/>
        </w:rPr>
        <w:t>2.1 国家宏观战略与高校教育数字化赋能</w:t>
      </w:r>
      <w:bookmarkEnd w:id="9"/>
    </w:p>
    <w:p w14:paraId="36FDC58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2024至2026年，我国高等教育高质量发展迈入崭新阶段。《中国教育现代化2035》与教育部《教育数字化战略行动》重点强调要加快推进教育数字化转型，利用现代信息技术革新传统教学管理形态。特别是在高校“拔尖创新人才自主培养能力”专项工程中，强化学生的自主性学习、探究性阅读以及跨学科交叉融合能力，被列为各高校深化本科生综合改革的先导指标。</w:t>
      </w:r>
    </w:p>
    <w:p w14:paraId="144E845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与此同时，地方政策亦持续倾斜支持。以上海市为例，市教委明确发布促进数字校园与人工智能重点垂类应用落地的指导方案，鼓励各大高校在图书文献资源盘活、校园智能体交互等场景大胆创新，推动科研与实训成果服务于真实师生场景。在此背景下，将 AI 大语言模型、知识增强生成及自适应推荐算法引入高校图书馆业务核心，不仅具有前瞻的技术探索价值，更具备坚实的政策合规性与示范引领性。</w:t>
      </w:r>
    </w:p>
    <w:p w14:paraId="444EEB26">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0" w:name="_Toc31665"/>
      <w:r>
        <w:rPr>
          <w:rFonts w:ascii="Times New Roman" w:hAnsi="Times New Roman" w:eastAsia="黑体"/>
          <w:b w:val="0"/>
          <w:bCs/>
          <w:color w:val="000000"/>
          <w:kern w:val="0"/>
          <w:sz w:val="28"/>
        </w:rPr>
        <w:t>2.2 用户群体特征、借阅行为与痛点调研数据</w:t>
      </w:r>
      <w:bookmarkEnd w:id="10"/>
    </w:p>
    <w:p w14:paraId="6EFD84C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为确保项目研发立足于真需求、真痛点，团队在立项初期在校内展开了覆盖 200 余名本硕学子的深度问卷调研与 20 余场面对面深度焦点访谈，采集到了极具说服力的一手实证数据：</w:t>
      </w:r>
    </w:p>
    <w:p w14:paraId="4E5207D7">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选书试错成本极高：高达 82.4% 的受访学生表示曾经历过“满怀热情在图书馆借了专业书，翻开后发现理论推导晦涩艰深根本看不懂，最终只能默默还回”的挫败体验。平均每名本科生每学期会产生 1 至 2 次严重的图书错配与无效借阅。</w:t>
      </w:r>
    </w:p>
    <w:p w14:paraId="68A1E17F">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跨学科自学缺乏导航：当前计算机、人工智能、数据科学等工科技术迭代日新月异，商科、文科及艺术类学生希望跨界学习编程或前沿模型（如 LLM、数据分析），但因缺乏计算机体系结构、线性代数等底层铺垫，极易在第一本大部头教材前望而却步，迫切需要一位“由浅入深”指导选书的引路人。</w:t>
      </w:r>
    </w:p>
    <w:p w14:paraId="28227E77">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馆藏沉睡与资源错配：调研显示，高校图书馆约 75% 的专业文献在采购后的前三年内借阅频次低于 2 次，存在严重的资产闲置与纸张自然老化折旧，急需通过精准的主动推荐重焕文献生命力。</w:t>
      </w:r>
    </w:p>
    <w:p w14:paraId="15F27E34">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1" w:name="_Toc30816"/>
      <w:r>
        <w:rPr>
          <w:rFonts w:ascii="Times New Roman" w:hAnsi="Times New Roman" w:eastAsia="黑体"/>
          <w:b w:val="0"/>
          <w:bCs/>
          <w:color w:val="000000"/>
          <w:kern w:val="0"/>
          <w:sz w:val="28"/>
        </w:rPr>
        <w:t>2.3 深度竞品对比与市场差异化壁垒</w:t>
      </w:r>
      <w:bookmarkEnd w:id="11"/>
    </w:p>
    <w:p w14:paraId="35E23A6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当前图书与文献服务市场呈现多元化割据态势，但面向高校特定研习场景，均存在明显的结构性短板：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270"/>
        <w:gridCol w:w="2131"/>
        <w:gridCol w:w="1984"/>
        <w:gridCol w:w="1984"/>
      </w:tblGrid>
      <w:tr w14:paraId="4F60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7D7D7" w:themeFill="background1" w:themeFillShade="D8"/>
            <w:vAlign w:val="center"/>
          </w:tcPr>
          <w:p w14:paraId="4C138D9F">
            <w:pPr>
              <w:spacing w:before="100" w:after="100"/>
              <w:jc w:val="center"/>
              <w:rPr>
                <w:color w:val="auto"/>
                <w:sz w:val="21"/>
                <w:szCs w:val="21"/>
              </w:rPr>
            </w:pPr>
            <w:r>
              <w:rPr>
                <w:rFonts w:ascii="黑体" w:hAnsi="黑体" w:eastAsia="黑体"/>
                <w:b/>
                <w:i w:val="0"/>
                <w:color w:val="auto"/>
                <w:sz w:val="21"/>
                <w:szCs w:val="21"/>
              </w:rPr>
              <w:t>系统类别</w:t>
            </w:r>
          </w:p>
        </w:tc>
        <w:tc>
          <w:tcPr>
            <w:tcW w:w="1270" w:type="dxa"/>
            <w:shd w:val="clear" w:color="auto" w:fill="D7D7D7" w:themeFill="background1" w:themeFillShade="D8"/>
            <w:vAlign w:val="center"/>
          </w:tcPr>
          <w:p w14:paraId="5DB8AE3B">
            <w:pPr>
              <w:spacing w:before="100" w:after="100"/>
              <w:jc w:val="center"/>
              <w:rPr>
                <w:color w:val="auto"/>
                <w:sz w:val="21"/>
                <w:szCs w:val="21"/>
              </w:rPr>
            </w:pPr>
            <w:r>
              <w:rPr>
                <w:rFonts w:ascii="黑体" w:hAnsi="黑体" w:eastAsia="黑体"/>
                <w:b/>
                <w:i w:val="0"/>
                <w:color w:val="auto"/>
                <w:sz w:val="21"/>
                <w:szCs w:val="21"/>
              </w:rPr>
              <w:t>代表平台</w:t>
            </w:r>
          </w:p>
        </w:tc>
        <w:tc>
          <w:tcPr>
            <w:tcW w:w="2131" w:type="dxa"/>
            <w:shd w:val="clear" w:color="auto" w:fill="D7D7D7" w:themeFill="background1" w:themeFillShade="D8"/>
            <w:vAlign w:val="center"/>
          </w:tcPr>
          <w:p w14:paraId="1A2DBA14">
            <w:pPr>
              <w:spacing w:before="100" w:after="100"/>
              <w:jc w:val="center"/>
              <w:rPr>
                <w:color w:val="auto"/>
                <w:sz w:val="21"/>
                <w:szCs w:val="21"/>
              </w:rPr>
            </w:pPr>
            <w:r>
              <w:rPr>
                <w:rFonts w:ascii="黑体" w:hAnsi="黑体" w:eastAsia="黑体"/>
                <w:b/>
                <w:i w:val="0"/>
                <w:color w:val="auto"/>
                <w:sz w:val="21"/>
                <w:szCs w:val="21"/>
              </w:rPr>
              <w:t>核心优势</w:t>
            </w:r>
          </w:p>
        </w:tc>
        <w:tc>
          <w:tcPr>
            <w:tcW w:w="1984" w:type="dxa"/>
            <w:shd w:val="clear" w:color="auto" w:fill="D7D7D7" w:themeFill="background1" w:themeFillShade="D8"/>
            <w:vAlign w:val="center"/>
          </w:tcPr>
          <w:p w14:paraId="1EA48D6A">
            <w:pPr>
              <w:spacing w:before="100" w:after="100"/>
              <w:jc w:val="center"/>
              <w:rPr>
                <w:color w:val="auto"/>
                <w:sz w:val="21"/>
                <w:szCs w:val="21"/>
              </w:rPr>
            </w:pPr>
            <w:r>
              <w:rPr>
                <w:rFonts w:ascii="黑体" w:hAnsi="黑体" w:eastAsia="黑体"/>
                <w:b/>
                <w:i w:val="0"/>
                <w:color w:val="auto"/>
                <w:sz w:val="21"/>
                <w:szCs w:val="21"/>
              </w:rPr>
              <w:t>高校学术场景短板</w:t>
            </w:r>
          </w:p>
        </w:tc>
        <w:tc>
          <w:tcPr>
            <w:tcW w:w="1984" w:type="dxa"/>
            <w:shd w:val="clear" w:color="auto" w:fill="D7D7D7" w:themeFill="background1" w:themeFillShade="D8"/>
            <w:vAlign w:val="center"/>
          </w:tcPr>
          <w:p w14:paraId="190628E1">
            <w:pPr>
              <w:spacing w:before="100" w:after="100"/>
              <w:jc w:val="center"/>
              <w:rPr>
                <w:color w:val="auto"/>
                <w:sz w:val="21"/>
                <w:szCs w:val="21"/>
              </w:rPr>
            </w:pPr>
            <w:r>
              <w:rPr>
                <w:rFonts w:ascii="黑体" w:hAnsi="黑体" w:eastAsia="黑体"/>
                <w:b/>
                <w:i w:val="0"/>
                <w:color w:val="auto"/>
                <w:sz w:val="21"/>
                <w:szCs w:val="21"/>
              </w:rPr>
              <w:t>书途智启（BookPath AI）破局点</w:t>
            </w:r>
          </w:p>
        </w:tc>
      </w:tr>
      <w:tr w14:paraId="5B0F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6912E365">
            <w:pPr>
              <w:spacing w:before="80" w:after="80" w:line="276" w:lineRule="auto"/>
              <w:rPr>
                <w:color w:val="auto"/>
                <w:sz w:val="21"/>
                <w:szCs w:val="21"/>
              </w:rPr>
            </w:pPr>
            <w:r>
              <w:rPr>
                <w:rFonts w:ascii="宋体" w:hAnsi="宋体" w:eastAsia="宋体"/>
                <w:b/>
                <w:i w:val="0"/>
                <w:color w:val="auto"/>
                <w:sz w:val="21"/>
                <w:szCs w:val="21"/>
              </w:rPr>
              <w:t>大众图书社交</w:t>
            </w:r>
          </w:p>
        </w:tc>
        <w:tc>
          <w:tcPr>
            <w:tcW w:w="1270" w:type="dxa"/>
            <w:shd w:val="clear" w:color="auto" w:fill="FFFFFF"/>
            <w:vAlign w:val="center"/>
          </w:tcPr>
          <w:p w14:paraId="663BD147">
            <w:pPr>
              <w:spacing w:before="80" w:after="80" w:line="276" w:lineRule="auto"/>
              <w:rPr>
                <w:color w:val="auto"/>
                <w:sz w:val="21"/>
                <w:szCs w:val="21"/>
              </w:rPr>
            </w:pPr>
            <w:r>
              <w:rPr>
                <w:rFonts w:ascii="宋体" w:hAnsi="宋体" w:eastAsia="宋体"/>
                <w:b w:val="0"/>
                <w:i w:val="0"/>
                <w:color w:val="auto"/>
                <w:sz w:val="21"/>
                <w:szCs w:val="21"/>
              </w:rPr>
              <w:t>豆瓣读书</w:t>
            </w:r>
          </w:p>
        </w:tc>
        <w:tc>
          <w:tcPr>
            <w:tcW w:w="2131" w:type="dxa"/>
            <w:shd w:val="clear" w:color="auto" w:fill="FFFFFF"/>
            <w:vAlign w:val="center"/>
          </w:tcPr>
          <w:p w14:paraId="3A500823">
            <w:pPr>
              <w:spacing w:before="80" w:after="80" w:line="276" w:lineRule="auto"/>
              <w:rPr>
                <w:color w:val="auto"/>
                <w:sz w:val="21"/>
                <w:szCs w:val="21"/>
              </w:rPr>
            </w:pPr>
            <w:r>
              <w:rPr>
                <w:rFonts w:ascii="宋体" w:hAnsi="宋体" w:eastAsia="宋体"/>
                <w:b w:val="0"/>
                <w:i w:val="0"/>
                <w:color w:val="auto"/>
                <w:sz w:val="21"/>
                <w:szCs w:val="21"/>
              </w:rPr>
              <w:t>书评极其丰富，大众文艺评分基数庞大</w:t>
            </w:r>
          </w:p>
        </w:tc>
        <w:tc>
          <w:tcPr>
            <w:tcW w:w="1984" w:type="dxa"/>
            <w:shd w:val="clear" w:color="auto" w:fill="FFFFFF"/>
            <w:vAlign w:val="center"/>
          </w:tcPr>
          <w:p w14:paraId="7DFA3D5D">
            <w:pPr>
              <w:spacing w:before="80" w:after="80" w:line="276" w:lineRule="auto"/>
              <w:rPr>
                <w:color w:val="auto"/>
                <w:sz w:val="21"/>
                <w:szCs w:val="21"/>
              </w:rPr>
            </w:pPr>
            <w:r>
              <w:rPr>
                <w:rFonts w:ascii="宋体" w:hAnsi="宋体" w:eastAsia="宋体"/>
                <w:b w:val="0"/>
                <w:i w:val="0"/>
                <w:color w:val="auto"/>
                <w:sz w:val="21"/>
                <w:szCs w:val="21"/>
              </w:rPr>
              <w:t>无法同步高校馆藏，学术专著评测稀少且充斥主观情绪</w:t>
            </w:r>
          </w:p>
        </w:tc>
        <w:tc>
          <w:tcPr>
            <w:tcW w:w="1984" w:type="dxa"/>
            <w:shd w:val="clear" w:color="auto" w:fill="FFFFFF"/>
            <w:vAlign w:val="center"/>
          </w:tcPr>
          <w:p w14:paraId="2D9196CE">
            <w:pPr>
              <w:spacing w:before="80" w:after="80" w:line="276" w:lineRule="auto"/>
              <w:rPr>
                <w:color w:val="auto"/>
                <w:sz w:val="21"/>
                <w:szCs w:val="21"/>
              </w:rPr>
            </w:pPr>
            <w:r>
              <w:rPr>
                <w:rFonts w:ascii="宋体" w:hAnsi="宋体" w:eastAsia="宋体"/>
                <w:b w:val="0"/>
                <w:i w:val="0"/>
                <w:color w:val="auto"/>
                <w:sz w:val="21"/>
                <w:szCs w:val="21"/>
              </w:rPr>
              <w:t>结合真实馆藏库存，依据学术严谨度与知识图谱进行客观打分</w:t>
            </w:r>
          </w:p>
        </w:tc>
      </w:tr>
      <w:tr w14:paraId="5918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8FAFC"/>
            <w:vAlign w:val="center"/>
          </w:tcPr>
          <w:p w14:paraId="1F1221DB">
            <w:pPr>
              <w:spacing w:before="80" w:after="80" w:line="276" w:lineRule="auto"/>
              <w:rPr>
                <w:color w:val="auto"/>
                <w:sz w:val="21"/>
                <w:szCs w:val="21"/>
              </w:rPr>
            </w:pPr>
            <w:r>
              <w:rPr>
                <w:rFonts w:ascii="宋体" w:hAnsi="宋体" w:eastAsia="宋体"/>
                <w:b/>
                <w:i w:val="0"/>
                <w:color w:val="auto"/>
                <w:sz w:val="21"/>
                <w:szCs w:val="21"/>
              </w:rPr>
              <w:t>商业电子书</w:t>
            </w:r>
          </w:p>
        </w:tc>
        <w:tc>
          <w:tcPr>
            <w:tcW w:w="1270" w:type="dxa"/>
            <w:shd w:val="clear" w:color="auto" w:fill="F8FAFC"/>
            <w:vAlign w:val="center"/>
          </w:tcPr>
          <w:p w14:paraId="1E8403DC">
            <w:pPr>
              <w:spacing w:before="80" w:after="80" w:line="276" w:lineRule="auto"/>
              <w:rPr>
                <w:color w:val="auto"/>
                <w:sz w:val="21"/>
                <w:szCs w:val="21"/>
              </w:rPr>
            </w:pPr>
            <w:r>
              <w:rPr>
                <w:rFonts w:ascii="宋体" w:hAnsi="宋体" w:eastAsia="宋体"/>
                <w:b w:val="0"/>
                <w:i w:val="0"/>
                <w:color w:val="auto"/>
                <w:sz w:val="21"/>
                <w:szCs w:val="21"/>
              </w:rPr>
              <w:t>微信读书、网易蜗牛</w:t>
            </w:r>
          </w:p>
        </w:tc>
        <w:tc>
          <w:tcPr>
            <w:tcW w:w="2131" w:type="dxa"/>
            <w:shd w:val="clear" w:color="auto" w:fill="F8FAFC"/>
            <w:vAlign w:val="center"/>
          </w:tcPr>
          <w:p w14:paraId="6DBB56BE">
            <w:pPr>
              <w:spacing w:before="80" w:after="80" w:line="276" w:lineRule="auto"/>
              <w:rPr>
                <w:color w:val="auto"/>
                <w:sz w:val="21"/>
                <w:szCs w:val="21"/>
              </w:rPr>
            </w:pPr>
            <w:r>
              <w:rPr>
                <w:rFonts w:ascii="宋体" w:hAnsi="宋体" w:eastAsia="宋体"/>
                <w:b w:val="0"/>
                <w:i w:val="0"/>
                <w:color w:val="auto"/>
                <w:sz w:val="21"/>
                <w:szCs w:val="21"/>
              </w:rPr>
              <w:t>移动端交互流畅，社交互动玩法多元</w:t>
            </w:r>
          </w:p>
        </w:tc>
        <w:tc>
          <w:tcPr>
            <w:tcW w:w="1984" w:type="dxa"/>
            <w:shd w:val="clear" w:color="auto" w:fill="F8FAFC"/>
            <w:vAlign w:val="center"/>
          </w:tcPr>
          <w:p w14:paraId="7771DDFB">
            <w:pPr>
              <w:spacing w:before="80" w:after="80" w:line="276" w:lineRule="auto"/>
              <w:rPr>
                <w:color w:val="auto"/>
                <w:sz w:val="21"/>
                <w:szCs w:val="21"/>
              </w:rPr>
            </w:pPr>
            <w:r>
              <w:rPr>
                <w:rFonts w:ascii="宋体" w:hAnsi="宋体" w:eastAsia="宋体"/>
                <w:b w:val="0"/>
                <w:i w:val="0"/>
                <w:color w:val="auto"/>
                <w:sz w:val="21"/>
                <w:szCs w:val="21"/>
              </w:rPr>
              <w:t>以畅销快餐书籍为主，高校硬核学科专著与指定教材断档</w:t>
            </w:r>
          </w:p>
        </w:tc>
        <w:tc>
          <w:tcPr>
            <w:tcW w:w="1984" w:type="dxa"/>
            <w:shd w:val="clear" w:color="auto" w:fill="F8FAFC"/>
            <w:vAlign w:val="center"/>
          </w:tcPr>
          <w:p w14:paraId="2FFA370B">
            <w:pPr>
              <w:spacing w:before="80" w:after="80" w:line="276" w:lineRule="auto"/>
              <w:rPr>
                <w:color w:val="auto"/>
                <w:sz w:val="21"/>
                <w:szCs w:val="21"/>
              </w:rPr>
            </w:pPr>
            <w:r>
              <w:rPr>
                <w:rFonts w:ascii="宋体" w:hAnsi="宋体" w:eastAsia="宋体"/>
                <w:b w:val="0"/>
                <w:i w:val="0"/>
                <w:color w:val="auto"/>
                <w:sz w:val="21"/>
                <w:szCs w:val="21"/>
              </w:rPr>
              <w:t>深耕高校专业学科书目，直通高校物理借阅柜与闭架书库</w:t>
            </w:r>
          </w:p>
        </w:tc>
      </w:tr>
      <w:tr w14:paraId="3B58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34AF9D8F">
            <w:pPr>
              <w:spacing w:before="80" w:after="80" w:line="276" w:lineRule="auto"/>
              <w:rPr>
                <w:color w:val="auto"/>
                <w:sz w:val="21"/>
                <w:szCs w:val="21"/>
              </w:rPr>
            </w:pPr>
            <w:r>
              <w:rPr>
                <w:rFonts w:ascii="宋体" w:hAnsi="宋体" w:eastAsia="宋体"/>
                <w:b/>
                <w:i w:val="0"/>
                <w:color w:val="auto"/>
                <w:sz w:val="21"/>
                <w:szCs w:val="21"/>
              </w:rPr>
              <w:t>文献检索引擎</w:t>
            </w:r>
          </w:p>
        </w:tc>
        <w:tc>
          <w:tcPr>
            <w:tcW w:w="1270" w:type="dxa"/>
            <w:shd w:val="clear" w:color="auto" w:fill="FFFFFF"/>
            <w:vAlign w:val="center"/>
          </w:tcPr>
          <w:p w14:paraId="498D95B6">
            <w:pPr>
              <w:spacing w:before="80" w:after="80" w:line="276" w:lineRule="auto"/>
              <w:rPr>
                <w:color w:val="auto"/>
                <w:sz w:val="21"/>
                <w:szCs w:val="21"/>
              </w:rPr>
            </w:pPr>
            <w:r>
              <w:rPr>
                <w:rFonts w:ascii="宋体" w:hAnsi="宋体" w:eastAsia="宋体"/>
                <w:b w:val="0"/>
                <w:i w:val="0"/>
                <w:color w:val="auto"/>
                <w:sz w:val="21"/>
                <w:szCs w:val="21"/>
              </w:rPr>
              <w:t>中国知网（CNKI）、万方</w:t>
            </w:r>
          </w:p>
        </w:tc>
        <w:tc>
          <w:tcPr>
            <w:tcW w:w="2131" w:type="dxa"/>
            <w:shd w:val="clear" w:color="auto" w:fill="FFFFFF"/>
            <w:vAlign w:val="center"/>
          </w:tcPr>
          <w:p w14:paraId="230CEF38">
            <w:pPr>
              <w:spacing w:before="80" w:after="80" w:line="276" w:lineRule="auto"/>
              <w:rPr>
                <w:color w:val="auto"/>
                <w:sz w:val="21"/>
                <w:szCs w:val="21"/>
              </w:rPr>
            </w:pPr>
            <w:r>
              <w:rPr>
                <w:rFonts w:ascii="宋体" w:hAnsi="宋体" w:eastAsia="宋体"/>
                <w:b w:val="0"/>
                <w:i w:val="0"/>
                <w:color w:val="auto"/>
                <w:sz w:val="21"/>
                <w:szCs w:val="21"/>
              </w:rPr>
              <w:t>前沿学术论文与期刊覆盖全面、更新快</w:t>
            </w:r>
          </w:p>
        </w:tc>
        <w:tc>
          <w:tcPr>
            <w:tcW w:w="1984" w:type="dxa"/>
            <w:shd w:val="clear" w:color="auto" w:fill="FFFFFF"/>
            <w:vAlign w:val="center"/>
          </w:tcPr>
          <w:p w14:paraId="2B41E4F3">
            <w:pPr>
              <w:spacing w:before="80" w:after="80" w:line="276" w:lineRule="auto"/>
              <w:rPr>
                <w:color w:val="auto"/>
                <w:sz w:val="21"/>
                <w:szCs w:val="21"/>
              </w:rPr>
            </w:pPr>
            <w:r>
              <w:rPr>
                <w:rFonts w:ascii="宋体" w:hAnsi="宋体" w:eastAsia="宋体"/>
                <w:b w:val="0"/>
                <w:i w:val="0"/>
                <w:color w:val="auto"/>
                <w:sz w:val="21"/>
                <w:szCs w:val="21"/>
              </w:rPr>
              <w:t>侧重单篇学术成果检索，无法引导初学者建立结构化学科技能树</w:t>
            </w:r>
          </w:p>
        </w:tc>
        <w:tc>
          <w:tcPr>
            <w:tcW w:w="1984" w:type="dxa"/>
            <w:shd w:val="clear" w:color="auto" w:fill="FFFFFF"/>
            <w:vAlign w:val="center"/>
          </w:tcPr>
          <w:p w14:paraId="2D94F8DB">
            <w:pPr>
              <w:spacing w:before="80" w:after="80" w:line="276" w:lineRule="auto"/>
              <w:rPr>
                <w:color w:val="auto"/>
                <w:sz w:val="21"/>
                <w:szCs w:val="21"/>
              </w:rPr>
            </w:pPr>
            <w:r>
              <w:rPr>
                <w:rFonts w:ascii="宋体" w:hAnsi="宋体" w:eastAsia="宋体"/>
                <w:b w:val="0"/>
                <w:i w:val="0"/>
                <w:color w:val="auto"/>
                <w:sz w:val="21"/>
                <w:szCs w:val="21"/>
              </w:rPr>
              <w:t>推荐即路径，以三阶段经典专著为纲，论文为辅，培养系统体系</w:t>
            </w:r>
          </w:p>
        </w:tc>
      </w:tr>
      <w:tr w14:paraId="017D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8FAFC"/>
            <w:vAlign w:val="center"/>
          </w:tcPr>
          <w:p w14:paraId="1A1BBFEE">
            <w:pPr>
              <w:spacing w:before="80" w:after="80" w:line="276" w:lineRule="auto"/>
              <w:rPr>
                <w:color w:val="auto"/>
                <w:sz w:val="21"/>
                <w:szCs w:val="21"/>
              </w:rPr>
            </w:pPr>
            <w:r>
              <w:rPr>
                <w:rFonts w:ascii="宋体" w:hAnsi="宋体" w:eastAsia="宋体"/>
                <w:b/>
                <w:i w:val="0"/>
                <w:color w:val="auto"/>
                <w:sz w:val="21"/>
                <w:szCs w:val="21"/>
              </w:rPr>
              <w:t>传统图书馆系统</w:t>
            </w:r>
          </w:p>
        </w:tc>
        <w:tc>
          <w:tcPr>
            <w:tcW w:w="1270" w:type="dxa"/>
            <w:shd w:val="clear" w:color="auto" w:fill="F8FAFC"/>
            <w:vAlign w:val="center"/>
          </w:tcPr>
          <w:p w14:paraId="0D738250">
            <w:pPr>
              <w:spacing w:before="80" w:after="80" w:line="276" w:lineRule="auto"/>
              <w:rPr>
                <w:color w:val="auto"/>
                <w:sz w:val="21"/>
                <w:szCs w:val="21"/>
              </w:rPr>
            </w:pPr>
            <w:r>
              <w:rPr>
                <w:rFonts w:ascii="宋体" w:hAnsi="宋体" w:eastAsia="宋体"/>
                <w:b w:val="0"/>
                <w:i w:val="0"/>
                <w:color w:val="auto"/>
                <w:sz w:val="21"/>
                <w:szCs w:val="21"/>
              </w:rPr>
              <w:t>汇文、金盘 OPAC</w:t>
            </w:r>
          </w:p>
        </w:tc>
        <w:tc>
          <w:tcPr>
            <w:tcW w:w="2131" w:type="dxa"/>
            <w:shd w:val="clear" w:color="auto" w:fill="F8FAFC"/>
            <w:vAlign w:val="center"/>
          </w:tcPr>
          <w:p w14:paraId="12C653BD">
            <w:pPr>
              <w:spacing w:before="80" w:after="80" w:line="276" w:lineRule="auto"/>
              <w:rPr>
                <w:color w:val="auto"/>
                <w:sz w:val="21"/>
                <w:szCs w:val="21"/>
              </w:rPr>
            </w:pPr>
            <w:r>
              <w:rPr>
                <w:rFonts w:ascii="宋体" w:hAnsi="宋体" w:eastAsia="宋体"/>
                <w:b w:val="0"/>
                <w:i w:val="0"/>
                <w:color w:val="auto"/>
                <w:sz w:val="21"/>
                <w:szCs w:val="21"/>
              </w:rPr>
              <w:t>馆藏数据权威完整，借还业务流程成熟</w:t>
            </w:r>
          </w:p>
        </w:tc>
        <w:tc>
          <w:tcPr>
            <w:tcW w:w="1984" w:type="dxa"/>
            <w:shd w:val="clear" w:color="auto" w:fill="F8FAFC"/>
            <w:vAlign w:val="center"/>
          </w:tcPr>
          <w:p w14:paraId="4B39A5E1">
            <w:pPr>
              <w:spacing w:before="80" w:after="80" w:line="276" w:lineRule="auto"/>
              <w:rPr>
                <w:color w:val="auto"/>
                <w:sz w:val="21"/>
                <w:szCs w:val="21"/>
              </w:rPr>
            </w:pPr>
            <w:r>
              <w:rPr>
                <w:rFonts w:ascii="宋体" w:hAnsi="宋体" w:eastAsia="宋体"/>
                <w:b w:val="0"/>
                <w:i w:val="0"/>
                <w:color w:val="auto"/>
                <w:sz w:val="21"/>
                <w:szCs w:val="21"/>
              </w:rPr>
              <w:t>交互陈旧机械，仅支持精确搜索，无个性化推荐与智能交互</w:t>
            </w:r>
          </w:p>
        </w:tc>
        <w:tc>
          <w:tcPr>
            <w:tcW w:w="1984" w:type="dxa"/>
            <w:shd w:val="clear" w:color="auto" w:fill="F8FAFC"/>
            <w:vAlign w:val="center"/>
          </w:tcPr>
          <w:p w14:paraId="70C45D28">
            <w:pPr>
              <w:spacing w:before="80" w:after="80" w:line="276" w:lineRule="auto"/>
              <w:rPr>
                <w:color w:val="auto"/>
                <w:sz w:val="21"/>
                <w:szCs w:val="21"/>
              </w:rPr>
            </w:pPr>
            <w:r>
              <w:rPr>
                <w:rFonts w:ascii="宋体" w:hAnsi="宋体" w:eastAsia="宋体"/>
                <w:b w:val="0"/>
                <w:i w:val="0"/>
                <w:color w:val="auto"/>
                <w:sz w:val="21"/>
                <w:szCs w:val="21"/>
              </w:rPr>
              <w:t>轻量化挂载在现有 OPAC 之上，赋能老旧系统焕发全新 AI 生命力</w:t>
            </w:r>
          </w:p>
        </w:tc>
      </w:tr>
    </w:tbl>
    <w:p w14:paraId="596A0DBF">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表2-1 与市场差异的深度对比</w:t>
      </w:r>
    </w:p>
    <w:p w14:paraId="126040B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p>
    <w:p w14:paraId="7FF1C712">
      <w:pPr>
        <w:rPr>
          <w:rFonts w:hint="eastAsia"/>
        </w:rPr>
      </w:pPr>
      <w:r>
        <w:rPr>
          <w:rFonts w:hint="eastAsia"/>
        </w:rPr>
        <w:br w:type="page"/>
      </w:r>
    </w:p>
    <w:p w14:paraId="213438AF">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2" w:name="_Toc6504"/>
      <w:r>
        <w:rPr>
          <w:rFonts w:hint="eastAsia" w:ascii="黑体" w:hAnsi="黑体" w:eastAsia="黑体" w:cs="黑体"/>
          <w:b w:val="0"/>
          <w:bCs/>
          <w:color w:val="000000"/>
          <w:kern w:val="0"/>
          <w:sz w:val="30"/>
        </w:rPr>
        <w:t>第三章 系统总体架构与技术选型</w:t>
      </w:r>
      <w:bookmarkEnd w:id="12"/>
    </w:p>
    <w:p w14:paraId="27759A0F">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3" w:name="_Toc17346"/>
      <w:r>
        <w:rPr>
          <w:rFonts w:ascii="Times New Roman" w:hAnsi="Times New Roman" w:eastAsia="黑体"/>
          <w:b w:val="0"/>
          <w:bCs/>
          <w:color w:val="000000"/>
          <w:kern w:val="0"/>
          <w:sz w:val="28"/>
        </w:rPr>
        <w:t>3.1 四层分层解耦架构设计</w:t>
      </w:r>
      <w:bookmarkEnd w:id="13"/>
    </w:p>
    <w:p w14:paraId="5D109C0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书途智启遵循现代高可用微服务架构理念与云原生设计规范，整体构建为纵向四层分工明确、横向高内聚低耦合的分布式软件系统：</w:t>
      </w:r>
    </w:p>
    <w:p w14:paraId="10C4BE06">
      <w:pPr>
        <w:spacing w:before="160" w:after="80"/>
        <w:jc w:val="center"/>
        <w:rPr>
          <w:rFonts w:hint="eastAsia" w:eastAsia="宋体"/>
          <w:color w:val="auto"/>
          <w:lang w:eastAsia="zh-CN"/>
        </w:rPr>
      </w:pPr>
      <w:r>
        <w:rPr>
          <w:rFonts w:hint="eastAsia" w:eastAsia="宋体"/>
          <w:color w:val="auto"/>
          <w:lang w:eastAsia="zh-CN"/>
        </w:rPr>
        <w:drawing>
          <wp:inline distT="0" distB="0" distL="114300" distR="114300">
            <wp:extent cx="6215380" cy="3469640"/>
            <wp:effectExtent l="0" t="0" r="7620" b="10160"/>
            <wp:docPr id="5" name="图片 5" descr="Gemini_Generated_Image_x5rd36x5rd36x5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mini_Generated_Image_x5rd36x5rd36x5rd"/>
                    <pic:cNvPicPr>
                      <a:picLocks noChangeAspect="1"/>
                    </pic:cNvPicPr>
                  </pic:nvPicPr>
                  <pic:blipFill>
                    <a:blip r:embed="rId8"/>
                    <a:stretch>
                      <a:fillRect/>
                    </a:stretch>
                  </pic:blipFill>
                  <pic:spPr>
                    <a:xfrm>
                      <a:off x="0" y="0"/>
                      <a:ext cx="6215380" cy="3469640"/>
                    </a:xfrm>
                    <a:prstGeom prst="rect">
                      <a:avLst/>
                    </a:prstGeom>
                  </pic:spPr>
                </pic:pic>
              </a:graphicData>
            </a:graphic>
          </wp:inline>
        </w:drawing>
      </w:r>
    </w:p>
    <w:p w14:paraId="145EC534">
      <w:pPr>
        <w:spacing w:after="120" w:line="324" w:lineRule="auto"/>
        <w:ind w:firstLine="420"/>
        <w:jc w:val="cente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 3-1  书途智启系统四层架构全景图</w:t>
      </w:r>
    </w:p>
    <w:p w14:paraId="7F9361E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如架构图所示，系统的四层职责界定极其分明：</w:t>
      </w:r>
    </w:p>
    <w:p w14:paraId="40803550">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用户交互呈现层（User Layer）：基于 Vue 3 结合 TypeScript 构建企业级单页前端应用（SPA）。前端界面划分为两大核心控制台：其一是面向全体读者的沉浸式学生工作台，集成多轮拟人化流式对话区、动态自适应推荐书卡、六维雷达可视化分析板、可交互式三阶段学习路径甘特图以及馆藏副本模拟预约弹窗；其二是面向图书馆采编与管理员团队的管理运营中台，提供全流程 Excel 导入清洗流水线、AI 多标签生成与人工协同审核中台、Chroma 向量索引全量/增量构建器、以及实时运营数据分析大屏。通过 Tailwind CSS 注入深邃典雅的现代学术美学。</w:t>
      </w:r>
    </w:p>
    <w:p w14:paraId="1B517B3E">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接口网关与安全控制层（FastAPI Gateway Layer）：采用当前业界性能最卓越的 Python 异步网关框架 FastAPI，底层由 Uvicorn 异步事件循环支撑。网关层集中挂载了安全防火墙拦截器：基于 Argon2id 的密码学防护、基于 JWT HS256 标准的无状态令牌鉴权守卫、基于 RBAC（基于角色的访问控制）的双角色权限隔离体系、针对高并发与暴力破解的滑动窗口动态限流算法、严格的域名跨域（CORS）白名单拦截、以及用于推荐结果实时逐字推流的 Server-Sent Events（SSE）通道。</w:t>
      </w:r>
    </w:p>
    <w:p w14:paraId="3AE342CD">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核心业务服务与 AI 集成层（Business Service &amp; AI Layer）：作为系统的“大脑中枢”，封装了 17 个专业微服务组件。核心包括：编排七步推荐流水线的 RecommendationService、基于认知心理学最近发展区理论构建的三阶段进阶学习规划器 LearningPathService、支撑自适应个性化进化的动态画像记忆长短期中枢 ProfileMemoryService、负责馆藏副本状态校验与 72 小时倒计时提醒的 ReservationService、以及多维匿名评测汇总器 EvaluationService。在侧翼，通过统一的 AI 集成适配器屏蔽了底层 DeepSeek、通义千问、BGE 等不同模型提供商的底层通信协议差异。</w:t>
      </w:r>
    </w:p>
    <w:p w14:paraId="142D8D54">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数据持久化与知识基石层（Persistence Layer）：采用关系型数据库与向量数据库协同的双轨架构。关系端选用生产级严谨的 PostgreSQL 16，辅以 SQLAlchemy 2 异步 ORM 及 Alembic 数据迁移套件，负责严格管理具备强 ACID 事务一致性要求的用户画像、对话上下文记录、馆藏实体书目、条形码物理副本、借阅状态、学习路径以及评测数据；向量端选用高性能轻量化嵌入式向量数据库 Chroma，负责存储版本化的图书稠密语义向量索引，支持毫秒级的近邻余弦相似度极速检索。</w:t>
      </w:r>
    </w:p>
    <w:p w14:paraId="7470D11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4" w:name="_Toc25681"/>
      <w:r>
        <w:rPr>
          <w:rFonts w:ascii="Times New Roman" w:hAnsi="Times New Roman" w:eastAsia="黑体"/>
          <w:b w:val="0"/>
          <w:bCs/>
          <w:color w:val="000000"/>
          <w:kern w:val="0"/>
          <w:sz w:val="28"/>
        </w:rPr>
        <w:t>3.2 关键技术选型深度论证与权衡</w:t>
      </w:r>
      <w:bookmarkEnd w:id="14"/>
    </w:p>
    <w:p w14:paraId="0ECEF0C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在技术选型决策过程中，项目团队深度兼顾了系统性能、研发效率、学术合规性及高校本地化部署的低成本诉求：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154"/>
        <w:gridCol w:w="1134"/>
        <w:gridCol w:w="4169"/>
      </w:tblGrid>
      <w:tr w14:paraId="443C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bottom w:val="single" w:color="auto" w:sz="4" w:space="0"/>
            </w:tcBorders>
            <w:shd w:val="clear" w:color="auto" w:fill="D7D7D7" w:themeFill="background1" w:themeFillShade="D8"/>
            <w:vAlign w:val="center"/>
          </w:tcPr>
          <w:p w14:paraId="72C677BD">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模块层次</w:t>
            </w:r>
          </w:p>
        </w:tc>
        <w:tc>
          <w:tcPr>
            <w:tcW w:w="2154" w:type="dxa"/>
            <w:tcBorders>
              <w:bottom w:val="single" w:color="auto" w:sz="4" w:space="0"/>
            </w:tcBorders>
            <w:shd w:val="clear" w:color="auto" w:fill="D7D7D7" w:themeFill="background1" w:themeFillShade="D8"/>
            <w:vAlign w:val="center"/>
          </w:tcPr>
          <w:p w14:paraId="087488FF">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选型技术 / 组件</w:t>
            </w:r>
          </w:p>
        </w:tc>
        <w:tc>
          <w:tcPr>
            <w:tcW w:w="1134" w:type="dxa"/>
            <w:tcBorders>
              <w:bottom w:val="single" w:color="auto" w:sz="4" w:space="0"/>
            </w:tcBorders>
            <w:shd w:val="clear" w:color="auto" w:fill="D7D7D7" w:themeFill="background1" w:themeFillShade="D8"/>
            <w:vAlign w:val="center"/>
          </w:tcPr>
          <w:p w14:paraId="3D7C7DDD">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版本要求</w:t>
            </w:r>
          </w:p>
        </w:tc>
        <w:tc>
          <w:tcPr>
            <w:tcW w:w="4169" w:type="dxa"/>
            <w:tcBorders>
              <w:bottom w:val="single" w:color="auto" w:sz="4" w:space="0"/>
            </w:tcBorders>
            <w:shd w:val="clear" w:color="auto" w:fill="D7D7D7" w:themeFill="background1" w:themeFillShade="D8"/>
            <w:vAlign w:val="center"/>
          </w:tcPr>
          <w:p w14:paraId="38912786">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核心考量与工程权衡优势</w:t>
            </w:r>
          </w:p>
        </w:tc>
      </w:tr>
      <w:tr w14:paraId="5FCD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970B18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前端交互框架</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69478F7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Vue 3 + TypeScript</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C3F997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3.4.0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2FAD8DA">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采用 Composition API 实现复杂逻辑的高内聚封装，TS 在编译期杜绝类型隐患</w:t>
            </w:r>
          </w:p>
        </w:tc>
      </w:tr>
      <w:tr w14:paraId="1102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20C14FC7">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状态与路由</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235FB8D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Pinia + Vue Router</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595261D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2.1.0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76779F2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比 Vuex 更轻量优雅，提供极佳的跨组件响应式状态共享与路由守卫控制</w:t>
            </w:r>
          </w:p>
        </w:tc>
      </w:tr>
      <w:tr w14:paraId="19D6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6742F05">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前端样式引擎</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1AC6750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Tailwind CSS</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34FCED8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3.4.0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52D85FC">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原子化 CSS 方案，零运行时开销，便于快速构建高雅统一的学术交互界面</w:t>
            </w:r>
          </w:p>
        </w:tc>
      </w:tr>
      <w:tr w14:paraId="1C66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60E70E8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后端异步核心</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64DBC12C">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FastAPI + Uvicorn</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72ACBC57">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0.110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3B726B5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原生支持异步协程编程，性能比传统 Django/Flask 高数倍，原生支持 SSE 长连接</w:t>
            </w:r>
          </w:p>
        </w:tc>
      </w:tr>
      <w:tr w14:paraId="44A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475378C">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模块层次</w:t>
            </w:r>
          </w:p>
        </w:tc>
        <w:tc>
          <w:tcPr>
            <w:tcW w:w="215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C150F88">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选型技术 / 组件</w:t>
            </w:r>
          </w:p>
        </w:tc>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CAE86BB">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版本要求</w:t>
            </w:r>
          </w:p>
        </w:tc>
        <w:tc>
          <w:tcPr>
            <w:tcW w:w="4169"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0F64296">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核心考量与工程权衡优势</w:t>
            </w:r>
          </w:p>
        </w:tc>
      </w:tr>
      <w:tr w14:paraId="5627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7B0D38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数据建模校验</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7803B8A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Pydantic v2</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35B2F71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2.6.0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EE387D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采用 Rust 核心重构，数据验证与 JSON 序列化性能提升 5 至 10 倍</w:t>
            </w:r>
          </w:p>
        </w:tc>
      </w:tr>
      <w:tr w14:paraId="6A92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512A07B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数据库与迁移</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189FBD1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PostgreSQL 16 + Alembic</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01B9B37F">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16.0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08100B0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开源界最先进的关系型数据库，拥有严密的 JSONB 支持与高并发事务行锁机制</w:t>
            </w:r>
          </w:p>
        </w:tc>
      </w:tr>
      <w:tr w14:paraId="5951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0ADA278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数据持久层 ORM</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4D86F0F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SQLAlchemy 2 (Async)</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2813A47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2.0.30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6DF01A3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全新 2.0 语法全量支持异步 async/await，提供优雅的安全参数化查询防 SQL 注入</w:t>
            </w:r>
          </w:p>
        </w:tc>
      </w:tr>
      <w:tr w14:paraId="36CF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2974731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大语言模型</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176E2C8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DeepSeek (Flash / Pro)</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2187898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OpenAI 兼容</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02A9BE4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中文推理能力顶尖，日常任务使用 flash 兼顾成本，深度精排使用 pro 确保质量</w:t>
            </w:r>
          </w:p>
        </w:tc>
      </w:tr>
      <w:tr w14:paraId="420B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3F32DA2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中文向量嵌入</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2A5EB7A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BAAI/bge-small-zh-v1.5</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C8A273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512维稠密向量</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17FBD1C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北京智源专为中文检索优化的轻量嵌入模型，语义表征精准，单 CPU 即可高频推理</w:t>
            </w:r>
          </w:p>
        </w:tc>
      </w:tr>
      <w:tr w14:paraId="06AB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59D8C8C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向量数据库</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7A57C64F">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Chroma DB</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1513A165">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0.4.22</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7A119163">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嵌入式极简部署，支持持久化，规避了 Milvus 等重型向量库高昂的集群运维代价</w:t>
            </w:r>
          </w:p>
        </w:tc>
      </w:tr>
      <w:tr w14:paraId="6758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6188494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密码安全防护</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34D5F88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Argon2id (argon2-cffi)</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03CF7AD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23.1.0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56965333">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密码学会推荐的最强哈希算法，自带内存硬化机制，抵御 GPU 暴力字典破解</w:t>
            </w:r>
          </w:p>
        </w:tc>
      </w:tr>
    </w:tbl>
    <w:p w14:paraId="199E75D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表3-1 关键技术选型</w:t>
      </w:r>
    </w:p>
    <w:p w14:paraId="043E1BB8">
      <w:pPr>
        <w:rPr>
          <w:color w:val="auto"/>
        </w:rPr>
      </w:pPr>
      <w:r>
        <w:rPr>
          <w:color w:val="auto"/>
        </w:rPr>
        <w:br w:type="page"/>
      </w:r>
    </w:p>
    <w:p w14:paraId="3D0BB7F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5" w:name="_Toc3071"/>
      <w:r>
        <w:rPr>
          <w:rFonts w:hint="eastAsia" w:ascii="黑体" w:hAnsi="黑体" w:eastAsia="黑体" w:cs="黑体"/>
          <w:b w:val="0"/>
          <w:bCs/>
          <w:color w:val="000000"/>
          <w:kern w:val="0"/>
          <w:sz w:val="30"/>
        </w:rPr>
        <w:t>第四章 智能推荐引擎算法机理与七步流水线</w:t>
      </w:r>
      <w:bookmarkEnd w:id="15"/>
    </w:p>
    <w:p w14:paraId="5B7C773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6" w:name="_Toc84"/>
      <w:r>
        <w:rPr>
          <w:rFonts w:ascii="Times New Roman" w:hAnsi="Times New Roman" w:eastAsia="黑体"/>
          <w:b w:val="0"/>
          <w:bCs/>
          <w:color w:val="000000"/>
          <w:kern w:val="0"/>
          <w:sz w:val="28"/>
        </w:rPr>
        <w:t>4.1 七步推荐管道（Pipeline）全流程工程拆解</w:t>
      </w:r>
      <w:bookmarkEnd w:id="16"/>
    </w:p>
    <w:p w14:paraId="5E33C5C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书途智启的图书推荐引擎绝非简单的单次大模型 API 转发调用，而是经过精细化工程架构的七阶段流水线系统。整个处理流程在毫秒级内紧密协同：</w:t>
      </w:r>
    </w:p>
    <w:p w14:paraId="62805361">
      <w:pPr>
        <w:keepNext w:val="0"/>
        <w:keepLines w:val="0"/>
        <w:pageBreakBefore w:val="0"/>
        <w:widowControl/>
        <w:suppressAutoHyphens/>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drawing>
          <wp:inline distT="0" distB="0" distL="114300" distR="114300">
            <wp:extent cx="5876925" cy="3206115"/>
            <wp:effectExtent l="0" t="0" r="3175" b="6985"/>
            <wp:docPr id="6" name="图片 6" descr="Gemini_Generated_Image_kxqh3mkxqh3mkxq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emini_Generated_Image_kxqh3mkxqh3mkxqh"/>
                    <pic:cNvPicPr>
                      <a:picLocks noChangeAspect="1"/>
                    </pic:cNvPicPr>
                  </pic:nvPicPr>
                  <pic:blipFill>
                    <a:blip r:embed="rId9"/>
                    <a:stretch>
                      <a:fillRect/>
                    </a:stretch>
                  </pic:blipFill>
                  <pic:spPr>
                    <a:xfrm>
                      <a:off x="0" y="0"/>
                      <a:ext cx="5876925" cy="3206115"/>
                    </a:xfrm>
                    <a:prstGeom prst="rect">
                      <a:avLst/>
                    </a:prstGeom>
                  </pic:spPr>
                </pic:pic>
              </a:graphicData>
            </a:graphic>
          </wp:inline>
        </w:drawing>
      </w:r>
    </w:p>
    <w:p w14:paraId="21D8CA2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default" w:ascii="Times New Roman" w:hAnsi="Times New Roman"/>
          <w:b w:val="0"/>
          <w:i w:val="0"/>
          <w:color w:val="000000"/>
          <w:sz w:val="21"/>
          <w:lang w:val="en-US" w:eastAsia="zh-CN"/>
        </w:rPr>
        <w:t>图 4-1  书途智启智能图书推荐引擎七步管道流程图</w:t>
      </w:r>
    </w:p>
    <w:p w14:paraId="440CD27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第一步：意图智能识别与安全分类（Intent Classification）：学生在工作台对话框输入的任意自然语言消息，首先进入 GeneralChatService。系统在此启动轻量化大模型分类器，判定该消息是纯粹的闲聊问候（如“你好”、“你是谁”）、通识知识咨询（如“什么是量子计算”）、或是明确的图书检索与学习需求（如“推荐几本适合考研数学的习题集”）。若判定为非图书类意向，系统以通用助手身份流式解答，避免盲目触发重型推荐流程导致算力浪费；若分类器因网络波动失败，系统自动切换至启发式关键词降级规则。</w:t>
      </w:r>
    </w:p>
    <w:p w14:paraId="4040161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第二步：画像多维融合与查询扩展（Query Enrichment）：学生的原始表达往往具有高度口语化与模糊性（例如大一新生仅输入“我想学深度学习”）。本系统绝不直接拿原始文本去数据库匹配，而是提取当前学生的 UserProfile（主修计算机、目前处于大一阶段、仅学过 C 语言但尚未接触 Python与线性代数），由大模型结合上下文将其改写重塑为高信息熵的学术检索词簇（扩展为：“Python深度学习入门 神经网络通俗入门 简易动手实践PyTorch”）。经改写后，关键词检索与向量检索的相关度召回率提升超 45%。</w:t>
      </w:r>
    </w:p>
    <w:p w14:paraId="27AFB01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第三步：多模混合检索与初筛候选召回（Candidate Retrieval）：采用“全文关键词 + 高维密集向量”双轨并发召回机制。系统将扩展后的查询词，一方面通过 PostgreSQL 的全文索引进行书名、副标题、摘要及分类号的倒排索引硬匹配；另一方面调用 BGE-zh 模型将文本转化为 512 维向量，在 Chroma 向量数据库中执行余弦相似度（Cosine Similarity）最近邻计算。两路结果按加权混合排序，最终选出相关度最高的 Top-50 本候选图书集合。</w:t>
      </w:r>
    </w:p>
    <w:p w14:paraId="3690122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第四步：业务规则与硬性物理约束过滤（Rule Filtering）：初筛出的 50 本书籍将依次穿透四层刚性过滤网筛：① 剔除该学生在历史借阅反馈中曾明确打上“不感兴趣（NOT_INTERESTED）”标签的书目；② 剔除学生已在学习路径中标记为“已读完（COMPLETED）”的书目，杜绝重复推荐；③ 遵循多轮会话约束解析器（ConversationConstraintService）提取出的排除词（如学生补充“不要纯理论推导的”）；④ 若学生勾选了“仅看在馆”，自动滤除馆藏表中当前可借副本数（available_count）为 0 的书目。</w:t>
      </w:r>
    </w:p>
    <w:p w14:paraId="261E662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第五步：多维定量加权打分（6-Dimensional Scoring）：对幸存的候选书目执行全面量化评分。系统设计了包含“目标匹配度、难度适应度、专业相关度、深度语义度、个人兴趣度、馆藏可用度”在内的六维量化数学模型（详见下节），为每一本书计算出介于 0 至 100 分的综合匹配总分，并依序排列出规则打分的 Top-10 优质书籍。</w:t>
      </w:r>
    </w:p>
    <w:p w14:paraId="68C4C19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第六步：大模型上下文语义精排与个性化理由撰写（LLM Reranking）：将规则精选的 Top-10 书籍信息与学生当期上下文组装为严谨的结构化 Prompt，请求 DeepSeek 大模型进行最终的语义裁决。大模型综合考量学生当下的焦虑点与兴趣点，优选出最具代表性的 3 至 5 本核心推荐图书，并为每一本书撰写一段兼具专业深度与人文关怀的独家推荐理由（指出该书哪几个章节最适合该学生当下的知识断层）。</w:t>
      </w:r>
    </w:p>
    <w:p w14:paraId="257D5A7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第七步：SSE 流式实时推送与富交互渲染（Stream Output Delivery）：将精选图书元数据卡片、索书号、书架物理位置、实时在馆副本数、以及六维评分雷达数据封装为标准 SSE 报文，以打字机式的平滑流式推送给学生前端工作台。学生无需经历漫长旋转等待，首字响应在数百毫秒内即刻显现，带来极其愉悦的交互体验。</w:t>
      </w:r>
    </w:p>
    <w:p w14:paraId="38E3958E">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7" w:name="_Toc2794"/>
      <w:r>
        <w:rPr>
          <w:rFonts w:ascii="Times New Roman" w:hAnsi="Times New Roman" w:eastAsia="黑体"/>
          <w:b w:val="0"/>
          <w:bCs/>
          <w:color w:val="000000"/>
          <w:kern w:val="0"/>
          <w:sz w:val="28"/>
        </w:rPr>
        <w:t>4.2 六维可解释评分模型的数学推导与权重体系</w:t>
      </w:r>
      <w:bookmarkEnd w:id="17"/>
    </w:p>
    <w:p w14:paraId="0DB49BC2">
      <w:pPr>
        <w:spacing w:after="120" w:line="324" w:lineRule="auto"/>
        <w:ind w:firstLine="420"/>
        <w:rPr>
          <w:color w:val="auto"/>
        </w:rPr>
      </w:pPr>
      <w:r>
        <w:rPr>
          <w:rFonts w:ascii="宋体" w:hAnsi="宋体" w:eastAsia="宋体"/>
          <w:b w:val="0"/>
          <w:i w:val="0"/>
          <w:color w:val="auto"/>
          <w:sz w:val="22"/>
        </w:rPr>
        <w:t>书途智启坚决反对不可解释的“算法黑盒”。为确保推荐结果具有可推导、可验证的数理逻辑，系统独创了六维加权决策模型：</w:t>
      </w:r>
    </w:p>
    <w:p w14:paraId="37B3159B">
      <w:pPr>
        <w:spacing w:before="160" w:after="80"/>
        <w:jc w:val="center"/>
        <w:rPr>
          <w:color w:val="auto"/>
        </w:rPr>
      </w:pPr>
      <w:r>
        <w:rPr>
          <w:color w:val="auto"/>
        </w:rPr>
        <w:drawing>
          <wp:inline distT="0" distB="0" distL="114300" distR="114300">
            <wp:extent cx="3324860" cy="31743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324860" cy="3174365"/>
                    </a:xfrm>
                    <a:prstGeom prst="rect">
                      <a:avLst/>
                    </a:prstGeom>
                  </pic:spPr>
                </pic:pic>
              </a:graphicData>
            </a:graphic>
          </wp:inline>
        </w:drawing>
      </w:r>
    </w:p>
    <w:p w14:paraId="72CECF2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default" w:ascii="Times New Roman" w:hAnsi="Times New Roman"/>
          <w:b w:val="0"/>
          <w:i w:val="0"/>
          <w:color w:val="000000"/>
          <w:sz w:val="21"/>
          <w:lang w:val="en-US" w:eastAsia="zh-CN"/>
        </w:rPr>
        <w:t>图 4-2  书途智启图书推荐六维量化匹配决策模型雷达图</w:t>
      </w:r>
    </w:p>
    <w:p w14:paraId="72767DD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对于任意一本进入终筛池的候选图书 B，其综合推荐得分S_{total}(B)由六个归一化子项加权求和而成：</w:t>
      </w:r>
    </w:p>
    <w:p w14:paraId="75293AB6">
      <w:pPr>
        <w:keepNext w:val="0"/>
        <w:keepLines w:val="0"/>
        <w:pageBreakBefore w:val="0"/>
        <w:widowControl/>
        <w:suppressAutoHyphens/>
        <w:kinsoku/>
        <w:wordWrap/>
        <w:overflowPunct/>
        <w:topLinePunct w:val="0"/>
        <w:autoSpaceDE/>
        <w:autoSpaceDN/>
        <w:bidi w:val="0"/>
        <w:adjustRightInd/>
        <w:snapToGrid/>
        <w:spacing w:before="0" w:after="0" w:line="300" w:lineRule="auto"/>
        <w:jc w:val="center"/>
        <w:textAlignment w:val="auto"/>
        <w:rPr>
          <w:rFonts w:hint="eastAsia" w:eastAsia="宋体"/>
          <w:lang w:eastAsia="zh-CN"/>
        </w:rPr>
      </w:pPr>
      <w:r>
        <w:rPr>
          <w:rFonts w:hint="eastAsia" w:eastAsia="宋体"/>
          <w:lang w:eastAsia="zh-CN"/>
        </w:rPr>
        <w:drawing>
          <wp:inline distT="0" distB="0" distL="114300" distR="114300">
            <wp:extent cx="6021705" cy="3285490"/>
            <wp:effectExtent l="0" t="0" r="10795" b="3810"/>
            <wp:docPr id="8" name="图片 8" descr="Gemini_Generated_Image_dgp2w8dgp2w8dg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emini_Generated_Image_dgp2w8dgp2w8dgp2"/>
                    <pic:cNvPicPr>
                      <a:picLocks noChangeAspect="1"/>
                    </pic:cNvPicPr>
                  </pic:nvPicPr>
                  <pic:blipFill>
                    <a:blip r:embed="rId11"/>
                    <a:stretch>
                      <a:fillRect/>
                    </a:stretch>
                  </pic:blipFill>
                  <pic:spPr>
                    <a:xfrm>
                      <a:off x="0" y="0"/>
                      <a:ext cx="6021705" cy="3285490"/>
                    </a:xfrm>
                    <a:prstGeom prst="rect">
                      <a:avLst/>
                    </a:prstGeom>
                  </pic:spPr>
                </pic:pic>
              </a:graphicData>
            </a:graphic>
          </wp:inline>
        </w:drawing>
      </w:r>
    </w:p>
    <w:p w14:paraId="2B0DBDF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图4-3 图书综合推荐得分计算模型</w:t>
      </w:r>
    </w:p>
    <w:p w14:paraId="53D71F0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各子项打分算法的底层实现逻辑如下：</w:t>
      </w:r>
    </w:p>
    <w:p w14:paraId="08EAB18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1. 目标契合度 S_goal(B)：统计查询关键词及扩展词在图书标题、内容简介及 AI 提取的主题标签中的覆盖重合率。命中标题赋予高权重（基础 70 分，全命中 100 分），仅在摘要模糊命中则得 40~60 分。</w:t>
      </w:r>
    </w:p>
    <w:p w14:paraId="11E2DA0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 难度适应度 S_diff(B)：系统为书目标注难度数值：入门级（1.0）、中级进阶（2.0）、高级专著（3.0）。系统比对图书难度与学生当前画像偏好及自适应偏好的差值 |Diff_book - Diff_user|：差值为 0 时得分 100 分，相差 1 级得 60 分，相差 2 级得 20 分。</w:t>
      </w:r>
    </w:p>
    <w:p w14:paraId="560FDCE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3. 专业相关度 S_major(B)：提取图书所在中图分类法（CLC）类别及学科树，若与学生所属学院与主修专业（如数据科学与大数据技术）直接对口则评定为 85~100 分；属于相近交叉理工科评定为 70 分；纯通识跨界书籍评定为 50 分。</w:t>
      </w:r>
    </w:p>
    <w:p w14:paraId="375074B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4. 深度语义度 S_sem(B)：直接采用 BGE-zh 向量嵌入模型计算的余弦距离转换分值：S_sem = (1 + cos_sim(query_vec, book_vec)) / 2 * 100，精准识别文字不同但内涵高度重合的前沿典籍。</w:t>
      </w:r>
    </w:p>
    <w:p w14:paraId="7801129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5. 个人兴趣度 S_int(B)：将学生在画像中登记的课外研究兴趣（如开源大模型微调、智能体系统架构）在书目知识标签上投影，存在交集得 85 分，否则维持 50 分基准分。</w:t>
      </w:r>
    </w:p>
    <w:p w14:paraId="5F1960B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6. 馆藏可用度 S_avail(B)：物理副本实时计算：若当前在馆且可外借副本数 ≥ 2 本得 100 分；仅剩 1 本在馆得 80 分；馆藏有书但全部借出（可预约）得 35 分；学校无纸质副本仅有电子阅览资源得 50 分。</w:t>
      </w:r>
    </w:p>
    <w:p w14:paraId="154227A3">
      <w:pPr>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br w:type="page"/>
      </w:r>
    </w:p>
    <w:p w14:paraId="1308E1E6">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8" w:name="_Toc30555"/>
      <w:r>
        <w:rPr>
          <w:rFonts w:hint="eastAsia" w:ascii="黑体" w:hAnsi="黑体" w:eastAsia="黑体" w:cs="黑体"/>
          <w:b w:val="0"/>
          <w:bCs/>
          <w:color w:val="000000"/>
          <w:kern w:val="0"/>
          <w:sz w:val="30"/>
        </w:rPr>
        <w:t>第五章 学习路径规划、动态记忆中枢与闭环服务</w:t>
      </w:r>
      <w:bookmarkEnd w:id="18"/>
    </w:p>
    <w:p w14:paraId="71783C9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9" w:name="_Toc1181"/>
      <w:r>
        <w:rPr>
          <w:rFonts w:ascii="Times New Roman" w:hAnsi="Times New Roman" w:eastAsia="黑体"/>
          <w:b w:val="0"/>
          <w:bCs/>
          <w:color w:val="000000"/>
          <w:kern w:val="0"/>
          <w:sz w:val="28"/>
        </w:rPr>
        <w:t>5.1 “推荐即路径”三阶段知识通关模型</w:t>
      </w:r>
      <w:bookmarkEnd w:id="19"/>
    </w:p>
    <w:p w14:paraId="3E6B1E6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最耀眼的产品创新之一，是将传统孤立的“图书借阅”升级重塑为成体系的“成长通关规划”。当学生在对话中表达出系统自学诉求（例如跨考、备战科创竞赛或突击新课程）并对推荐结果满意后，只需点击“生成学习路径”，后台的 LearningPathService 会自动将其转化为三阶递进研习蓝图：</w:t>
      </w:r>
    </w:p>
    <w:p w14:paraId="408581D6">
      <w:pPr>
        <w:keepNext w:val="0"/>
        <w:keepLines w:val="0"/>
        <w:pageBreakBefore w:val="0"/>
        <w:widowControl/>
        <w:suppressAutoHyphens/>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drawing>
          <wp:inline distT="0" distB="0" distL="114300" distR="114300">
            <wp:extent cx="5901690" cy="3219450"/>
            <wp:effectExtent l="0" t="0" r="3810" b="6350"/>
            <wp:docPr id="9" name="图片 9" descr="Gemini_Generated_Image_nf28alnf28aln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_Generated_Image_nf28alnf28alnf28"/>
                    <pic:cNvPicPr>
                      <a:picLocks noChangeAspect="1"/>
                    </pic:cNvPicPr>
                  </pic:nvPicPr>
                  <pic:blipFill>
                    <a:blip r:embed="rId12"/>
                    <a:stretch>
                      <a:fillRect/>
                    </a:stretch>
                  </pic:blipFill>
                  <pic:spPr>
                    <a:xfrm>
                      <a:off x="0" y="0"/>
                      <a:ext cx="5901690" cy="3219450"/>
                    </a:xfrm>
                    <a:prstGeom prst="rect">
                      <a:avLst/>
                    </a:prstGeom>
                  </pic:spPr>
                </pic:pic>
              </a:graphicData>
            </a:graphic>
          </wp:inline>
        </w:drawing>
      </w:r>
    </w:p>
    <w:p w14:paraId="1BC5BEA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color w:val="auto"/>
        </w:rPr>
      </w:pPr>
      <w:r>
        <w:rPr>
          <w:rFonts w:hint="eastAsia" w:ascii="Times New Roman" w:hAnsi="Times New Roman"/>
          <w:b w:val="0"/>
          <w:i w:val="0"/>
          <w:color w:val="000000"/>
          <w:sz w:val="21"/>
          <w:lang w:val="en-US" w:eastAsia="zh-CN"/>
        </w:rPr>
        <w:t>图5-1三阶段知识通关模型</w:t>
      </w:r>
    </w:p>
    <w:p w14:paraId="61533C5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系统为学习路径构建了严密的生命周期状态机：草稿状态（DRAFT）→ 激活研读中（ACTIVE）→ 阶段通关（COMPLETED）。学生可随时在界面上将每本书标记为“想读”、“在读”或“已读完”。当某一阶段的所有图书均标记为已读后，系统触发通关庆祝动效，颁发阶段成长勋章，并将该项学术突破自动同步至动态画像记忆资产中，使下一次推荐站在更高的认知起点上。</w:t>
      </w:r>
    </w:p>
    <w:p w14:paraId="0B470B4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0" w:name="_Toc16266"/>
      <w:r>
        <w:rPr>
          <w:rFonts w:ascii="Times New Roman" w:hAnsi="Times New Roman" w:eastAsia="黑体"/>
          <w:b w:val="0"/>
          <w:bCs/>
          <w:color w:val="000000"/>
          <w:kern w:val="0"/>
          <w:sz w:val="28"/>
        </w:rPr>
        <w:t>5.2 动态画像记忆（ProfileMemory）与用户自适应进化</w:t>
      </w:r>
      <w:bookmarkEnd w:id="20"/>
    </w:p>
    <w:p w14:paraId="7DF5D14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传统的推荐系统往往面临“一次填写画像、数年僵死不变”的固有缺陷。书途智启首创了以 ProfileMemoryService 为核心的长短期自适应记忆架构：</w:t>
      </w:r>
    </w:p>
    <w:p w14:paraId="1D3F7F8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隐式交互事实异步抽取：在学生与 AI 馆员的日常自然语言交互中，后台进程异步监听消息流。当学生透露出其最新的学业现状或能力波动（例如：“我们这学期数据结构学得很吃力”、“我打算参加暑期人工智能创新实训”、“我不打算考研了想直接找算法岗实习”），大模型会自动抽取结构化事实事实项（ProfileFact），评估其可信度（置信度 0.0~1.0），并在数据库中沉淀为动态记忆词条。</w:t>
      </w:r>
    </w:p>
    <w:p w14:paraId="4062445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反馈驱动的自适应难度调节算法：学生在推荐卡片上点击的“太难了（TOO_HARD）”或“太简单了（TOO_EASY）”并非无效日志，而是直接喂入自适应偏好推断器。若历史记录中统计出 TOO_HARD 次数明显超出 TOO_EASY，系统自动将该学生画像中的有效难度偏好动态降级一档；反之则升档。真正实现了“越用越懂你、越用越贴心”的渐进式进化。</w:t>
      </w:r>
    </w:p>
    <w:p w14:paraId="12F4D6F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严格的“用户自主权”隐私锁机制：系统始终捍卫学生的数字主体地位。所有由 AI 自动推断出的记忆项，均在“个人中心-动态记忆”面板以清晰标签列出，标明置信度与生成时间戳。学生拥有最高裁决权，可随时进行编辑或单条物理擦除；凡是学生手动明确编辑的画像字段，系统自动加盖“防覆写保护锁”，AI 后续的任何推断均不得强行篡改，达成了科技智能化与人文隐私权的高度平衡。</w:t>
      </w:r>
    </w:p>
    <w:p w14:paraId="2BE2F36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1" w:name="_Toc5973"/>
      <w:r>
        <w:rPr>
          <w:rFonts w:ascii="Times New Roman" w:hAnsi="Times New Roman" w:eastAsia="黑体"/>
          <w:b w:val="0"/>
          <w:bCs/>
          <w:color w:val="000000"/>
          <w:kern w:val="0"/>
          <w:sz w:val="28"/>
        </w:rPr>
        <w:t>5.3 闭环服务：馆藏副本模拟预约与五维匿名评测</w:t>
      </w:r>
      <w:bookmarkEnd w:id="21"/>
    </w:p>
    <w:p w14:paraId="6175CD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彻底打通线上推荐到线下借阅的“最后一公里”，系统实现了逼真的模拟预约服务（ReservationService）。学生在推荐卡片上选中特定物理藏书后，点击“预约借阅”，系统在数据库中原子性核验该副本状态（必须满足 available 且 lendable），随后锁定该副本并生成预约单，启动默认 72 小时的到期倒计时。整个生命周期配合站内通知服务（NotificationService），在预约成功、即将过期及已过期节点向学生工作台推送桌面通知。系统所有界面严格标注 is_mock=True 声明，既让学生完整体验借还闭环，又杜绝了因未对接校外生产系统产生的误解。</w:t>
      </w:r>
    </w:p>
    <w:p w14:paraId="0815E38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在每次推荐体验结束后，系统引导学生自愿参与五维匿名评测（EvaluationService）。学生针对“内容相关度、难度适中度、推荐理由说服力、馆藏准确度、整体满意度”进行 1 至 5 星量化打分并选填主观意见。评测数据脱敏后沉淀入库，在管理员后台汇总为实时直方图与均值报表，为算法团队持续调优推荐权重提供了最权威的一手实证依据。</w:t>
      </w:r>
    </w:p>
    <w:p w14:paraId="7A6749AA">
      <w:pPr>
        <w:pStyle w:val="3"/>
        <w:keepNext/>
        <w:widowControl/>
        <w:suppressAutoHyphens/>
        <w:bidi w:val="0"/>
        <w:spacing w:before="0" w:after="120" w:line="360" w:lineRule="auto"/>
        <w:ind w:firstLine="482"/>
        <w:jc w:val="center"/>
        <w:rPr>
          <w:color w:val="auto"/>
        </w:rPr>
      </w:pPr>
      <w:r>
        <w:rPr>
          <w:color w:val="auto"/>
        </w:rPr>
        <w:br w:type="page"/>
      </w:r>
      <w:bookmarkStart w:id="22" w:name="_Toc9260"/>
      <w:r>
        <w:rPr>
          <w:rFonts w:hint="eastAsia" w:ascii="黑体" w:hAnsi="黑体" w:eastAsia="黑体" w:cs="黑体"/>
          <w:b w:val="0"/>
          <w:bCs/>
          <w:color w:val="000000"/>
          <w:kern w:val="0"/>
          <w:sz w:val="30"/>
        </w:rPr>
        <w:t>第六章 图书馆管理运营中台与数据工程流水线</w:t>
      </w:r>
      <w:bookmarkEnd w:id="22"/>
    </w:p>
    <w:p w14:paraId="7351105A">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3" w:name="_Toc30514"/>
      <w:r>
        <w:rPr>
          <w:rFonts w:ascii="Times New Roman" w:hAnsi="Times New Roman" w:eastAsia="黑体"/>
          <w:b w:val="0"/>
          <w:bCs/>
          <w:color w:val="000000"/>
          <w:kern w:val="0"/>
          <w:sz w:val="28"/>
        </w:rPr>
        <w:t>6.1 馆藏自动化清洗、校验与标准转换流水线</w:t>
      </w:r>
      <w:bookmarkEnd w:id="23"/>
    </w:p>
    <w:p w14:paraId="30B7C85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高校图书馆每季度均有成千上万册新编目图书需要入库更新。传统纯手工录入打标不仅耗时费力，且容易因格式不规范引发系统混乱。书途智启打造了工业级的数据清洗流水线（DataCleaningService）：</w:t>
      </w:r>
    </w:p>
    <w:p w14:paraId="3DC66CA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1. 强韧的字段容错解析：馆员在后台上传标准或定制的 Excel/CSV 清单后，流水线首先执行多编码自适应解析，自动剥离无意义的控制字符、前后空白符号及非法标点。</w:t>
      </w:r>
    </w:p>
    <w:p w14:paraId="23D8E51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 ISBN-10 到 ISBN-13 标准转换与校验：针对历史老旧图书普遍采用 10 位 ISBN 编号的现实痛点，系统内建了国际标准校验算法，自动通过加权模11校验和推算补齐“978”前缀，转化为现代统一的 13 位 ISBN 格式；对于损坏或残缺的非法书号自动标记异常，防止污染索引库。</w:t>
      </w:r>
    </w:p>
    <w:p w14:paraId="3E8F134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3. 全文件 SHA-256 指纹去重防误传：系统在上传解析的第一时刻对原始文件计算 SHA-256 唯一指纹，与历史数据版本库交叉比对。若馆员误传同一份文件，系统立即友好拦截提醒，有效防范数据膨胀与重复冗余。</w:t>
      </w:r>
    </w:p>
    <w:p w14:paraId="495595E7">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4" w:name="_Toc12022"/>
      <w:r>
        <w:rPr>
          <w:rFonts w:ascii="Times New Roman" w:hAnsi="Times New Roman" w:eastAsia="黑体"/>
          <w:b w:val="0"/>
          <w:bCs/>
          <w:color w:val="000000"/>
          <w:kern w:val="0"/>
          <w:sz w:val="28"/>
        </w:rPr>
        <w:t>6.2 AI 批量标签生成、枚举归一化与人机协同审核工作流</w:t>
      </w:r>
      <w:bookmarkEnd w:id="24"/>
    </w:p>
    <w:p w14:paraId="3B77C08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经过清洗的书目进入草稿版本（DRAFT）后，馆员可一键启动 AI 智能标引引擎（AITaggingService）。系统以防超频的批处理策略调用大语言模型，深度阅读每本书的标题、作者背景与内容简介，自动化打上四维标准化特征标签：</w:t>
      </w:r>
    </w:p>
    <w:p w14:paraId="112FE01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核心知识主题（Topic）：提取图书核心阐述的学术方向（如“分布式系统”、“强化学习”、“Vue 3核心原理”）。</w:t>
      </w:r>
    </w:p>
    <w:p w14:paraId="1CB8BED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阅读门槛难度（Difficulty）：标定适读难度梯度：入门（beginner）、进阶（intermediate）、高级（advanced）。</w:t>
      </w:r>
    </w:p>
    <w:p w14:paraId="1DD770E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适读学习阶段（Learning Stage）：标定其在自学路径中的适宜环节：入门基础、核心骨架、前沿进阶、实战项目。</w:t>
      </w:r>
    </w:p>
    <w:p w14:paraId="74408F0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内容呈现风格（Content Style）：识别图书的行文叙述特色：理论专著、工程项目、经典题解、案例剖析。</w:t>
      </w:r>
    </w:p>
    <w:p w14:paraId="105E0FB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了解决大语言模型生成结果偶发的词汇散漫问题，系统专门研制了“枚举别名归一化引擎（normalize_tag_value）”。该引擎预置了数百组同义词映射词典（例如自动将“从零单排”、“菜鸟教程”、“初学者友好”规范归一化为“beginner”；将“动手实操”、“源码实战”归一化为“project”）。打标完成后，系统在管理端以色块卡片式呈现，支持馆员一键批量勾选审核通过，亦支持逐条点选微调，完美达成了“机器智能提效90% + 人工审核守门10%”的高效协同闭环。</w:t>
      </w:r>
    </w:p>
    <w:p w14:paraId="6D6644A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5" w:name="_Toc23767"/>
      <w:r>
        <w:rPr>
          <w:rFonts w:ascii="Times New Roman" w:hAnsi="Times New Roman" w:eastAsia="黑体"/>
          <w:b w:val="0"/>
          <w:bCs/>
          <w:color w:val="000000"/>
          <w:kern w:val="0"/>
          <w:sz w:val="28"/>
        </w:rPr>
        <w:t>6.3 Chroma 向量索引增量构建与毫秒级版本切换</w:t>
      </w:r>
      <w:bookmarkEnd w:id="25"/>
    </w:p>
    <w:p w14:paraId="6212F2A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当馆员审核确认全部标签后，点击“发布新版本”，后台异步触发 IndexPipeline 任务：</w:t>
      </w:r>
    </w:p>
    <w:p w14:paraId="5401B03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系统从关系表中分批次提取书目的复合文本（整合书名、副标题、作者、分类、主题标签及简介），调用本地 BAAI/bge-small-zh-v1.5 模型快速推理生成 512 维的稠密语义特征向量，并按版本号（如 v20260401）命名空间写入 Chroma 向量集合。完成向量全量嵌入后，数据库中当前激活版本字段被原子性重置为该新版本，前端推荐服务在毫秒级无感知切换至全新馆藏数据源，实现了图书数据的无缝热发布与平滑演进。</w:t>
      </w:r>
    </w:p>
    <w:p w14:paraId="4B2FB6B4">
      <w:pPr>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br w:type="page"/>
      </w:r>
    </w:p>
    <w:p w14:paraId="1D9E801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p>
    <w:p w14:paraId="0E4EE637">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26" w:name="_Toc23707"/>
      <w:r>
        <w:rPr>
          <w:rFonts w:hint="eastAsia" w:ascii="黑体" w:hAnsi="黑体" w:eastAsia="黑体" w:cs="黑体"/>
          <w:b w:val="0"/>
          <w:bCs/>
          <w:color w:val="000000"/>
          <w:kern w:val="0"/>
          <w:sz w:val="30"/>
        </w:rPr>
        <w:t>第七章 纵深安全防御体系与全链路容错降级</w:t>
      </w:r>
      <w:bookmarkEnd w:id="26"/>
    </w:p>
    <w:p w14:paraId="042BFA1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7" w:name="_Toc26185"/>
      <w:r>
        <w:rPr>
          <w:rFonts w:ascii="Times New Roman" w:hAnsi="Times New Roman" w:eastAsia="黑体"/>
          <w:b w:val="0"/>
          <w:bCs/>
          <w:color w:val="000000"/>
          <w:kern w:val="0"/>
          <w:sz w:val="28"/>
        </w:rPr>
        <w:t>7.1 生产级多层纵深安全防御体系</w:t>
      </w:r>
      <w:bookmarkEnd w:id="27"/>
    </w:p>
    <w:p w14:paraId="3692EE6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default" w:ascii="Times New Roman" w:hAnsi="Times New Roman" w:eastAsia="宋体"/>
          <w:b w:val="0"/>
          <w:i w:val="0"/>
          <w:color w:val="000000"/>
          <w:kern w:val="0"/>
          <w:sz w:val="24"/>
        </w:rPr>
        <w:t>高校信息系统对于师生身份数据与网络安全合规具有极高要求。书途智启构建了涵盖密码学、认证授权、网络网关与启动守卫的全维度安全闭环</w:t>
      </w:r>
      <w:r>
        <w:rPr>
          <w:rFonts w:hint="eastAsia" w:ascii="Times New Roman" w:hAnsi="Times New Roman" w:eastAsia="宋体"/>
          <w:b w:val="0"/>
          <w:i w:val="0"/>
          <w:color w:val="000000"/>
          <w:kern w:val="0"/>
          <w:sz w:val="24"/>
          <w:lang w:eastAsia="zh-CN"/>
        </w:rPr>
        <w:t>。</w:t>
      </w:r>
    </w:p>
    <w:p w14:paraId="33719CB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系统整体安全架构与防护机制设计上，书途智启构建了一套涵盖数据存储、身份鉴权、访问控制、流量防护、边界隔离及运行守卫的六重纵深安全防御体系。首先，在密码存储安全层面，系统全面摒弃了存在彩虹表泄露隐患的传统 MD5 与 SHA 系列算法，引入了具备高内存硬化特性的 Argon2id 散列算法，在物理层面有效抵御基于 GPU 与 ASIC 专用硬件芯片的离线字典暴力破解。其次，在认证与令牌安全方面，平台基于 JWT HS256 标准签发无状态数字令牌，统一设置 120 分钟动态有效窗口，并结合强签名自动验签与过期阻断机制，彻底防范网络中间人重放及令牌伪造越权攻击。针对系统访问控制安全，底层采用 RBAC 细粒度双角色隔离模型，在接口与代码层面严密划定学生读者与系统管理员的操作权限边界，杜绝任何越权调用管理网关风险。面对高频网络攻击与自动化脚本滥用，系统部署了滑动窗口并发接口限流守卫，重点针对用户登录、账号注册及大模型推荐等核心入口进行动态频控，有效遏制暴力爆破与恶意拒绝服务（DoS）刷量攻击。在网络跨域边界防御上，系统在生产环境中坚决禁用通配符跨域，严格推行 CORS 受信任域名与校园网 IP 审查白名单机制，全面封堵跨站请求伪造与非法数据嗅探通路。最后，在服务运行安全守卫方面，系统集成了基于 Pydantic 的生产环境强固自检守卫，在后端启动瞬间强制自检核心敏感配置，一旦识别到 JWT 沿用测试默认密钥或数据库密码包含弱占位符等安全隐患，将立即强制熔断启动流程并触发高警报，真正实现了从系统引导阶段到全链路运行闭环的生产级安全保障。</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701"/>
        <w:gridCol w:w="2551"/>
        <w:gridCol w:w="4535"/>
      </w:tblGrid>
      <w:tr w14:paraId="296426C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89A5BEA">
            <w:pPr>
              <w:spacing w:before="100" w:after="100"/>
              <w:jc w:val="center"/>
              <w:rPr>
                <w:color w:val="auto"/>
                <w:sz w:val="21"/>
                <w:szCs w:val="21"/>
              </w:rPr>
            </w:pPr>
            <w:r>
              <w:rPr>
                <w:rFonts w:ascii="黑体" w:hAnsi="黑体" w:eastAsia="黑体"/>
                <w:b/>
                <w:i w:val="0"/>
                <w:color w:val="auto"/>
                <w:sz w:val="21"/>
                <w:szCs w:val="21"/>
              </w:rPr>
              <w:t>安全防御层级</w:t>
            </w:r>
          </w:p>
        </w:tc>
        <w:tc>
          <w:tcPr>
            <w:tcW w:w="255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508A742">
            <w:pPr>
              <w:spacing w:before="100" w:after="100"/>
              <w:jc w:val="center"/>
              <w:rPr>
                <w:color w:val="auto"/>
                <w:sz w:val="21"/>
                <w:szCs w:val="21"/>
              </w:rPr>
            </w:pPr>
            <w:r>
              <w:rPr>
                <w:rFonts w:ascii="黑体" w:hAnsi="黑体" w:eastAsia="黑体"/>
                <w:b/>
                <w:i w:val="0"/>
                <w:color w:val="auto"/>
                <w:sz w:val="21"/>
                <w:szCs w:val="21"/>
              </w:rPr>
              <w:t>核心防护技术 / 规范</w:t>
            </w:r>
          </w:p>
        </w:tc>
        <w:tc>
          <w:tcPr>
            <w:tcW w:w="453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B5F38B8">
            <w:pPr>
              <w:spacing w:before="100" w:after="100"/>
              <w:jc w:val="center"/>
              <w:rPr>
                <w:color w:val="auto"/>
                <w:sz w:val="21"/>
                <w:szCs w:val="21"/>
              </w:rPr>
            </w:pPr>
            <w:r>
              <w:rPr>
                <w:rFonts w:ascii="黑体" w:hAnsi="黑体" w:eastAsia="黑体"/>
                <w:b/>
                <w:i w:val="0"/>
                <w:color w:val="auto"/>
                <w:sz w:val="21"/>
                <w:szCs w:val="21"/>
              </w:rPr>
              <w:t>安全防御能力与阻断风险</w:t>
            </w:r>
          </w:p>
        </w:tc>
      </w:tr>
      <w:tr w14:paraId="5EE14EF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1C99F910">
            <w:pPr>
              <w:spacing w:before="80" w:after="80" w:line="276" w:lineRule="auto"/>
              <w:rPr>
                <w:color w:val="auto"/>
                <w:sz w:val="21"/>
                <w:szCs w:val="21"/>
              </w:rPr>
            </w:pPr>
            <w:r>
              <w:rPr>
                <w:rFonts w:ascii="宋体" w:hAnsi="宋体" w:eastAsia="宋体"/>
                <w:b/>
                <w:i w:val="0"/>
                <w:color w:val="auto"/>
                <w:sz w:val="21"/>
                <w:szCs w:val="21"/>
              </w:rPr>
              <w:t>密码存储安全</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0A7D0756">
            <w:pPr>
              <w:spacing w:before="80" w:after="80" w:line="276" w:lineRule="auto"/>
              <w:rPr>
                <w:color w:val="auto"/>
                <w:sz w:val="21"/>
                <w:szCs w:val="21"/>
              </w:rPr>
            </w:pPr>
            <w:r>
              <w:rPr>
                <w:rFonts w:ascii="宋体" w:hAnsi="宋体" w:eastAsia="宋体"/>
                <w:b w:val="0"/>
                <w:i w:val="0"/>
                <w:color w:val="auto"/>
                <w:sz w:val="21"/>
                <w:szCs w:val="21"/>
              </w:rPr>
              <w:t>Argon2id (高内存成本散列)</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38E687C6">
            <w:pPr>
              <w:spacing w:before="80" w:after="80" w:line="276" w:lineRule="auto"/>
              <w:rPr>
                <w:color w:val="auto"/>
                <w:sz w:val="21"/>
                <w:szCs w:val="21"/>
              </w:rPr>
            </w:pPr>
            <w:r>
              <w:rPr>
                <w:rFonts w:ascii="宋体" w:hAnsi="宋体" w:eastAsia="宋体"/>
                <w:b w:val="0"/>
                <w:i w:val="0"/>
                <w:color w:val="auto"/>
                <w:sz w:val="21"/>
                <w:szCs w:val="21"/>
              </w:rPr>
              <w:t>杜绝 MD5/SHA 泄露隐患，具备极强的抗 GPU/ASIC 专用芯片离线暴力破解能力</w:t>
            </w:r>
          </w:p>
        </w:tc>
      </w:tr>
      <w:tr w14:paraId="654A508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6F413769">
            <w:pPr>
              <w:spacing w:before="80" w:after="80" w:line="276" w:lineRule="auto"/>
              <w:rPr>
                <w:color w:val="auto"/>
                <w:sz w:val="21"/>
                <w:szCs w:val="21"/>
              </w:rPr>
            </w:pPr>
            <w:r>
              <w:rPr>
                <w:rFonts w:ascii="宋体" w:hAnsi="宋体" w:eastAsia="宋体"/>
                <w:b/>
                <w:i w:val="0"/>
                <w:color w:val="auto"/>
                <w:sz w:val="21"/>
                <w:szCs w:val="21"/>
              </w:rPr>
              <w:t>认证与令牌安全</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65366FB7">
            <w:pPr>
              <w:spacing w:before="80" w:after="80" w:line="276" w:lineRule="auto"/>
              <w:rPr>
                <w:color w:val="auto"/>
                <w:sz w:val="21"/>
                <w:szCs w:val="21"/>
              </w:rPr>
            </w:pPr>
            <w:r>
              <w:rPr>
                <w:rFonts w:ascii="宋体" w:hAnsi="宋体" w:eastAsia="宋体"/>
                <w:b w:val="0"/>
                <w:i w:val="0"/>
                <w:color w:val="auto"/>
                <w:sz w:val="21"/>
                <w:szCs w:val="21"/>
              </w:rPr>
              <w:t>JWT HS256 (120分钟有效)</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48ACB238">
            <w:pPr>
              <w:spacing w:before="80" w:after="80" w:line="276" w:lineRule="auto"/>
              <w:rPr>
                <w:color w:val="auto"/>
                <w:sz w:val="21"/>
                <w:szCs w:val="21"/>
              </w:rPr>
            </w:pPr>
            <w:r>
              <w:rPr>
                <w:rFonts w:ascii="宋体" w:hAnsi="宋体" w:eastAsia="宋体"/>
                <w:b w:val="0"/>
                <w:i w:val="0"/>
                <w:color w:val="auto"/>
                <w:sz w:val="21"/>
                <w:szCs w:val="21"/>
              </w:rPr>
              <w:t>采用无状态签名令牌，内置过期机制与签名校验，防范重放与伪造攻击</w:t>
            </w:r>
          </w:p>
        </w:tc>
      </w:tr>
      <w:tr w14:paraId="2272E5F6">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22D3FFF3">
            <w:pPr>
              <w:spacing w:before="80" w:after="80" w:line="276" w:lineRule="auto"/>
              <w:rPr>
                <w:color w:val="auto"/>
                <w:sz w:val="21"/>
                <w:szCs w:val="21"/>
              </w:rPr>
            </w:pPr>
            <w:r>
              <w:rPr>
                <w:rFonts w:ascii="宋体" w:hAnsi="宋体" w:eastAsia="宋体"/>
                <w:b/>
                <w:i w:val="0"/>
                <w:color w:val="auto"/>
                <w:sz w:val="21"/>
                <w:szCs w:val="21"/>
              </w:rPr>
              <w:t>访问控制安全</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66D7A7B3">
            <w:pPr>
              <w:spacing w:before="80" w:after="80" w:line="276" w:lineRule="auto"/>
              <w:rPr>
                <w:color w:val="auto"/>
                <w:sz w:val="21"/>
                <w:szCs w:val="21"/>
              </w:rPr>
            </w:pPr>
            <w:r>
              <w:rPr>
                <w:rFonts w:ascii="宋体" w:hAnsi="宋体" w:eastAsia="宋体"/>
                <w:b w:val="0"/>
                <w:i w:val="0"/>
                <w:color w:val="auto"/>
                <w:sz w:val="21"/>
                <w:szCs w:val="21"/>
              </w:rPr>
              <w:t>RBAC 细粒度双角色隔离</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294C5314">
            <w:pPr>
              <w:spacing w:before="80" w:after="80" w:line="276" w:lineRule="auto"/>
              <w:rPr>
                <w:color w:val="auto"/>
                <w:sz w:val="21"/>
                <w:szCs w:val="21"/>
              </w:rPr>
            </w:pPr>
            <w:r>
              <w:rPr>
                <w:rFonts w:ascii="宋体" w:hAnsi="宋体" w:eastAsia="宋体"/>
                <w:b w:val="0"/>
                <w:i w:val="0"/>
                <w:color w:val="auto"/>
                <w:sz w:val="21"/>
                <w:szCs w:val="21"/>
              </w:rPr>
              <w:t>代码层面严格区分 Student 与 Admin 角色，非管理接口严禁越权访问管理网关</w:t>
            </w:r>
          </w:p>
        </w:tc>
      </w:tr>
      <w:tr w14:paraId="3528D3C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F5A44A3">
            <w:pPr>
              <w:spacing w:before="100" w:after="100"/>
              <w:jc w:val="center"/>
              <w:rPr>
                <w:rFonts w:ascii="宋体" w:hAnsi="宋体" w:eastAsia="宋体"/>
                <w:b/>
                <w:i w:val="0"/>
                <w:color w:val="auto"/>
                <w:sz w:val="21"/>
                <w:szCs w:val="21"/>
              </w:rPr>
            </w:pPr>
            <w:r>
              <w:rPr>
                <w:rFonts w:ascii="黑体" w:hAnsi="黑体" w:eastAsia="黑体"/>
                <w:b/>
                <w:i w:val="0"/>
                <w:color w:val="auto"/>
                <w:sz w:val="21"/>
                <w:szCs w:val="21"/>
              </w:rPr>
              <w:t>安全防御层级</w:t>
            </w:r>
          </w:p>
        </w:tc>
        <w:tc>
          <w:tcPr>
            <w:tcW w:w="255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3CBDC67">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核心防护技术 / 规范</w:t>
            </w:r>
          </w:p>
        </w:tc>
        <w:tc>
          <w:tcPr>
            <w:tcW w:w="453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D5803EB">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安全防御能力与阻断风险</w:t>
            </w:r>
          </w:p>
        </w:tc>
      </w:tr>
      <w:tr w14:paraId="32AF6E41">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56542696">
            <w:pPr>
              <w:spacing w:before="80" w:after="80" w:line="276" w:lineRule="auto"/>
              <w:rPr>
                <w:color w:val="auto"/>
                <w:sz w:val="21"/>
                <w:szCs w:val="21"/>
              </w:rPr>
            </w:pPr>
            <w:r>
              <w:rPr>
                <w:rFonts w:ascii="宋体" w:hAnsi="宋体" w:eastAsia="宋体"/>
                <w:b/>
                <w:i w:val="0"/>
                <w:color w:val="auto"/>
                <w:sz w:val="21"/>
                <w:szCs w:val="21"/>
              </w:rPr>
              <w:t>防暴力爆破与DOS</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6E26E6F9">
            <w:pPr>
              <w:spacing w:before="80" w:after="80" w:line="276" w:lineRule="auto"/>
              <w:rPr>
                <w:color w:val="auto"/>
                <w:sz w:val="21"/>
                <w:szCs w:val="21"/>
              </w:rPr>
            </w:pPr>
            <w:r>
              <w:rPr>
                <w:rFonts w:ascii="宋体" w:hAnsi="宋体" w:eastAsia="宋体"/>
                <w:b w:val="0"/>
                <w:i w:val="0"/>
                <w:color w:val="auto"/>
                <w:sz w:val="21"/>
                <w:szCs w:val="21"/>
              </w:rPr>
              <w:t>滑动窗口并发接口限流</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53437792">
            <w:pPr>
              <w:spacing w:before="80" w:after="80" w:line="276" w:lineRule="auto"/>
              <w:rPr>
                <w:color w:val="auto"/>
                <w:sz w:val="21"/>
                <w:szCs w:val="21"/>
              </w:rPr>
            </w:pPr>
            <w:r>
              <w:rPr>
                <w:rFonts w:ascii="宋体" w:hAnsi="宋体" w:eastAsia="宋体"/>
                <w:b w:val="0"/>
                <w:i w:val="0"/>
                <w:color w:val="auto"/>
                <w:sz w:val="21"/>
                <w:szCs w:val="21"/>
              </w:rPr>
              <w:t>针对登录、注册与 AI 推荐高频接口布设限流守卫，防范脚本暴力刷量</w:t>
            </w:r>
          </w:p>
        </w:tc>
      </w:tr>
      <w:tr w14:paraId="36E1835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67B79924">
            <w:pPr>
              <w:spacing w:before="80" w:after="80" w:line="276" w:lineRule="auto"/>
              <w:rPr>
                <w:color w:val="auto"/>
                <w:sz w:val="21"/>
                <w:szCs w:val="21"/>
              </w:rPr>
            </w:pPr>
            <w:r>
              <w:rPr>
                <w:rFonts w:ascii="宋体" w:hAnsi="宋体" w:eastAsia="宋体"/>
                <w:b/>
                <w:i w:val="0"/>
                <w:color w:val="auto"/>
                <w:sz w:val="21"/>
                <w:szCs w:val="21"/>
              </w:rPr>
              <w:t>跨域安全防御</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3912C468">
            <w:pPr>
              <w:spacing w:before="80" w:after="80" w:line="276" w:lineRule="auto"/>
              <w:rPr>
                <w:color w:val="auto"/>
                <w:sz w:val="21"/>
                <w:szCs w:val="21"/>
              </w:rPr>
            </w:pPr>
            <w:r>
              <w:rPr>
                <w:rFonts w:ascii="宋体" w:hAnsi="宋体" w:eastAsia="宋体"/>
                <w:b w:val="0"/>
                <w:i w:val="0"/>
                <w:color w:val="auto"/>
                <w:sz w:val="21"/>
                <w:szCs w:val="21"/>
              </w:rPr>
              <w:t>CORS 严格白名单机制</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1F070470">
            <w:pPr>
              <w:spacing w:before="80" w:after="80" w:line="276" w:lineRule="auto"/>
              <w:rPr>
                <w:color w:val="auto"/>
                <w:sz w:val="21"/>
                <w:szCs w:val="21"/>
              </w:rPr>
            </w:pPr>
            <w:r>
              <w:rPr>
                <w:rFonts w:ascii="宋体" w:hAnsi="宋体" w:eastAsia="宋体"/>
                <w:b w:val="0"/>
                <w:i w:val="0"/>
                <w:color w:val="auto"/>
                <w:sz w:val="21"/>
                <w:szCs w:val="21"/>
              </w:rPr>
              <w:t>生产环境禁止通配符“*”，仅放行经过审查的受信任校园网域名与 IP</w:t>
            </w:r>
          </w:p>
        </w:tc>
      </w:tr>
      <w:tr w14:paraId="3F4D71AC">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76121F3E">
            <w:pPr>
              <w:spacing w:before="80" w:after="80" w:line="276" w:lineRule="auto"/>
              <w:rPr>
                <w:color w:val="auto"/>
                <w:sz w:val="21"/>
                <w:szCs w:val="21"/>
              </w:rPr>
            </w:pPr>
            <w:r>
              <w:rPr>
                <w:rFonts w:ascii="宋体" w:hAnsi="宋体" w:eastAsia="宋体"/>
                <w:b/>
                <w:i w:val="0"/>
                <w:color w:val="auto"/>
                <w:sz w:val="21"/>
                <w:szCs w:val="21"/>
              </w:rPr>
              <w:t>生产启动强固守卫</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3D8AF605">
            <w:pPr>
              <w:spacing w:before="80" w:after="80" w:line="276" w:lineRule="auto"/>
              <w:rPr>
                <w:color w:val="auto"/>
                <w:sz w:val="21"/>
                <w:szCs w:val="21"/>
              </w:rPr>
            </w:pPr>
            <w:r>
              <w:rPr>
                <w:rFonts w:ascii="宋体" w:hAnsi="宋体" w:eastAsia="宋体"/>
                <w:b w:val="0"/>
                <w:i w:val="0"/>
                <w:color w:val="auto"/>
                <w:sz w:val="21"/>
                <w:szCs w:val="21"/>
              </w:rPr>
              <w:t>Pydantic 生产环境强制校验</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4C3A015D">
            <w:pPr>
              <w:spacing w:before="80" w:after="80" w:line="276" w:lineRule="auto"/>
              <w:rPr>
                <w:color w:val="auto"/>
                <w:sz w:val="21"/>
                <w:szCs w:val="21"/>
              </w:rPr>
            </w:pPr>
            <w:r>
              <w:rPr>
                <w:rFonts w:ascii="宋体" w:hAnsi="宋体" w:eastAsia="宋体"/>
                <w:b w:val="0"/>
                <w:i w:val="0"/>
                <w:color w:val="auto"/>
                <w:sz w:val="21"/>
                <w:szCs w:val="21"/>
              </w:rPr>
              <w:t>启动时强制检测：若 JWT 使用默认密钥、密码使用占位符，系统立即拒绝启动告警</w:t>
            </w:r>
          </w:p>
        </w:tc>
      </w:tr>
    </w:tbl>
    <w:p w14:paraId="13718F61">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表7-1 生产级多层纵深安全防御体系</w:t>
      </w:r>
    </w:p>
    <w:p w14:paraId="2CF3E50D">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8" w:name="_Toc32451"/>
      <w:r>
        <w:rPr>
          <w:rFonts w:ascii="Times New Roman" w:hAnsi="Times New Roman" w:eastAsia="黑体"/>
          <w:b w:val="0"/>
          <w:bCs/>
          <w:color w:val="000000"/>
          <w:kern w:val="0"/>
          <w:sz w:val="28"/>
        </w:rPr>
        <w:t>7.2 全链路多级容错与确定性降级体系</w:t>
      </w:r>
      <w:bookmarkEnd w:id="28"/>
    </w:p>
    <w:p w14:paraId="6F9F34B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default" w:ascii="Times New Roman" w:hAnsi="Times New Roman" w:eastAsia="宋体"/>
          <w:b w:val="0"/>
          <w:i w:val="0"/>
          <w:color w:val="000000"/>
          <w:kern w:val="0"/>
          <w:sz w:val="24"/>
          <w:lang w:eastAsia="zh-CN"/>
        </w:rPr>
        <w:t>在真实的校园网络环境中，外部商业大语言模型可能遭遇 API 欠费、网络跨境超时、并发超频限流（429 Too Many Requests）甚至服务器宕机等突发事件。若推荐系统强依赖于大模型在线响应，极易导致全校服务瘫痪。书途智启为此设计了贯穿七步流水线的全链路确定性降级方案</w:t>
      </w:r>
      <w:r>
        <w:rPr>
          <w:rFonts w:hint="eastAsia" w:ascii="Times New Roman" w:hAnsi="Times New Roman" w:eastAsia="宋体"/>
          <w:b w:val="0"/>
          <w:i w:val="0"/>
          <w:color w:val="000000"/>
          <w:kern w:val="0"/>
          <w:sz w:val="24"/>
          <w:lang w:eastAsia="zh-CN"/>
        </w:rPr>
        <w:t>。</w:t>
      </w:r>
    </w:p>
    <w:p w14:paraId="02AF73C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为保障系统在高校严苛网络环境与算力波动下的极端可用性，书途智启针对推荐全流程构建了六阶段“标准模式”与“确定性降级模式”无缝衔接的容错降级链条。在正常情况下，系统充分调动外部大模型（LLM）的深层语义理解能力进行推荐推理；一旦遭遇外部 API 网络超时、跨境网络抖动、并发超频限流（429）乃至断网无密钥等极端工况，内部内置的确定性启发式规则与离线算法将实现毫秒级自动化无感接管。</w:t>
      </w:r>
    </w:p>
    <w:p w14:paraId="125B4D3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具体而言，在第一阶段意图分类环节，标准模式下由 LLM 语义分类器进行精细判别，降级时则由预置的启发式关键词正则分类器接管，确保用户对话能够无感知顺畅分流；在第二阶段查询扩展环节，标准模式依赖 LLM 扩展多维学术检索词簇，降级模式则退化为直接对学生原始输入进行分词提取与停用词过滤，最大化保留最核心的主题学术意图；在第三阶段候选召回环节，标准模式采用 BGE-zh 语义向量与全文混合双轨检索，若遭遇向量引擎突发异常，系统将启用确定性字符散列伪向量算法保底，坚决杜绝检索接口抛出 500 异常；在第四阶段结果重排环节，标准模式由 LLM 结合上下文执行深度精排，降级模式则无缝切换为内置的六维量化打分加权数学模型进行确定性排序，确保图书呈现依然严谨契合数理逻辑；在第五阶段推荐理由生成环节，标准模式由 LLM 结合读者画像定制温情阐释，降级模式则基于已审核的书目标签特征与难度模板进行动态文字拼接，保障界面推荐卡片理由充实完整、绝无断点；在第六阶段学习路径规划环节，标准模式依托 LLM 动态推演进阶研习目标，降级模式则通过预设的规则分桶算法按难度阶梯静态切分基础、进阶与实践三阶段，依然能够完整交付结构清晰的研习路线图。整套降级链条确保了系统即使在完全断开外部大模型服务的极端单机条件下，仍能实现 100% 的业务流程独立闭环。</w:t>
      </w:r>
    </w:p>
    <w:p w14:paraId="616E209D">
      <w:pPr>
        <w:spacing w:after="120"/>
        <w:rPr>
          <w:rFonts w:hint="eastAsia" w:eastAsia="宋体"/>
          <w:lang w:eastAsia="zh-CN"/>
        </w:rPr>
      </w:pPr>
      <w:r>
        <w:rPr>
          <w:rFonts w:hint="eastAsia" w:eastAsia="宋体"/>
          <w:lang w:eastAsia="zh-CN"/>
        </w:rPr>
        <w:drawing>
          <wp:inline distT="0" distB="0" distL="114300" distR="114300">
            <wp:extent cx="6075680" cy="3314700"/>
            <wp:effectExtent l="0" t="0" r="7620" b="0"/>
            <wp:docPr id="10" name="图片 10" descr="Gemini_Generated_Image_mpegtdmpegtdm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mini_Generated_Image_mpegtdmpegtdmpeg"/>
                    <pic:cNvPicPr>
                      <a:picLocks noChangeAspect="1"/>
                    </pic:cNvPicPr>
                  </pic:nvPicPr>
                  <pic:blipFill>
                    <a:blip r:embed="rId13"/>
                    <a:stretch>
                      <a:fillRect/>
                    </a:stretch>
                  </pic:blipFill>
                  <pic:spPr>
                    <a:xfrm>
                      <a:off x="0" y="0"/>
                      <a:ext cx="6075680" cy="3314700"/>
                    </a:xfrm>
                    <a:prstGeom prst="rect">
                      <a:avLst/>
                    </a:prstGeom>
                  </pic:spPr>
                </pic:pic>
              </a:graphicData>
            </a:graphic>
          </wp:inline>
        </w:drawing>
      </w:r>
    </w:p>
    <w:p w14:paraId="2E370D5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图7-2 全链路多级容错与确定性降级体系</w:t>
      </w:r>
    </w:p>
    <w:p w14:paraId="29EE1A9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得益于上述多级降级架构，书途智启即使在完全不填入任何第三方 API Key、断开外部互联网的“纯单机局域网”严苛条件下，依然能够凭借出色的本地数据库与内置算法独立流畅跑通全部推荐与研习路径闭环，展现出非凡的工业级健壮度！</w:t>
      </w:r>
    </w:p>
    <w:p w14:paraId="04745682">
      <w:pPr>
        <w:rPr>
          <w:rFonts w:ascii="宋体" w:hAnsi="宋体" w:eastAsia="宋体"/>
          <w:b w:val="0"/>
          <w:i w:val="0"/>
          <w:color w:val="auto"/>
          <w:sz w:val="22"/>
        </w:rPr>
      </w:pPr>
      <w:r>
        <w:rPr>
          <w:rFonts w:ascii="宋体" w:hAnsi="宋体" w:eastAsia="宋体"/>
          <w:b w:val="0"/>
          <w:i w:val="0"/>
          <w:color w:val="auto"/>
          <w:sz w:val="22"/>
        </w:rPr>
        <w:br w:type="page"/>
      </w:r>
    </w:p>
    <w:p w14:paraId="1D19AE04">
      <w:pPr>
        <w:spacing w:after="120" w:line="324" w:lineRule="auto"/>
        <w:ind w:firstLine="420"/>
        <w:rPr>
          <w:rFonts w:ascii="宋体" w:hAnsi="宋体" w:eastAsia="宋体"/>
          <w:b w:val="0"/>
          <w:i w:val="0"/>
          <w:color w:val="auto"/>
          <w:sz w:val="22"/>
        </w:rPr>
      </w:pPr>
    </w:p>
    <w:p w14:paraId="39143873">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29" w:name="_Toc25464"/>
      <w:r>
        <w:rPr>
          <w:rFonts w:hint="eastAsia" w:ascii="黑体" w:hAnsi="黑体" w:eastAsia="黑体" w:cs="黑体"/>
          <w:b w:val="0"/>
          <w:bCs/>
          <w:color w:val="000000"/>
          <w:kern w:val="0"/>
          <w:sz w:val="30"/>
        </w:rPr>
        <w:t>第八章 核心创新亮点与技术壁垒深度总结</w:t>
      </w:r>
      <w:bookmarkEnd w:id="29"/>
    </w:p>
    <w:p w14:paraId="3315FD0D">
      <w:pPr>
        <w:pStyle w:val="4"/>
        <w:keepNext/>
        <w:widowControl/>
        <w:suppressAutoHyphens/>
        <w:bidi w:val="0"/>
        <w:spacing w:before="180" w:after="120" w:line="360" w:lineRule="auto"/>
        <w:ind w:firstLine="482"/>
        <w:jc w:val="left"/>
        <w:rPr>
          <w:rFonts w:hint="default" w:ascii="Times New Roman" w:hAnsi="Times New Roman" w:eastAsia="黑体"/>
          <w:b w:val="0"/>
          <w:bCs/>
          <w:color w:val="000000"/>
          <w:kern w:val="0"/>
          <w:sz w:val="28"/>
          <w:lang w:val="en-US" w:eastAsia="zh-CN"/>
        </w:rPr>
      </w:pPr>
      <w:bookmarkStart w:id="30" w:name="_Toc32476"/>
      <w:r>
        <w:rPr>
          <w:rFonts w:hint="eastAsia" w:ascii="Times New Roman" w:hAnsi="Times New Roman" w:eastAsia="黑体"/>
          <w:b w:val="0"/>
          <w:bCs/>
          <w:color w:val="000000"/>
          <w:kern w:val="0"/>
          <w:sz w:val="28"/>
          <w:lang w:val="en-US" w:eastAsia="zh-CN"/>
        </w:rPr>
        <w:t>8.1 核心技术亮点总结</w:t>
      </w:r>
      <w:bookmarkEnd w:id="30"/>
    </w:p>
    <w:p w14:paraId="63FD92B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书途智启在高校智慧教育与大模型落地垂直领域，形成了四项具有开创意义的独家创新亮点：</w:t>
      </w:r>
    </w:p>
    <w:p w14:paraId="2D837DA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创新一：事实锚定的防幻觉 RAG 推荐架构：彻底告别通用生成式 AI“信口开河、虚构书目”的痼疾。系统从机制上确立“馆藏事实 100% 数据库锚定”。所有进入推荐流的书目均来自学校实际在编馆藏，严格校验条形码、索书号与实时借阅状态。大语言模型被精准约束为逻辑分析与文字润色工具，杜绝了学术文献虚构风险，构筑了高校严肃场景最稀缺的信任资产。</w:t>
      </w:r>
    </w:p>
    <w:p w14:paraId="3C26832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二：透明可解释的六维量化匹配决策体系：打破长期困扰推荐系统领域的“算法黑盒”困境。首创“目标、难度、专业、语义、兴趣、馆藏”六维加权数学打分体系，配合清晰的可视化雷达剖析图。每本书不仅推荐给学生，更以量化数据和明明白白的文字解释“为什么此时此刻推荐给你”，让读者心服口服，显著提升了人机交互的信赖度。</w:t>
      </w:r>
    </w:p>
    <w:p w14:paraId="78585DA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三：自适应长短期画像记忆中枢（ProfileMemory）：赋予智能体随交互而“自我进化”的认知能力。系统能够从学生的自然对话与借阅反馈中异步抽丝剥茧，自适应调整难度偏好，让系统“越用越懂读者”。同时坚持“以人为本”，为学生提供完全可见的记忆看板与防覆写保护锁，在智能化关怀与隐私知情权之间达成了教科书级的平衡。</w:t>
      </w:r>
    </w:p>
    <w:p w14:paraId="70DAD55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四：“推荐即路径”的沉浸式进阶通关闭环：首次在高校图书服务体系中跨越了从“单本选书”向“体系化自主培育”的鸿沟。一键生成的“基础入门-核心进阶-项目实践”三阶蓝图，辅以严格的研习周期指导、课后案例考核标准及里程碑勋章，将零散繁杂的被动课外借阅蜕变成为一场充满掌控感、目标明确、成果可见的学术通关之旅。</w:t>
      </w:r>
    </w:p>
    <w:p w14:paraId="7EA48C27">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7E48A49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2CD1D83">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1" w:name="_Toc5206"/>
      <w:r>
        <w:rPr>
          <w:rFonts w:hint="eastAsia" w:ascii="黑体" w:hAnsi="黑体" w:eastAsia="黑体" w:cs="黑体"/>
          <w:b w:val="0"/>
          <w:bCs/>
          <w:color w:val="000000"/>
          <w:kern w:val="0"/>
          <w:sz w:val="30"/>
        </w:rPr>
        <w:t>第九章 团队全景档案、专业分工与资源保障</w:t>
      </w:r>
      <w:bookmarkEnd w:id="31"/>
    </w:p>
    <w:p w14:paraId="2F33DE98">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2" w:name="_Toc4198"/>
      <w:r>
        <w:rPr>
          <w:rFonts w:ascii="Times New Roman" w:hAnsi="Times New Roman" w:eastAsia="黑体"/>
          <w:b w:val="0"/>
          <w:bCs/>
          <w:color w:val="000000"/>
          <w:kern w:val="0"/>
          <w:sz w:val="28"/>
        </w:rPr>
        <w:t>9.1 团队成员全景档案与分工矩阵</w:t>
      </w:r>
      <w:bookmarkEnd w:id="32"/>
    </w:p>
    <w:p w14:paraId="34553C2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书途智启项目团队依托人工智能学部优质教育教学资源组建，团队成员专业功底扎实、工程实战经验丰富、学科梯队合理，形成了“项目管理-算法研发-数据与前端工程-专业教师指导”四位一体的高效协同矩阵：</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134"/>
        <w:gridCol w:w="1361"/>
        <w:gridCol w:w="1587"/>
        <w:gridCol w:w="2438"/>
        <w:gridCol w:w="2268"/>
      </w:tblGrid>
      <w:tr w14:paraId="3E5F36A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98E4D0E">
            <w:pPr>
              <w:spacing w:before="100" w:after="100"/>
              <w:jc w:val="center"/>
              <w:rPr>
                <w:color w:val="auto"/>
                <w:sz w:val="21"/>
                <w:szCs w:val="21"/>
              </w:rPr>
            </w:pPr>
            <w:r>
              <w:rPr>
                <w:rFonts w:ascii="黑体" w:hAnsi="黑体" w:eastAsia="黑体"/>
                <w:b/>
                <w:i w:val="0"/>
                <w:color w:val="auto"/>
                <w:sz w:val="21"/>
                <w:szCs w:val="21"/>
              </w:rPr>
              <w:t>姓名</w:t>
            </w:r>
          </w:p>
        </w:tc>
        <w:tc>
          <w:tcPr>
            <w:tcW w:w="136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25814A1">
            <w:pPr>
              <w:spacing w:before="100" w:after="100"/>
              <w:jc w:val="center"/>
              <w:rPr>
                <w:color w:val="auto"/>
                <w:sz w:val="21"/>
                <w:szCs w:val="21"/>
              </w:rPr>
            </w:pPr>
            <w:r>
              <w:rPr>
                <w:rFonts w:ascii="黑体" w:hAnsi="黑体" w:eastAsia="黑体"/>
                <w:b/>
                <w:i w:val="0"/>
                <w:color w:val="auto"/>
                <w:sz w:val="21"/>
                <w:szCs w:val="21"/>
              </w:rPr>
              <w:t>学号 / 职务</w:t>
            </w:r>
          </w:p>
        </w:tc>
        <w:tc>
          <w:tcPr>
            <w:tcW w:w="158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5E23FF8">
            <w:pPr>
              <w:spacing w:before="100" w:after="100"/>
              <w:jc w:val="center"/>
              <w:rPr>
                <w:color w:val="auto"/>
                <w:sz w:val="21"/>
                <w:szCs w:val="21"/>
              </w:rPr>
            </w:pPr>
            <w:r>
              <w:rPr>
                <w:rFonts w:ascii="黑体" w:hAnsi="黑体" w:eastAsia="黑体"/>
                <w:b/>
                <w:i w:val="0"/>
                <w:color w:val="auto"/>
                <w:sz w:val="21"/>
                <w:szCs w:val="21"/>
              </w:rPr>
              <w:t>院系专业 / 年级</w:t>
            </w:r>
          </w:p>
        </w:tc>
        <w:tc>
          <w:tcPr>
            <w:tcW w:w="243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982D64C">
            <w:pPr>
              <w:spacing w:before="100" w:after="100"/>
              <w:jc w:val="center"/>
              <w:rPr>
                <w:color w:val="auto"/>
                <w:sz w:val="21"/>
                <w:szCs w:val="21"/>
              </w:rPr>
            </w:pPr>
            <w:r>
              <w:rPr>
                <w:rFonts w:ascii="黑体" w:hAnsi="黑体" w:eastAsia="黑体"/>
                <w:b/>
                <w:i w:val="0"/>
                <w:color w:val="auto"/>
                <w:sz w:val="21"/>
                <w:szCs w:val="21"/>
              </w:rPr>
              <w:t>项目核心角色与具体分工职责</w:t>
            </w:r>
          </w:p>
        </w:tc>
        <w:tc>
          <w:tcPr>
            <w:tcW w:w="226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7C3E404">
            <w:pPr>
              <w:spacing w:before="100" w:after="100"/>
              <w:jc w:val="center"/>
              <w:rPr>
                <w:color w:val="auto"/>
                <w:sz w:val="21"/>
                <w:szCs w:val="21"/>
              </w:rPr>
            </w:pPr>
            <w:r>
              <w:rPr>
                <w:rFonts w:ascii="黑体" w:hAnsi="黑体" w:eastAsia="黑体"/>
                <w:b/>
                <w:i w:val="0"/>
                <w:color w:val="auto"/>
                <w:sz w:val="21"/>
                <w:szCs w:val="21"/>
              </w:rPr>
              <w:t>个人研究特长与支撑背景</w:t>
            </w:r>
          </w:p>
        </w:tc>
      </w:tr>
      <w:tr w14:paraId="0547FEA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2F2FFF09">
            <w:pPr>
              <w:spacing w:before="80" w:after="80" w:line="276" w:lineRule="auto"/>
              <w:rPr>
                <w:color w:val="auto"/>
                <w:sz w:val="21"/>
                <w:szCs w:val="21"/>
              </w:rPr>
            </w:pPr>
            <w:r>
              <w:rPr>
                <w:rFonts w:ascii="宋体" w:hAnsi="宋体" w:eastAsia="宋体"/>
                <w:b/>
                <w:i w:val="0"/>
                <w:color w:val="auto"/>
                <w:sz w:val="21"/>
                <w:szCs w:val="21"/>
              </w:rPr>
              <w:t>冯承坤</w:t>
            </w:r>
          </w:p>
        </w:tc>
        <w:tc>
          <w:tcPr>
            <w:tcW w:w="1361" w:type="dxa"/>
            <w:tcBorders>
              <w:top w:val="single" w:color="auto" w:sz="4" w:space="0"/>
              <w:left w:val="single" w:color="auto" w:sz="4" w:space="0"/>
              <w:bottom w:val="single" w:color="auto" w:sz="4" w:space="0"/>
              <w:right w:val="single" w:color="auto" w:sz="4" w:space="0"/>
            </w:tcBorders>
            <w:shd w:val="clear" w:color="auto" w:fill="FFFFFF"/>
            <w:vAlign w:val="center"/>
          </w:tcPr>
          <w:p w14:paraId="7F481AE0">
            <w:pPr>
              <w:spacing w:before="80" w:after="80" w:line="276" w:lineRule="auto"/>
              <w:rPr>
                <w:color w:val="auto"/>
                <w:sz w:val="21"/>
                <w:szCs w:val="21"/>
              </w:rPr>
            </w:pPr>
            <w:r>
              <w:rPr>
                <w:rFonts w:ascii="宋体" w:hAnsi="宋体" w:eastAsia="宋体"/>
                <w:b w:val="0"/>
                <w:i w:val="0"/>
                <w:color w:val="auto"/>
                <w:sz w:val="21"/>
                <w:szCs w:val="21"/>
              </w:rPr>
              <w:t>20241820</w:t>
            </w:r>
            <w:r>
              <w:rPr>
                <w:rFonts w:ascii="宋体" w:hAnsi="宋体" w:eastAsia="宋体"/>
                <w:b w:val="0"/>
                <w:i w:val="0"/>
                <w:color w:val="auto"/>
                <w:sz w:val="21"/>
                <w:szCs w:val="21"/>
              </w:rPr>
              <w:br w:type="textWrapping"/>
            </w:r>
            <w:r>
              <w:rPr>
                <w:rFonts w:ascii="宋体" w:hAnsi="宋体" w:eastAsia="宋体"/>
                <w:b w:val="0"/>
                <w:i w:val="0"/>
                <w:color w:val="auto"/>
                <w:sz w:val="21"/>
                <w:szCs w:val="21"/>
              </w:rPr>
              <w:t>(学生负责人)</w:t>
            </w:r>
          </w:p>
        </w:tc>
        <w:tc>
          <w:tcPr>
            <w:tcW w:w="1587" w:type="dxa"/>
            <w:tcBorders>
              <w:top w:val="single" w:color="auto" w:sz="4" w:space="0"/>
              <w:left w:val="single" w:color="auto" w:sz="4" w:space="0"/>
              <w:bottom w:val="single" w:color="auto" w:sz="4" w:space="0"/>
              <w:right w:val="single" w:color="auto" w:sz="4" w:space="0"/>
            </w:tcBorders>
            <w:shd w:val="clear" w:color="auto" w:fill="FFFFFF"/>
            <w:vAlign w:val="center"/>
          </w:tcPr>
          <w:p w14:paraId="4C612E9C">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FFFFF"/>
            <w:vAlign w:val="center"/>
          </w:tcPr>
          <w:p w14:paraId="22EB0AEF">
            <w:pPr>
              <w:spacing w:before="80" w:after="80" w:line="276" w:lineRule="auto"/>
              <w:rPr>
                <w:color w:val="auto"/>
                <w:sz w:val="21"/>
                <w:szCs w:val="21"/>
              </w:rPr>
            </w:pPr>
            <w:r>
              <w:rPr>
                <w:rFonts w:ascii="宋体" w:hAnsi="宋体" w:eastAsia="宋体"/>
                <w:b w:val="0"/>
                <w:i w:val="0"/>
                <w:color w:val="auto"/>
                <w:sz w:val="21"/>
                <w:szCs w:val="21"/>
              </w:rPr>
              <w:t>项目总负责人，全面统筹全生命周期进度、需求定义、里程碑质量把控、竞赛答辩汇报，参与核心业务逻辑设计与评测</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14:paraId="3CC0B0AB">
            <w:pPr>
              <w:spacing w:before="80" w:after="80" w:line="276" w:lineRule="auto"/>
              <w:rPr>
                <w:color w:val="auto"/>
                <w:sz w:val="21"/>
                <w:szCs w:val="21"/>
              </w:rPr>
            </w:pPr>
            <w:r>
              <w:rPr>
                <w:rFonts w:ascii="宋体" w:hAnsi="宋体" w:eastAsia="宋体"/>
                <w:b w:val="0"/>
                <w:i w:val="0"/>
                <w:color w:val="auto"/>
                <w:sz w:val="21"/>
                <w:szCs w:val="21"/>
              </w:rPr>
              <w:t>擅长运筹统筹与项目全流程管理，熟练掌握 Python 数据分析与建模工具，在本项目中严密把控甘特图里程碑推进，具有极强的团队领导力与演讲答辩风采。</w:t>
            </w:r>
          </w:p>
        </w:tc>
      </w:tr>
      <w:tr w14:paraId="32BE69B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90"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158E4FA6">
            <w:pPr>
              <w:spacing w:before="80" w:after="80" w:line="276" w:lineRule="auto"/>
              <w:rPr>
                <w:color w:val="auto"/>
                <w:sz w:val="21"/>
                <w:szCs w:val="21"/>
              </w:rPr>
            </w:pPr>
            <w:r>
              <w:rPr>
                <w:rFonts w:ascii="宋体" w:hAnsi="宋体" w:eastAsia="宋体"/>
                <w:b/>
                <w:i w:val="0"/>
                <w:color w:val="auto"/>
                <w:sz w:val="21"/>
                <w:szCs w:val="21"/>
              </w:rPr>
              <w:t>吕冠辉</w:t>
            </w:r>
          </w:p>
        </w:tc>
        <w:tc>
          <w:tcPr>
            <w:tcW w:w="1361" w:type="dxa"/>
            <w:tcBorders>
              <w:top w:val="single" w:color="auto" w:sz="4" w:space="0"/>
              <w:left w:val="single" w:color="auto" w:sz="4" w:space="0"/>
              <w:bottom w:val="single" w:color="auto" w:sz="4" w:space="0"/>
              <w:right w:val="single" w:color="auto" w:sz="4" w:space="0"/>
            </w:tcBorders>
            <w:shd w:val="clear" w:color="auto" w:fill="F8FAFC"/>
            <w:vAlign w:val="center"/>
          </w:tcPr>
          <w:p w14:paraId="0F8848CE">
            <w:pPr>
              <w:spacing w:before="80" w:after="80" w:line="276" w:lineRule="auto"/>
              <w:rPr>
                <w:color w:val="auto"/>
                <w:sz w:val="21"/>
                <w:szCs w:val="21"/>
              </w:rPr>
            </w:pPr>
            <w:r>
              <w:rPr>
                <w:rFonts w:ascii="宋体" w:hAnsi="宋体" w:eastAsia="宋体"/>
                <w:b w:val="0"/>
                <w:i w:val="0"/>
                <w:color w:val="auto"/>
                <w:sz w:val="21"/>
                <w:szCs w:val="21"/>
              </w:rPr>
              <w:t>20241821</w:t>
            </w:r>
            <w:r>
              <w:rPr>
                <w:rFonts w:ascii="宋体" w:hAnsi="宋体" w:eastAsia="宋体"/>
                <w:b w:val="0"/>
                <w:i w:val="0"/>
                <w:color w:val="auto"/>
                <w:sz w:val="21"/>
                <w:szCs w:val="21"/>
              </w:rPr>
              <w:br w:type="textWrapping"/>
            </w:r>
            <w:r>
              <w:rPr>
                <w:rFonts w:ascii="宋体" w:hAnsi="宋体" w:eastAsia="宋体"/>
                <w:b w:val="0"/>
                <w:i w:val="0"/>
                <w:color w:val="auto"/>
                <w:sz w:val="21"/>
                <w:szCs w:val="21"/>
              </w:rPr>
              <w:t>(核心成员)</w:t>
            </w:r>
          </w:p>
        </w:tc>
        <w:tc>
          <w:tcPr>
            <w:tcW w:w="1587" w:type="dxa"/>
            <w:tcBorders>
              <w:top w:val="single" w:color="auto" w:sz="4" w:space="0"/>
              <w:left w:val="single" w:color="auto" w:sz="4" w:space="0"/>
              <w:bottom w:val="single" w:color="auto" w:sz="4" w:space="0"/>
              <w:right w:val="single" w:color="auto" w:sz="4" w:space="0"/>
            </w:tcBorders>
            <w:shd w:val="clear" w:color="auto" w:fill="F8FAFC"/>
            <w:vAlign w:val="center"/>
          </w:tcPr>
          <w:p w14:paraId="32E023E0">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8FAFC"/>
            <w:vAlign w:val="center"/>
          </w:tcPr>
          <w:p w14:paraId="01C742DC">
            <w:pPr>
              <w:spacing w:before="80" w:after="80" w:line="276" w:lineRule="auto"/>
              <w:rPr>
                <w:color w:val="auto"/>
                <w:sz w:val="21"/>
                <w:szCs w:val="21"/>
              </w:rPr>
            </w:pPr>
            <w:r>
              <w:rPr>
                <w:rFonts w:ascii="宋体" w:hAnsi="宋体" w:eastAsia="宋体"/>
                <w:b w:val="0"/>
                <w:i w:val="0"/>
                <w:color w:val="auto"/>
                <w:sz w:val="21"/>
                <w:szCs w:val="21"/>
              </w:rPr>
              <w:t>算法架构师 + 技术负责人，负责 RAG 管道搭建、六维推荐算法数学建模、大模型 Prompt 工程调优、Chroma 向量检索及性能调优</w:t>
            </w:r>
          </w:p>
        </w:tc>
        <w:tc>
          <w:tcPr>
            <w:tcW w:w="2268" w:type="dxa"/>
            <w:tcBorders>
              <w:top w:val="single" w:color="auto" w:sz="4" w:space="0"/>
              <w:left w:val="single" w:color="auto" w:sz="4" w:space="0"/>
              <w:bottom w:val="single" w:color="auto" w:sz="4" w:space="0"/>
              <w:right w:val="single" w:color="auto" w:sz="4" w:space="0"/>
            </w:tcBorders>
            <w:shd w:val="clear" w:color="auto" w:fill="F8FAFC"/>
            <w:vAlign w:val="center"/>
          </w:tcPr>
          <w:p w14:paraId="267EFE78">
            <w:pPr>
              <w:spacing w:before="80" w:after="80" w:line="276" w:lineRule="auto"/>
              <w:rPr>
                <w:color w:val="auto"/>
                <w:sz w:val="21"/>
                <w:szCs w:val="21"/>
              </w:rPr>
            </w:pPr>
            <w:r>
              <w:rPr>
                <w:rFonts w:ascii="宋体" w:hAnsi="宋体" w:eastAsia="宋体"/>
                <w:b w:val="0"/>
                <w:i w:val="0"/>
                <w:color w:val="auto"/>
                <w:sz w:val="21"/>
                <w:szCs w:val="21"/>
              </w:rPr>
              <w:t>深耕人工智能算法开发与大模型应用落地，精通 Python、LangChain 框架与分布式检索，攻克了意图识别、自适应难度演化与防幻觉降级核心算法模块。</w:t>
            </w:r>
          </w:p>
        </w:tc>
      </w:tr>
      <w:tr w14:paraId="40370CA2">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3645"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976288D">
            <w:pPr>
              <w:spacing w:before="80" w:after="80" w:line="276" w:lineRule="auto"/>
              <w:rPr>
                <w:color w:val="auto"/>
                <w:sz w:val="21"/>
                <w:szCs w:val="21"/>
              </w:rPr>
            </w:pPr>
            <w:r>
              <w:rPr>
                <w:rFonts w:ascii="宋体" w:hAnsi="宋体" w:eastAsia="宋体"/>
                <w:b/>
                <w:i w:val="0"/>
                <w:color w:val="auto"/>
                <w:sz w:val="21"/>
                <w:szCs w:val="21"/>
              </w:rPr>
              <w:t>王艾昕</w:t>
            </w:r>
          </w:p>
        </w:tc>
        <w:tc>
          <w:tcPr>
            <w:tcW w:w="1361" w:type="dxa"/>
            <w:tcBorders>
              <w:top w:val="single" w:color="auto" w:sz="4" w:space="0"/>
              <w:left w:val="single" w:color="auto" w:sz="4" w:space="0"/>
              <w:bottom w:val="single" w:color="auto" w:sz="4" w:space="0"/>
              <w:right w:val="single" w:color="auto" w:sz="4" w:space="0"/>
            </w:tcBorders>
            <w:shd w:val="clear" w:color="auto" w:fill="FFFFFF"/>
            <w:vAlign w:val="center"/>
          </w:tcPr>
          <w:p w14:paraId="7C2956E5">
            <w:pPr>
              <w:spacing w:before="80" w:after="80" w:line="276" w:lineRule="auto"/>
              <w:rPr>
                <w:color w:val="auto"/>
                <w:sz w:val="21"/>
                <w:szCs w:val="21"/>
              </w:rPr>
            </w:pPr>
            <w:r>
              <w:rPr>
                <w:rFonts w:ascii="宋体" w:hAnsi="宋体" w:eastAsia="宋体"/>
                <w:b w:val="0"/>
                <w:i w:val="0"/>
                <w:color w:val="auto"/>
                <w:sz w:val="21"/>
                <w:szCs w:val="21"/>
              </w:rPr>
              <w:t>20241812</w:t>
            </w:r>
            <w:r>
              <w:rPr>
                <w:rFonts w:ascii="宋体" w:hAnsi="宋体" w:eastAsia="宋体"/>
                <w:b w:val="0"/>
                <w:i w:val="0"/>
                <w:color w:val="auto"/>
                <w:sz w:val="21"/>
                <w:szCs w:val="21"/>
              </w:rPr>
              <w:br w:type="textWrapping"/>
            </w:r>
            <w:r>
              <w:rPr>
                <w:rFonts w:ascii="宋体" w:hAnsi="宋体" w:eastAsia="宋体"/>
                <w:b w:val="0"/>
                <w:i w:val="0"/>
                <w:color w:val="auto"/>
                <w:sz w:val="21"/>
                <w:szCs w:val="21"/>
              </w:rPr>
              <w:t>(核心成员)</w:t>
            </w:r>
          </w:p>
        </w:tc>
        <w:tc>
          <w:tcPr>
            <w:tcW w:w="1587" w:type="dxa"/>
            <w:tcBorders>
              <w:top w:val="single" w:color="auto" w:sz="4" w:space="0"/>
              <w:left w:val="single" w:color="auto" w:sz="4" w:space="0"/>
              <w:bottom w:val="single" w:color="auto" w:sz="4" w:space="0"/>
              <w:right w:val="single" w:color="auto" w:sz="4" w:space="0"/>
            </w:tcBorders>
            <w:shd w:val="clear" w:color="auto" w:fill="FFFFFF"/>
            <w:vAlign w:val="center"/>
          </w:tcPr>
          <w:p w14:paraId="41160050">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FFFFF"/>
            <w:vAlign w:val="center"/>
          </w:tcPr>
          <w:p w14:paraId="7A5B55B4">
            <w:pPr>
              <w:spacing w:before="80" w:after="80" w:line="276" w:lineRule="auto"/>
              <w:rPr>
                <w:color w:val="auto"/>
                <w:sz w:val="21"/>
                <w:szCs w:val="21"/>
              </w:rPr>
            </w:pPr>
            <w:r>
              <w:rPr>
                <w:rFonts w:ascii="宋体" w:hAnsi="宋体" w:eastAsia="宋体"/>
                <w:b w:val="0"/>
                <w:i w:val="0"/>
                <w:color w:val="auto"/>
                <w:sz w:val="21"/>
                <w:szCs w:val="21"/>
              </w:rPr>
              <w:t>数据工程师 + 前端开发工程师，负责馆藏数据清洗流水线（CleanPipeline）、AI 标签审核交互、Vue 3 工作台开发与自动化测试运维</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14:paraId="051E8FB8">
            <w:pPr>
              <w:spacing w:before="80" w:after="80" w:line="276" w:lineRule="auto"/>
              <w:rPr>
                <w:color w:val="auto"/>
                <w:sz w:val="21"/>
                <w:szCs w:val="21"/>
              </w:rPr>
            </w:pPr>
            <w:r>
              <w:rPr>
                <w:rFonts w:ascii="宋体" w:hAnsi="宋体" w:eastAsia="宋体"/>
                <w:b w:val="0"/>
                <w:i w:val="0"/>
                <w:color w:val="auto"/>
                <w:sz w:val="21"/>
                <w:szCs w:val="21"/>
              </w:rPr>
              <w:t>擅长全栈数据流设计与现代 Web 前端开发，熟练运用 Vue 3、TypeScript 与 Tailwind CSS，严密构建了从 Excel 导入到 Chroma 向量化的无缝中台。</w:t>
            </w:r>
          </w:p>
        </w:tc>
      </w:tr>
      <w:tr w14:paraId="387531D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705"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DD9D640">
            <w:pPr>
              <w:spacing w:before="100" w:after="100"/>
              <w:jc w:val="center"/>
              <w:rPr>
                <w:rFonts w:ascii="宋体" w:hAnsi="宋体" w:eastAsia="宋体"/>
                <w:b/>
                <w:i w:val="0"/>
                <w:color w:val="auto"/>
                <w:sz w:val="21"/>
                <w:szCs w:val="21"/>
              </w:rPr>
            </w:pPr>
            <w:r>
              <w:rPr>
                <w:rFonts w:ascii="黑体" w:hAnsi="黑体" w:eastAsia="黑体"/>
                <w:b/>
                <w:i w:val="0"/>
                <w:color w:val="auto"/>
                <w:sz w:val="21"/>
                <w:szCs w:val="21"/>
              </w:rPr>
              <w:t>姓名</w:t>
            </w:r>
          </w:p>
        </w:tc>
        <w:tc>
          <w:tcPr>
            <w:tcW w:w="136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716A1DC">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学号 / 职务</w:t>
            </w:r>
          </w:p>
        </w:tc>
        <w:tc>
          <w:tcPr>
            <w:tcW w:w="158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648E8CC">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院系专业 / 年级</w:t>
            </w:r>
          </w:p>
        </w:tc>
        <w:tc>
          <w:tcPr>
            <w:tcW w:w="243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83C6BAF">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项目核心角色与具体分工职责</w:t>
            </w:r>
          </w:p>
        </w:tc>
        <w:tc>
          <w:tcPr>
            <w:tcW w:w="226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303C0D3">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个人研究特长与支撑背景</w:t>
            </w:r>
          </w:p>
        </w:tc>
      </w:tr>
      <w:tr w14:paraId="67ED9DC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04A13CF5">
            <w:pPr>
              <w:spacing w:before="80" w:after="80" w:line="276" w:lineRule="auto"/>
              <w:rPr>
                <w:color w:val="auto"/>
                <w:sz w:val="21"/>
                <w:szCs w:val="21"/>
              </w:rPr>
            </w:pPr>
            <w:r>
              <w:rPr>
                <w:rFonts w:ascii="宋体" w:hAnsi="宋体" w:eastAsia="宋体"/>
                <w:b/>
                <w:i w:val="0"/>
                <w:color w:val="auto"/>
                <w:sz w:val="21"/>
                <w:szCs w:val="21"/>
              </w:rPr>
              <w:t>张维</w:t>
            </w:r>
          </w:p>
        </w:tc>
        <w:tc>
          <w:tcPr>
            <w:tcW w:w="1361" w:type="dxa"/>
            <w:tcBorders>
              <w:top w:val="single" w:color="auto" w:sz="4" w:space="0"/>
              <w:left w:val="single" w:color="auto" w:sz="4" w:space="0"/>
              <w:bottom w:val="single" w:color="auto" w:sz="4" w:space="0"/>
              <w:right w:val="single" w:color="auto" w:sz="4" w:space="0"/>
            </w:tcBorders>
            <w:shd w:val="clear" w:color="auto" w:fill="F8FAFC"/>
            <w:vAlign w:val="center"/>
          </w:tcPr>
          <w:p w14:paraId="43B09D43">
            <w:pPr>
              <w:spacing w:before="80" w:after="80" w:line="276" w:lineRule="auto"/>
              <w:rPr>
                <w:color w:val="auto"/>
                <w:sz w:val="21"/>
                <w:szCs w:val="21"/>
              </w:rPr>
            </w:pPr>
            <w:r>
              <w:rPr>
                <w:rFonts w:ascii="宋体" w:hAnsi="宋体" w:eastAsia="宋体"/>
                <w:b w:val="0"/>
                <w:i w:val="0"/>
                <w:color w:val="auto"/>
                <w:sz w:val="21"/>
                <w:szCs w:val="21"/>
              </w:rPr>
              <w:t>副教授</w:t>
            </w:r>
            <w:r>
              <w:rPr>
                <w:rFonts w:ascii="宋体" w:hAnsi="宋体" w:eastAsia="宋体"/>
                <w:b w:val="0"/>
                <w:i w:val="0"/>
                <w:color w:val="auto"/>
                <w:sz w:val="21"/>
                <w:szCs w:val="21"/>
              </w:rPr>
              <w:br w:type="textWrapping"/>
            </w:r>
            <w:r>
              <w:rPr>
                <w:rFonts w:ascii="宋体" w:hAnsi="宋体" w:eastAsia="宋体"/>
                <w:b w:val="0"/>
                <w:i w:val="0"/>
                <w:color w:val="auto"/>
                <w:sz w:val="21"/>
                <w:szCs w:val="21"/>
              </w:rPr>
              <w:t>(指导教师)</w:t>
            </w:r>
          </w:p>
        </w:tc>
        <w:tc>
          <w:tcPr>
            <w:tcW w:w="1587" w:type="dxa"/>
            <w:tcBorders>
              <w:top w:val="single" w:color="auto" w:sz="4" w:space="0"/>
              <w:left w:val="single" w:color="auto" w:sz="4" w:space="0"/>
              <w:bottom w:val="single" w:color="auto" w:sz="4" w:space="0"/>
              <w:right w:val="single" w:color="auto" w:sz="4" w:space="0"/>
            </w:tcBorders>
            <w:shd w:val="clear" w:color="auto" w:fill="F8FAFC"/>
            <w:vAlign w:val="center"/>
          </w:tcPr>
          <w:p w14:paraId="7FBB175B">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学术指导教师</w:t>
            </w:r>
          </w:p>
        </w:tc>
        <w:tc>
          <w:tcPr>
            <w:tcW w:w="2438" w:type="dxa"/>
            <w:tcBorders>
              <w:top w:val="single" w:color="auto" w:sz="4" w:space="0"/>
              <w:left w:val="single" w:color="auto" w:sz="4" w:space="0"/>
              <w:bottom w:val="single" w:color="auto" w:sz="4" w:space="0"/>
              <w:right w:val="single" w:color="auto" w:sz="4" w:space="0"/>
            </w:tcBorders>
            <w:shd w:val="clear" w:color="auto" w:fill="F8FAFC"/>
            <w:vAlign w:val="center"/>
          </w:tcPr>
          <w:p w14:paraId="497098DD">
            <w:pPr>
              <w:spacing w:before="80" w:after="80" w:line="276" w:lineRule="auto"/>
              <w:rPr>
                <w:color w:val="auto"/>
                <w:sz w:val="21"/>
                <w:szCs w:val="21"/>
              </w:rPr>
            </w:pPr>
            <w:r>
              <w:rPr>
                <w:rFonts w:ascii="宋体" w:hAnsi="宋体" w:eastAsia="宋体"/>
                <w:b w:val="0"/>
                <w:i w:val="0"/>
                <w:color w:val="auto"/>
                <w:sz w:val="21"/>
                <w:szCs w:val="21"/>
              </w:rPr>
              <w:t>项目学术顾问与立项导师，负责总体技术路线审查、学术严谨性论证、高校图书馆协同资源协调、项目申报书指导与科研成果转化指导</w:t>
            </w:r>
          </w:p>
        </w:tc>
        <w:tc>
          <w:tcPr>
            <w:tcW w:w="2268" w:type="dxa"/>
            <w:tcBorders>
              <w:top w:val="single" w:color="auto" w:sz="4" w:space="0"/>
              <w:left w:val="single" w:color="auto" w:sz="4" w:space="0"/>
              <w:bottom w:val="single" w:color="auto" w:sz="4" w:space="0"/>
              <w:right w:val="single" w:color="auto" w:sz="4" w:space="0"/>
            </w:tcBorders>
            <w:shd w:val="clear" w:color="auto" w:fill="F8FAFC"/>
            <w:vAlign w:val="center"/>
          </w:tcPr>
          <w:p w14:paraId="454B1CC5">
            <w:pPr>
              <w:spacing w:before="80" w:after="80" w:line="276" w:lineRule="auto"/>
              <w:rPr>
                <w:color w:val="auto"/>
                <w:sz w:val="21"/>
                <w:szCs w:val="21"/>
              </w:rPr>
            </w:pPr>
            <w:r>
              <w:rPr>
                <w:rFonts w:ascii="宋体" w:hAnsi="宋体" w:eastAsia="宋体"/>
                <w:b w:val="0"/>
                <w:i w:val="0"/>
                <w:color w:val="auto"/>
                <w:sz w:val="21"/>
                <w:szCs w:val="21"/>
              </w:rPr>
              <w:t>长期从事人工智能、大数据挖掘与教育信息化前沿教学科研，指导多项国家级及省级大学生创新创业项目，为本系统落地校园提供了深厚的学术底蕴与保障。</w:t>
            </w:r>
          </w:p>
        </w:tc>
      </w:tr>
    </w:tbl>
    <w:p w14:paraId="4B3388D8">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表9-1 人员分工介绍</w:t>
      </w:r>
    </w:p>
    <w:p w14:paraId="783EBFE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3" w:name="_Toc19564"/>
      <w:r>
        <w:rPr>
          <w:rFonts w:ascii="Times New Roman" w:hAnsi="Times New Roman" w:eastAsia="黑体"/>
          <w:b w:val="0"/>
          <w:bCs/>
          <w:color w:val="000000"/>
          <w:kern w:val="0"/>
          <w:sz w:val="28"/>
        </w:rPr>
        <w:t>9.2 研发工作积累、实验环境与资源保障条件</w:t>
      </w:r>
      <w:bookmarkEnd w:id="33"/>
    </w:p>
    <w:p w14:paraId="72AAF4D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结合项目研发实地考量，团队已具备开展本项目的充足软硬件积累与组织保障：</w:t>
      </w:r>
    </w:p>
    <w:p w14:paraId="320A48F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扎实的代码工程积累：团队在前期探索阶段，已全面跑通了基于 FastAPI 与 Vue 3 的端到端原型，累计编写并审查了超 1.2 万行严谨的 Python 与 TypeScript 核心代码，完成了覆盖全量业务模块的自动化单元测试。</w:t>
      </w:r>
    </w:p>
    <w:p w14:paraId="580A90F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高校实验室算力支持：人工智能学部为团队提供了充足的实验机房与 GPU 加速工作站，配备了高性能本地推理显卡与高速校园专网，满足多轮并发调试、BGE 向量高维嵌入及深度学习推理实验要求。</w:t>
      </w:r>
    </w:p>
    <w:p w14:paraId="11C705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图书馆文献与领域专家支持：团队与校图书馆采编咨询团队建立了定点沟通机制，深入调研了现行图书馆编目数据库结构，获取了脱敏后的计算机学科测试馆藏清单，确保推荐算法能够无缝融入图书馆业务真实土壤。</w:t>
      </w:r>
    </w:p>
    <w:p w14:paraId="3F31FD45">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4E5E73D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20F5BE9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4" w:name="_Toc5797"/>
      <w:r>
        <w:rPr>
          <w:rFonts w:hint="eastAsia" w:ascii="黑体" w:hAnsi="黑体" w:eastAsia="黑体" w:cs="黑体"/>
          <w:b w:val="0"/>
          <w:bCs/>
          <w:color w:val="000000"/>
          <w:kern w:val="0"/>
          <w:sz w:val="30"/>
        </w:rPr>
        <w:t>第十章 项目实施进度计划与里程碑管理</w:t>
      </w:r>
      <w:bookmarkEnd w:id="34"/>
    </w:p>
    <w:p w14:paraId="72E15AC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本项目按照严格的现代敏捷项目管理方法推进，整个研发生命周期规划为三大阶段、八个精细化里程碑（MVP 0 至 MVP 7），并在实践中圆满兑现了全部研发目标。</w:t>
      </w:r>
    </w:p>
    <w:p w14:paraId="1696D01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书途智启项目的整体研发与推进周期规划为 12 个月（2026 年 4 月至 2027 年 4 月），整体分为三个循序渐进、紧密衔接的推进阶段：</w:t>
      </w:r>
    </w:p>
    <w:p w14:paraId="1D9456D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第一阶段为基础筹备与架构打底阶段（第 1 至 4 个月，2026.04-2026.07），重点攻坚 MVP 0 基础设施与 MVP 1 基础管道两大里程碑。项目组首先针对高校师生选书与借阅痛点展开多轮深度调研，论证并确立了以 FastAPI、Vue 3、PostgreSQL 16 与 Chroma 为核心的全栈现代技术选型；同时完成了后端脚手架搭建，落地了包含全文件指纹去重、ISBN-13 标准格式转换在内的自动化 Excel 清洗流水线，并基于 Argon2id 和 JWT HS256 构筑了严密的安全鉴权基石。该阶段顺利实现架构全面落成与基础鉴权贯通，数据清洗去重校验准确率达到了 100%。</w:t>
      </w:r>
    </w:p>
    <w:p w14:paraId="4325774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第二阶段为核心算法与业务突破阶段（第 5 至 8 个月，2026.08-2026.11），聚焦攻关 MVP 2 六维推荐、MVP 3 向量检索以及 MVP 4 学习路径三大核心里程碑。团队实现了基于 BGE-zh 模型的文本密集向量化与 Chroma 向量数据库索引构建，深度研发并落地了六维量化数学加权评分模型与大模型语义上下文精排机制；独创了“基础入门-核心进阶-项目实践”三阶段知识图谱研习路径通关算法，并上线了能够异步抽取事实、动态自适应调节读者难度偏好的 ProfileMemory 记忆中枢。在此阶段，系统端到端交互响应控制在 2 秒以内，推荐意图满意命中率实测突破 88.4%，三阶段学习路径逻辑分桶清晰严密。</w:t>
      </w:r>
    </w:p>
    <w:p w14:paraId="0C9918B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第三阶段为系统加固与示范推广阶段（第 9 至 12 个月，2026.12-2027.04），集中冲刺 MVP 5 流式渲染、MVP 6 运营中台及 MVP 7 容器加固等工程收官任务。系统全面上线了基于 SSE 协议的逐字推流打字机交互，完成面向图书采编馆员的 AI 多标签协同审核中台与实时运营数据看板研发；完成了全量服务的 Docker Compose 容器化编排封装，并高标准通过了断网无密钥状态下的全链路多级容错降级压测。最终阶段全面达成全栈服务一键拉起部署、多级降级平滑切换，并顺利完成完整项目结项总结报告编制与计算机软件著作权申报材料整理，为高校智慧图书馆的常态化示范落地奠定了坚实基础。</w:t>
      </w:r>
    </w:p>
    <w:p w14:paraId="240A8E5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6BE75EC">
      <w:pPr>
        <w:spacing w:after="120"/>
        <w:rPr>
          <w:rFonts w:hint="eastAsia" w:eastAsia="宋体"/>
          <w:lang w:eastAsia="zh-CN"/>
        </w:rPr>
      </w:pPr>
      <w:bookmarkStart w:id="40" w:name="_GoBack"/>
      <w:r>
        <w:rPr>
          <w:rFonts w:hint="eastAsia" w:eastAsia="宋体"/>
          <w:lang w:eastAsia="zh-CN"/>
        </w:rPr>
        <w:drawing>
          <wp:inline distT="0" distB="0" distL="114300" distR="114300">
            <wp:extent cx="5971540" cy="3257550"/>
            <wp:effectExtent l="0" t="0" r="10160" b="6350"/>
            <wp:docPr id="11" name="图片 11" descr="Gemini_Generated_Image_lab6o3lab6o3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emini_Generated_Image_lab6o3lab6o3lab6"/>
                    <pic:cNvPicPr>
                      <a:picLocks noChangeAspect="1"/>
                    </pic:cNvPicPr>
                  </pic:nvPicPr>
                  <pic:blipFill>
                    <a:blip r:embed="rId14"/>
                    <a:stretch>
                      <a:fillRect/>
                    </a:stretch>
                  </pic:blipFill>
                  <pic:spPr>
                    <a:xfrm>
                      <a:off x="0" y="0"/>
                      <a:ext cx="5971540" cy="3257550"/>
                    </a:xfrm>
                    <a:prstGeom prst="rect">
                      <a:avLst/>
                    </a:prstGeom>
                  </pic:spPr>
                </pic:pic>
              </a:graphicData>
            </a:graphic>
          </wp:inline>
        </w:drawing>
      </w:r>
      <w:bookmarkEnd w:id="40"/>
    </w:p>
    <w:p w14:paraId="093840CB">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图10-1 12个月发展规划</w:t>
      </w:r>
    </w:p>
    <w:p w14:paraId="54743757">
      <w:pP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br w:type="page"/>
      </w:r>
    </w:p>
    <w:p w14:paraId="4B3DE65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p>
    <w:p w14:paraId="296E67E8">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5" w:name="_Toc20554"/>
      <w:r>
        <w:rPr>
          <w:rFonts w:hint="eastAsia" w:ascii="黑体" w:hAnsi="黑体" w:eastAsia="黑体" w:cs="黑体"/>
          <w:b w:val="0"/>
          <w:bCs/>
          <w:color w:val="000000"/>
          <w:kern w:val="0"/>
          <w:sz w:val="30"/>
        </w:rPr>
        <w:t>第十一章 经费预算分配、成本控制与财务可行性</w:t>
      </w:r>
      <w:bookmarkEnd w:id="35"/>
    </w:p>
    <w:p w14:paraId="083B195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6" w:name="_Toc24799"/>
      <w:r>
        <w:rPr>
          <w:rFonts w:ascii="Times New Roman" w:hAnsi="Times New Roman" w:eastAsia="黑体"/>
          <w:b w:val="0"/>
          <w:bCs/>
          <w:color w:val="000000"/>
          <w:kern w:val="0"/>
          <w:sz w:val="28"/>
        </w:rPr>
        <w:t>11.1 项目经费预算细目编制表（以首期 5,000 元为例）</w:t>
      </w:r>
      <w:bookmarkEnd w:id="36"/>
    </w:p>
    <w:p w14:paraId="1B38E9A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针对高校大学生创新创业立项资金支持，团队制定了极其审慎、务实、高效的资金分配方案，确保每一分经费用在关键刀刃上：</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928"/>
        <w:gridCol w:w="1417"/>
        <w:gridCol w:w="1020"/>
        <w:gridCol w:w="4422"/>
      </w:tblGrid>
      <w:tr w14:paraId="5EC1A193">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9B84BA7">
            <w:pPr>
              <w:spacing w:before="100" w:after="100"/>
              <w:jc w:val="center"/>
              <w:rPr>
                <w:color w:val="auto"/>
                <w:sz w:val="21"/>
                <w:szCs w:val="21"/>
              </w:rPr>
            </w:pPr>
            <w:r>
              <w:rPr>
                <w:rFonts w:ascii="黑体" w:hAnsi="黑体" w:eastAsia="黑体"/>
                <w:b/>
                <w:i w:val="0"/>
                <w:color w:val="auto"/>
                <w:sz w:val="21"/>
                <w:szCs w:val="21"/>
              </w:rPr>
              <w:t>预算支出科目</w:t>
            </w:r>
          </w:p>
        </w:tc>
        <w:tc>
          <w:tcPr>
            <w:tcW w:w="141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CEB8304">
            <w:pPr>
              <w:spacing w:before="100" w:after="100"/>
              <w:jc w:val="center"/>
              <w:rPr>
                <w:color w:val="auto"/>
                <w:sz w:val="21"/>
                <w:szCs w:val="21"/>
              </w:rPr>
            </w:pPr>
            <w:r>
              <w:rPr>
                <w:rFonts w:ascii="黑体" w:hAnsi="黑体" w:eastAsia="黑体"/>
                <w:b/>
                <w:i w:val="0"/>
                <w:color w:val="auto"/>
                <w:sz w:val="21"/>
                <w:szCs w:val="21"/>
              </w:rPr>
              <w:t>预算金额 (元)</w:t>
            </w:r>
          </w:p>
        </w:tc>
        <w:tc>
          <w:tcPr>
            <w:tcW w:w="1020"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E19EBD5">
            <w:pPr>
              <w:spacing w:before="100" w:after="100"/>
              <w:jc w:val="center"/>
              <w:rPr>
                <w:color w:val="auto"/>
                <w:sz w:val="21"/>
                <w:szCs w:val="21"/>
              </w:rPr>
            </w:pPr>
            <w:r>
              <w:rPr>
                <w:rFonts w:ascii="黑体" w:hAnsi="黑体" w:eastAsia="黑体"/>
                <w:b/>
                <w:i w:val="0"/>
                <w:color w:val="auto"/>
                <w:sz w:val="21"/>
                <w:szCs w:val="21"/>
              </w:rPr>
              <w:t>占比 (%)</w:t>
            </w:r>
          </w:p>
        </w:tc>
        <w:tc>
          <w:tcPr>
            <w:tcW w:w="4422"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024FE92">
            <w:pPr>
              <w:spacing w:before="100" w:after="100"/>
              <w:jc w:val="center"/>
              <w:rPr>
                <w:color w:val="auto"/>
                <w:sz w:val="21"/>
                <w:szCs w:val="21"/>
              </w:rPr>
            </w:pPr>
            <w:r>
              <w:rPr>
                <w:rFonts w:ascii="黑体" w:hAnsi="黑体" w:eastAsia="黑体"/>
                <w:b/>
                <w:i w:val="0"/>
                <w:color w:val="auto"/>
                <w:sz w:val="21"/>
                <w:szCs w:val="21"/>
              </w:rPr>
              <w:t>详细开支内容与测算测算依据说明</w:t>
            </w:r>
          </w:p>
        </w:tc>
      </w:tr>
      <w:tr w14:paraId="6F36A4F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6AC68E9">
            <w:pPr>
              <w:spacing w:before="80" w:after="80" w:line="276" w:lineRule="auto"/>
              <w:rPr>
                <w:color w:val="auto"/>
                <w:sz w:val="21"/>
                <w:szCs w:val="21"/>
              </w:rPr>
            </w:pPr>
            <w:r>
              <w:rPr>
                <w:rFonts w:ascii="宋体" w:hAnsi="宋体" w:eastAsia="宋体"/>
                <w:b/>
                <w:i w:val="0"/>
                <w:color w:val="auto"/>
                <w:sz w:val="21"/>
                <w:szCs w:val="21"/>
              </w:rPr>
              <w:t>设备维护与测试算力费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3C4BDF22">
            <w:pPr>
              <w:spacing w:before="80" w:after="80" w:line="276" w:lineRule="auto"/>
              <w:rPr>
                <w:color w:val="auto"/>
                <w:sz w:val="21"/>
                <w:szCs w:val="21"/>
              </w:rPr>
            </w:pPr>
            <w:r>
              <w:rPr>
                <w:rFonts w:ascii="宋体" w:hAnsi="宋体" w:eastAsia="宋体"/>
                <w:b w:val="0"/>
                <w:i w:val="0"/>
                <w:color w:val="auto"/>
                <w:sz w:val="21"/>
                <w:szCs w:val="21"/>
              </w:rPr>
              <w:t>1,800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6FA01DB5">
            <w:pPr>
              <w:spacing w:before="80" w:after="80" w:line="276" w:lineRule="auto"/>
              <w:rPr>
                <w:color w:val="auto"/>
                <w:sz w:val="21"/>
                <w:szCs w:val="21"/>
              </w:rPr>
            </w:pPr>
            <w:r>
              <w:rPr>
                <w:rFonts w:ascii="宋体" w:hAnsi="宋体" w:eastAsia="宋体"/>
                <w:b w:val="0"/>
                <w:i w:val="0"/>
                <w:color w:val="auto"/>
                <w:sz w:val="21"/>
                <w:szCs w:val="21"/>
              </w:rPr>
              <w:t>36.0%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5D0EFA79">
            <w:pPr>
              <w:spacing w:before="80" w:after="80" w:line="276" w:lineRule="auto"/>
              <w:rPr>
                <w:color w:val="auto"/>
                <w:sz w:val="21"/>
                <w:szCs w:val="21"/>
              </w:rPr>
            </w:pPr>
            <w:r>
              <w:rPr>
                <w:rFonts w:ascii="宋体" w:hAnsi="宋体" w:eastAsia="宋体"/>
                <w:b w:val="0"/>
                <w:i w:val="0"/>
                <w:color w:val="auto"/>
                <w:sz w:val="21"/>
                <w:szCs w:val="21"/>
              </w:rPr>
              <w:t>用于模型微调实验、RAG 向量数据库云服务器租赁及 GPU 算力资源实例租用，保障模型调试性能</w:t>
            </w:r>
          </w:p>
        </w:tc>
      </w:tr>
      <w:tr w14:paraId="4EEB5A2A">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184C7B41">
            <w:pPr>
              <w:spacing w:before="80" w:after="80" w:line="276" w:lineRule="auto"/>
              <w:rPr>
                <w:color w:val="auto"/>
                <w:sz w:val="21"/>
                <w:szCs w:val="21"/>
              </w:rPr>
            </w:pPr>
            <w:r>
              <w:rPr>
                <w:rFonts w:ascii="宋体" w:hAnsi="宋体" w:eastAsia="宋体"/>
                <w:b/>
                <w:i w:val="0"/>
                <w:color w:val="auto"/>
                <w:sz w:val="21"/>
                <w:szCs w:val="21"/>
              </w:rPr>
              <w:t>专用设备及存储耗材</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6EBC0FF2">
            <w:pPr>
              <w:spacing w:before="80" w:after="80" w:line="276" w:lineRule="auto"/>
              <w:rPr>
                <w:color w:val="auto"/>
                <w:sz w:val="21"/>
                <w:szCs w:val="21"/>
              </w:rPr>
            </w:pPr>
            <w:r>
              <w:rPr>
                <w:rFonts w:ascii="宋体" w:hAnsi="宋体" w:eastAsia="宋体"/>
                <w:b w:val="0"/>
                <w:i w:val="0"/>
                <w:color w:val="auto"/>
                <w:sz w:val="21"/>
                <w:szCs w:val="21"/>
              </w:rPr>
              <w:t>600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7ECAA622">
            <w:pPr>
              <w:spacing w:before="80" w:after="80" w:line="276" w:lineRule="auto"/>
              <w:rPr>
                <w:color w:val="auto"/>
                <w:sz w:val="21"/>
                <w:szCs w:val="21"/>
              </w:rPr>
            </w:pPr>
            <w:r>
              <w:rPr>
                <w:rFonts w:ascii="宋体" w:hAnsi="宋体" w:eastAsia="宋体"/>
                <w:b w:val="0"/>
                <w:i w:val="0"/>
                <w:color w:val="auto"/>
                <w:sz w:val="21"/>
                <w:szCs w:val="21"/>
              </w:rPr>
              <w:t>12.0%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383D52FE">
            <w:pPr>
              <w:spacing w:before="80" w:after="80" w:line="276" w:lineRule="auto"/>
              <w:rPr>
                <w:color w:val="auto"/>
                <w:sz w:val="21"/>
                <w:szCs w:val="21"/>
              </w:rPr>
            </w:pPr>
            <w:r>
              <w:rPr>
                <w:rFonts w:ascii="宋体" w:hAnsi="宋体" w:eastAsia="宋体"/>
                <w:b w:val="0"/>
                <w:i w:val="0"/>
                <w:color w:val="auto"/>
                <w:sz w:val="21"/>
                <w:szCs w:val="21"/>
              </w:rPr>
              <w:t>采购项目研发专用的移动固态存储硬盘、测试读写设备及小微物联网外设，用于代码离线备份与实机演示</w:t>
            </w:r>
          </w:p>
        </w:tc>
      </w:tr>
      <w:tr w14:paraId="55BDD100">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32FDF973">
            <w:pPr>
              <w:spacing w:before="80" w:after="80" w:line="276" w:lineRule="auto"/>
              <w:rPr>
                <w:color w:val="auto"/>
                <w:sz w:val="21"/>
                <w:szCs w:val="21"/>
              </w:rPr>
            </w:pPr>
            <w:r>
              <w:rPr>
                <w:rFonts w:ascii="宋体" w:hAnsi="宋体" w:eastAsia="宋体"/>
                <w:b/>
                <w:i w:val="0"/>
                <w:color w:val="auto"/>
                <w:sz w:val="21"/>
                <w:szCs w:val="21"/>
              </w:rPr>
              <w:t>专业图书资料费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00C43003">
            <w:pPr>
              <w:spacing w:before="80" w:after="80" w:line="276" w:lineRule="auto"/>
              <w:rPr>
                <w:color w:val="auto"/>
                <w:sz w:val="21"/>
                <w:szCs w:val="21"/>
              </w:rPr>
            </w:pPr>
            <w:r>
              <w:rPr>
                <w:rFonts w:ascii="宋体" w:hAnsi="宋体" w:eastAsia="宋体"/>
                <w:b w:val="0"/>
                <w:i w:val="0"/>
                <w:color w:val="auto"/>
                <w:sz w:val="21"/>
                <w:szCs w:val="21"/>
              </w:rPr>
              <w:t>500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2D2DACC8">
            <w:pPr>
              <w:spacing w:before="80" w:after="80" w:line="276" w:lineRule="auto"/>
              <w:rPr>
                <w:color w:val="auto"/>
                <w:sz w:val="21"/>
                <w:szCs w:val="21"/>
              </w:rPr>
            </w:pPr>
            <w:r>
              <w:rPr>
                <w:rFonts w:ascii="宋体" w:hAnsi="宋体" w:eastAsia="宋体"/>
                <w:b w:val="0"/>
                <w:i w:val="0"/>
                <w:color w:val="auto"/>
                <w:sz w:val="21"/>
                <w:szCs w:val="21"/>
              </w:rPr>
              <w:t>10.0%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2A727587">
            <w:pPr>
              <w:spacing w:before="80" w:after="80" w:line="276" w:lineRule="auto"/>
              <w:rPr>
                <w:color w:val="auto"/>
                <w:sz w:val="21"/>
                <w:szCs w:val="21"/>
              </w:rPr>
            </w:pPr>
            <w:r>
              <w:rPr>
                <w:rFonts w:ascii="宋体" w:hAnsi="宋体" w:eastAsia="宋体"/>
                <w:b w:val="0"/>
                <w:i w:val="0"/>
                <w:color w:val="auto"/>
                <w:sz w:val="21"/>
                <w:szCs w:val="21"/>
              </w:rPr>
              <w:t>采购大模型微调、RAG 架构优化、现代图书情报学与算法推荐相关权威学术专著，支撑前沿方案论证</w:t>
            </w:r>
          </w:p>
        </w:tc>
      </w:tr>
      <w:tr w14:paraId="3B7D80DB">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59A2F682">
            <w:pPr>
              <w:spacing w:before="80" w:after="80" w:line="276" w:lineRule="auto"/>
              <w:rPr>
                <w:color w:val="auto"/>
                <w:sz w:val="21"/>
                <w:szCs w:val="21"/>
              </w:rPr>
            </w:pPr>
            <w:r>
              <w:rPr>
                <w:rFonts w:ascii="宋体" w:hAnsi="宋体" w:eastAsia="宋体"/>
                <w:b/>
                <w:i w:val="0"/>
                <w:color w:val="auto"/>
                <w:sz w:val="21"/>
                <w:szCs w:val="21"/>
              </w:rPr>
              <w:t>交通住宿与调研差旅</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75EA1DC6">
            <w:pPr>
              <w:spacing w:before="80" w:after="80" w:line="276" w:lineRule="auto"/>
              <w:rPr>
                <w:color w:val="auto"/>
                <w:sz w:val="21"/>
                <w:szCs w:val="21"/>
              </w:rPr>
            </w:pPr>
            <w:r>
              <w:rPr>
                <w:rFonts w:ascii="宋体" w:hAnsi="宋体" w:eastAsia="宋体"/>
                <w:b w:val="0"/>
                <w:i w:val="0"/>
                <w:color w:val="auto"/>
                <w:sz w:val="21"/>
                <w:szCs w:val="21"/>
              </w:rPr>
              <w:t>500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3B9876DE">
            <w:pPr>
              <w:spacing w:before="80" w:after="80" w:line="276" w:lineRule="auto"/>
              <w:rPr>
                <w:color w:val="auto"/>
                <w:sz w:val="21"/>
                <w:szCs w:val="21"/>
              </w:rPr>
            </w:pPr>
            <w:r>
              <w:rPr>
                <w:rFonts w:ascii="宋体" w:hAnsi="宋体" w:eastAsia="宋体"/>
                <w:b w:val="0"/>
                <w:i w:val="0"/>
                <w:color w:val="auto"/>
                <w:sz w:val="21"/>
                <w:szCs w:val="21"/>
              </w:rPr>
              <w:t>10.0%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434CE3C2">
            <w:pPr>
              <w:spacing w:before="80" w:after="80" w:line="276" w:lineRule="auto"/>
              <w:rPr>
                <w:color w:val="auto"/>
                <w:sz w:val="21"/>
                <w:szCs w:val="21"/>
              </w:rPr>
            </w:pPr>
            <w:r>
              <w:rPr>
                <w:rFonts w:ascii="宋体" w:hAnsi="宋体" w:eastAsia="宋体"/>
                <w:b w:val="0"/>
                <w:i w:val="0"/>
                <w:color w:val="auto"/>
                <w:sz w:val="21"/>
                <w:szCs w:val="21"/>
              </w:rPr>
              <w:t>前往上海及长三角兄弟高校图书馆开展现场走访调研，交流学习先进智慧图书馆建设经验与接口规范</w:t>
            </w:r>
          </w:p>
        </w:tc>
      </w:tr>
      <w:tr w14:paraId="16783E6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1479" w:hRule="atLeast"/>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347947A">
            <w:pPr>
              <w:spacing w:before="80" w:after="80" w:line="276" w:lineRule="auto"/>
              <w:rPr>
                <w:color w:val="auto"/>
                <w:sz w:val="21"/>
                <w:szCs w:val="21"/>
              </w:rPr>
            </w:pPr>
            <w:r>
              <w:rPr>
                <w:rFonts w:ascii="宋体" w:hAnsi="宋体" w:eastAsia="宋体"/>
                <w:b/>
                <w:i w:val="0"/>
                <w:color w:val="auto"/>
                <w:sz w:val="21"/>
                <w:szCs w:val="21"/>
              </w:rPr>
              <w:t>实验测试材料费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482E892C">
            <w:pPr>
              <w:spacing w:before="80" w:after="80" w:line="276" w:lineRule="auto"/>
              <w:rPr>
                <w:color w:val="auto"/>
                <w:sz w:val="21"/>
                <w:szCs w:val="21"/>
              </w:rPr>
            </w:pPr>
            <w:r>
              <w:rPr>
                <w:rFonts w:ascii="宋体" w:hAnsi="宋体" w:eastAsia="宋体"/>
                <w:b w:val="0"/>
                <w:i w:val="0"/>
                <w:color w:val="auto"/>
                <w:sz w:val="21"/>
                <w:szCs w:val="21"/>
              </w:rPr>
              <w:t>400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4871071D">
            <w:pPr>
              <w:spacing w:before="80" w:after="80" w:line="276" w:lineRule="auto"/>
              <w:rPr>
                <w:color w:val="auto"/>
                <w:sz w:val="21"/>
                <w:szCs w:val="21"/>
              </w:rPr>
            </w:pPr>
            <w:r>
              <w:rPr>
                <w:rFonts w:ascii="宋体" w:hAnsi="宋体" w:eastAsia="宋体"/>
                <w:b w:val="0"/>
                <w:i w:val="0"/>
                <w:color w:val="auto"/>
                <w:sz w:val="21"/>
                <w:szCs w:val="21"/>
              </w:rPr>
              <w:t>8.0%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52ADD42D">
            <w:pPr>
              <w:spacing w:before="80" w:after="80" w:line="276" w:lineRule="auto"/>
              <w:rPr>
                <w:color w:val="auto"/>
                <w:sz w:val="21"/>
                <w:szCs w:val="21"/>
              </w:rPr>
            </w:pPr>
            <w:r>
              <w:rPr>
                <w:rFonts w:ascii="宋体" w:hAnsi="宋体" w:eastAsia="宋体"/>
                <w:b w:val="0"/>
                <w:i w:val="0"/>
                <w:color w:val="auto"/>
                <w:sz w:val="21"/>
                <w:szCs w:val="21"/>
              </w:rPr>
              <w:t>用于大语言模型 API 接口高并发压力测试调用额度采购、数据集清洗标引第三方校验工具费用</w:t>
            </w:r>
          </w:p>
        </w:tc>
      </w:tr>
      <w:tr w14:paraId="57F008F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1279" w:hRule="atLeast"/>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761AD8CE">
            <w:pPr>
              <w:spacing w:before="80" w:after="80" w:line="276" w:lineRule="auto"/>
              <w:rPr>
                <w:color w:val="auto"/>
                <w:sz w:val="21"/>
                <w:szCs w:val="21"/>
              </w:rPr>
            </w:pPr>
            <w:r>
              <w:rPr>
                <w:rFonts w:ascii="宋体" w:hAnsi="宋体" w:eastAsia="宋体"/>
                <w:b/>
                <w:i w:val="0"/>
                <w:color w:val="auto"/>
                <w:sz w:val="21"/>
                <w:szCs w:val="21"/>
              </w:rPr>
              <w:t>印刷与成果出版费</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762D1F1D">
            <w:pPr>
              <w:spacing w:before="80" w:after="80" w:line="276" w:lineRule="auto"/>
              <w:rPr>
                <w:color w:val="auto"/>
                <w:sz w:val="21"/>
                <w:szCs w:val="21"/>
              </w:rPr>
            </w:pPr>
            <w:r>
              <w:rPr>
                <w:rFonts w:ascii="宋体" w:hAnsi="宋体" w:eastAsia="宋体"/>
                <w:b w:val="0"/>
                <w:i w:val="0"/>
                <w:color w:val="auto"/>
                <w:sz w:val="21"/>
                <w:szCs w:val="21"/>
              </w:rPr>
              <w:t>300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145F7302">
            <w:pPr>
              <w:spacing w:before="80" w:after="80" w:line="276" w:lineRule="auto"/>
              <w:rPr>
                <w:color w:val="auto"/>
                <w:sz w:val="21"/>
                <w:szCs w:val="21"/>
              </w:rPr>
            </w:pPr>
            <w:r>
              <w:rPr>
                <w:rFonts w:ascii="宋体" w:hAnsi="宋体" w:eastAsia="宋体"/>
                <w:b w:val="0"/>
                <w:i w:val="0"/>
                <w:color w:val="auto"/>
                <w:sz w:val="21"/>
                <w:szCs w:val="21"/>
              </w:rPr>
              <w:t>6.0%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7629F1DD">
            <w:pPr>
              <w:spacing w:before="80" w:after="80" w:line="276" w:lineRule="auto"/>
              <w:rPr>
                <w:color w:val="auto"/>
                <w:sz w:val="21"/>
                <w:szCs w:val="21"/>
              </w:rPr>
            </w:pPr>
            <w:r>
              <w:rPr>
                <w:rFonts w:ascii="宋体" w:hAnsi="宋体" w:eastAsia="宋体"/>
                <w:b w:val="0"/>
                <w:i w:val="0"/>
                <w:color w:val="auto"/>
                <w:sz w:val="21"/>
                <w:szCs w:val="21"/>
              </w:rPr>
              <w:t>项目立项报告、学术中期总结、测试评测分析报告、成果展示画册及答辩 PPT 演示手册的高清装订打印</w:t>
            </w:r>
          </w:p>
        </w:tc>
      </w:tr>
      <w:tr w14:paraId="77F919C2">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020443CB">
            <w:pPr>
              <w:spacing w:before="80" w:after="80" w:line="276" w:lineRule="auto"/>
              <w:rPr>
                <w:color w:val="auto"/>
                <w:sz w:val="21"/>
                <w:szCs w:val="21"/>
              </w:rPr>
            </w:pPr>
            <w:r>
              <w:rPr>
                <w:rFonts w:ascii="宋体" w:hAnsi="宋体" w:eastAsia="宋体"/>
                <w:b/>
                <w:i w:val="0"/>
                <w:color w:val="auto"/>
                <w:sz w:val="21"/>
                <w:szCs w:val="21"/>
              </w:rPr>
              <w:t>知识产权与成果宣传</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7CF4E127">
            <w:pPr>
              <w:spacing w:before="80" w:after="80" w:line="276" w:lineRule="auto"/>
              <w:rPr>
                <w:color w:val="auto"/>
                <w:sz w:val="21"/>
                <w:szCs w:val="21"/>
              </w:rPr>
            </w:pPr>
            <w:r>
              <w:rPr>
                <w:rFonts w:ascii="宋体" w:hAnsi="宋体" w:eastAsia="宋体"/>
                <w:b w:val="0"/>
                <w:i w:val="0"/>
                <w:color w:val="auto"/>
                <w:sz w:val="21"/>
                <w:szCs w:val="21"/>
              </w:rPr>
              <w:t>400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1A954470">
            <w:pPr>
              <w:spacing w:before="80" w:after="80" w:line="276" w:lineRule="auto"/>
              <w:rPr>
                <w:color w:val="auto"/>
                <w:sz w:val="21"/>
                <w:szCs w:val="21"/>
              </w:rPr>
            </w:pPr>
            <w:r>
              <w:rPr>
                <w:rFonts w:ascii="宋体" w:hAnsi="宋体" w:eastAsia="宋体"/>
                <w:b w:val="0"/>
                <w:i w:val="0"/>
                <w:color w:val="auto"/>
                <w:sz w:val="21"/>
                <w:szCs w:val="21"/>
              </w:rPr>
              <w:t>8.0%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0B148628">
            <w:pPr>
              <w:spacing w:before="80" w:after="80" w:line="276" w:lineRule="auto"/>
              <w:rPr>
                <w:color w:val="auto"/>
                <w:sz w:val="21"/>
                <w:szCs w:val="21"/>
              </w:rPr>
            </w:pPr>
            <w:r>
              <w:rPr>
                <w:rFonts w:ascii="宋体" w:hAnsi="宋体" w:eastAsia="宋体"/>
                <w:b w:val="0"/>
                <w:i w:val="0"/>
                <w:color w:val="auto"/>
                <w:sz w:val="21"/>
                <w:szCs w:val="21"/>
              </w:rPr>
              <w:t>用于小范围用户体验试用激励（读者文创礼品），以及软件著作权申请官方登记与审核手续费补贴</w:t>
            </w:r>
          </w:p>
        </w:tc>
      </w:tr>
      <w:tr w14:paraId="41BED8D9">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37A8EE9F">
            <w:pPr>
              <w:spacing w:before="80" w:after="80" w:line="276" w:lineRule="auto"/>
              <w:rPr>
                <w:color w:val="auto"/>
                <w:sz w:val="21"/>
                <w:szCs w:val="21"/>
              </w:rPr>
            </w:pPr>
            <w:r>
              <w:rPr>
                <w:rFonts w:ascii="宋体" w:hAnsi="宋体" w:eastAsia="宋体"/>
                <w:b/>
                <w:i w:val="0"/>
                <w:color w:val="auto"/>
                <w:sz w:val="21"/>
                <w:szCs w:val="21"/>
              </w:rPr>
              <w:t>办公用品与基础耗材</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005E9E08">
            <w:pPr>
              <w:spacing w:before="80" w:after="80" w:line="276" w:lineRule="auto"/>
              <w:rPr>
                <w:color w:val="auto"/>
                <w:sz w:val="21"/>
                <w:szCs w:val="21"/>
              </w:rPr>
            </w:pPr>
            <w:r>
              <w:rPr>
                <w:rFonts w:ascii="宋体" w:hAnsi="宋体" w:eastAsia="宋体"/>
                <w:b w:val="0"/>
                <w:i w:val="0"/>
                <w:color w:val="auto"/>
                <w:sz w:val="21"/>
                <w:szCs w:val="21"/>
              </w:rPr>
              <w:t>300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6ABA195A">
            <w:pPr>
              <w:spacing w:before="80" w:after="80" w:line="276" w:lineRule="auto"/>
              <w:rPr>
                <w:color w:val="auto"/>
                <w:sz w:val="21"/>
                <w:szCs w:val="21"/>
              </w:rPr>
            </w:pPr>
            <w:r>
              <w:rPr>
                <w:rFonts w:ascii="宋体" w:hAnsi="宋体" w:eastAsia="宋体"/>
                <w:b w:val="0"/>
                <w:i w:val="0"/>
                <w:color w:val="auto"/>
                <w:sz w:val="21"/>
                <w:szCs w:val="21"/>
              </w:rPr>
              <w:t>6.0%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569EA622">
            <w:pPr>
              <w:spacing w:before="80" w:after="80" w:line="276" w:lineRule="auto"/>
              <w:rPr>
                <w:color w:val="auto"/>
                <w:sz w:val="21"/>
                <w:szCs w:val="21"/>
              </w:rPr>
            </w:pPr>
            <w:r>
              <w:rPr>
                <w:rFonts w:ascii="宋体" w:hAnsi="宋体" w:eastAsia="宋体"/>
                <w:b w:val="0"/>
                <w:i w:val="0"/>
                <w:color w:val="auto"/>
                <w:sz w:val="21"/>
                <w:szCs w:val="21"/>
              </w:rPr>
              <w:t>日常研发研讨所需的白板笔、打印纸张、手写记录本、便签及日常办公耗材采购</w:t>
            </w:r>
          </w:p>
        </w:tc>
      </w:tr>
      <w:tr w14:paraId="0386B6C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D9FACC1">
            <w:pPr>
              <w:spacing w:before="80" w:after="80" w:line="276" w:lineRule="auto"/>
              <w:rPr>
                <w:color w:val="auto"/>
                <w:sz w:val="21"/>
                <w:szCs w:val="21"/>
              </w:rPr>
            </w:pPr>
            <w:r>
              <w:rPr>
                <w:rFonts w:ascii="宋体" w:hAnsi="宋体" w:eastAsia="宋体"/>
                <w:b/>
                <w:i w:val="0"/>
                <w:color w:val="auto"/>
                <w:sz w:val="21"/>
                <w:szCs w:val="21"/>
              </w:rPr>
              <w:t>专业培训与学术会议</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15E3F4FE">
            <w:pPr>
              <w:spacing w:before="80" w:after="80" w:line="276" w:lineRule="auto"/>
              <w:rPr>
                <w:color w:val="auto"/>
                <w:sz w:val="21"/>
                <w:szCs w:val="21"/>
              </w:rPr>
            </w:pPr>
            <w:r>
              <w:rPr>
                <w:rFonts w:ascii="宋体" w:hAnsi="宋体" w:eastAsia="宋体"/>
                <w:b w:val="0"/>
                <w:i w:val="0"/>
                <w:color w:val="auto"/>
                <w:sz w:val="21"/>
                <w:szCs w:val="21"/>
              </w:rPr>
              <w:t>200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375614F1">
            <w:pPr>
              <w:spacing w:before="80" w:after="80" w:line="276" w:lineRule="auto"/>
              <w:rPr>
                <w:color w:val="auto"/>
                <w:sz w:val="21"/>
                <w:szCs w:val="21"/>
              </w:rPr>
            </w:pPr>
            <w:r>
              <w:rPr>
                <w:rFonts w:ascii="宋体" w:hAnsi="宋体" w:eastAsia="宋体"/>
                <w:b w:val="0"/>
                <w:i w:val="0"/>
                <w:color w:val="auto"/>
                <w:sz w:val="21"/>
                <w:szCs w:val="21"/>
              </w:rPr>
              <w:t>4.0%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387852A2">
            <w:pPr>
              <w:spacing w:before="80" w:after="80" w:line="276" w:lineRule="auto"/>
              <w:rPr>
                <w:color w:val="auto"/>
                <w:sz w:val="21"/>
                <w:szCs w:val="21"/>
              </w:rPr>
            </w:pPr>
            <w:r>
              <w:rPr>
                <w:rFonts w:ascii="宋体" w:hAnsi="宋体" w:eastAsia="宋体"/>
                <w:b w:val="0"/>
                <w:i w:val="0"/>
                <w:color w:val="auto"/>
                <w:sz w:val="21"/>
                <w:szCs w:val="21"/>
              </w:rPr>
              <w:t>参与高校数字化建设、大模型垂直应用开发者技术沙龙及学术线上专题研讨培训会注册费</w:t>
            </w:r>
          </w:p>
        </w:tc>
      </w:tr>
      <w:tr w14:paraId="6F152B3A">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568F4092">
            <w:pPr>
              <w:spacing w:before="80" w:after="80" w:line="276" w:lineRule="auto"/>
              <w:rPr>
                <w:color w:val="auto"/>
                <w:sz w:val="21"/>
                <w:szCs w:val="21"/>
              </w:rPr>
            </w:pPr>
            <w:r>
              <w:rPr>
                <w:rFonts w:ascii="宋体" w:hAnsi="宋体" w:eastAsia="宋体"/>
                <w:b/>
                <w:i w:val="0"/>
                <w:color w:val="auto"/>
                <w:sz w:val="21"/>
                <w:szCs w:val="21"/>
              </w:rPr>
              <w:t>合  计</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5964E563">
            <w:pPr>
              <w:spacing w:before="80" w:after="80" w:line="276" w:lineRule="auto"/>
              <w:rPr>
                <w:color w:val="auto"/>
                <w:sz w:val="21"/>
                <w:szCs w:val="21"/>
              </w:rPr>
            </w:pPr>
            <w:r>
              <w:rPr>
                <w:rFonts w:ascii="宋体" w:hAnsi="宋体" w:eastAsia="宋体"/>
                <w:b w:val="0"/>
                <w:i w:val="0"/>
                <w:color w:val="auto"/>
                <w:sz w:val="21"/>
                <w:szCs w:val="21"/>
              </w:rPr>
              <w:t>5,000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01576E87">
            <w:pPr>
              <w:spacing w:before="80" w:after="80" w:line="276" w:lineRule="auto"/>
              <w:rPr>
                <w:color w:val="auto"/>
                <w:sz w:val="21"/>
                <w:szCs w:val="21"/>
              </w:rPr>
            </w:pPr>
            <w:r>
              <w:rPr>
                <w:rFonts w:ascii="宋体" w:hAnsi="宋体" w:eastAsia="宋体"/>
                <w:b w:val="0"/>
                <w:i w:val="0"/>
                <w:color w:val="auto"/>
                <w:sz w:val="21"/>
                <w:szCs w:val="21"/>
              </w:rPr>
              <w:t>100.0%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40243050">
            <w:pPr>
              <w:spacing w:before="80" w:after="80" w:line="276" w:lineRule="auto"/>
              <w:rPr>
                <w:color w:val="auto"/>
                <w:sz w:val="21"/>
                <w:szCs w:val="21"/>
              </w:rPr>
            </w:pPr>
            <w:r>
              <w:rPr>
                <w:rFonts w:ascii="宋体" w:hAnsi="宋体" w:eastAsia="宋体"/>
                <w:b w:val="0"/>
                <w:i w:val="0"/>
                <w:color w:val="auto"/>
                <w:sz w:val="21"/>
                <w:szCs w:val="21"/>
              </w:rPr>
              <w:t>全流程经费分配合理合规，精打细算，资金利用效率最大化</w:t>
            </w:r>
          </w:p>
        </w:tc>
      </w:tr>
    </w:tbl>
    <w:p w14:paraId="29D72E1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 11-1 经费规划</w:t>
      </w:r>
    </w:p>
    <w:p w14:paraId="5EAED59B">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11.2 轻量化部署下的单校复制极低财务成本测算</w:t>
      </w:r>
    </w:p>
    <w:p w14:paraId="6F8F7BA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目前国内高校在引入大型商业信息化系统时，动辄面临数十万的采购费与每年数万元的沉重维护费。书途智启依托全栈开源与轻量化容器方案，为全国高校提供了一套“高能低耗”的典范。</w:t>
      </w:r>
    </w:p>
    <w:p w14:paraId="532D776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商业模式与部署经济性方面，书途智启展现出了极其亮眼的单校低成本极速复制能力。针对一所拥有两万名师生规模的普通高校，项目团队按照支撑高并发真实研习场景的标准，进行了全生命周期的生产级集群综合财务测算。首先在硬件基础设施方面，系统全栈服务采用轻量化容器编排技术，可直接复用高校现有的校园网闲置私有化虚拟服务器，硬件边际投入几乎为零；即使选购主流教育优惠云主机或轻量级计算节点，单校全年的硬件服务器开销也仅需约 800 至 1,500 元。其次在关键的大语言模型算力成本控制上，系统自主研发了前置精准意图分流、高压缩比提示词工程、动态语义缓存（Semantic Cache）以及本地确定性规则初筛机制，大幅削减了无效冗余调用，将外部大模型商业 API 的依赖频次压缩了 70% 以上，实测全年 Token 消耗总成本被严格锁定在 2,000 至 4,000 元的超低区间。最后在软件与知识产权层面，系统的前端单页应用、异步后端核心、PostgreSQL 16 关系数据库以及 Chroma 向量库均基于极具包容性的开源生态自主构建，不存在任何商业闭源许可绑定，软件永久授权费用为零。综合各项严格测算，高校仅需 8,000 至 12,000 元的首年综合启动资金，即可完整落地一套具备大模型智能体能力的现代化智慧推荐系统。相比动辄开销数十万元乃至数百万元的商业厂商重型系统改造方案，书途智启帮助校方直接节约了 95% 以上的初期资金投入与后期维保代价，展现出了无与伦比的财务可行性、普惠价值与推广复制潜力。</w:t>
      </w:r>
    </w:p>
    <w:p w14:paraId="4C1414C5">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343D45F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754E531">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7" w:name="_Toc9030"/>
      <w:r>
        <w:rPr>
          <w:rFonts w:hint="eastAsia" w:ascii="黑体" w:hAnsi="黑体" w:eastAsia="黑体" w:cs="黑体"/>
          <w:b w:val="0"/>
          <w:bCs/>
          <w:color w:val="000000"/>
          <w:kern w:val="0"/>
          <w:sz w:val="30"/>
        </w:rPr>
        <w:t>第十二章 经济效益、社会效益与商业化延伸</w:t>
      </w:r>
      <w:bookmarkEnd w:id="37"/>
    </w:p>
    <w:p w14:paraId="061BE390">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12.1 严谨扎实的经济效益模型推演</w:t>
      </w:r>
    </w:p>
    <w:p w14:paraId="7D27338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书途智启上线运行后，将从“消除读者借阅试错损耗、盘活高校沉睡文献资产、大幅提升学术检索生产力”三个维度创造极为显著的显性与隐性经济效益：</w:t>
      </w:r>
    </w:p>
    <w:p w14:paraId="37AFF1D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根除学生图书试错成本（年节约 14 万至 70 万元）：以单一高校计算机相关专业 2,000 名在校生为基准推演：在传统检索方式下，平均每名学生每学期会遇到 1 次“借回书才发现要么太深要么太浅并非所需”的错配，全系年无效借阅达到 4,000 次。单次无效借阅包含：文献物流错配损耗（折算 20 元）、往返书库奔波与翻阅筛选的时间损耗（折算 10 元）、逾期违约风险（折算 5 元），综合试错成本约 35 元/次。4,000次 × 35元 = 140,000 元/年！若推广至全校 10,000 名各院系读者，每年直接消除错配损失高达 70 万元。</w:t>
      </w:r>
    </w:p>
    <w:p w14:paraId="40F9220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盘活闲置图书固定资产（年激活流通价值 20 万至 100 万元）：目前图书馆“搜不准”导致大量精良学术专著常年闲置。书途智启通过精准的主动挖掘，平均带动每名学生每学期额外借阅一本高价值专著，年净增有效流通 4,000 册次。高校专业图书平均单价按 50 元计算，相当于盘活了原本面临折旧与纸张老化的 200,000 元馆藏资产；全校级推广则相当于年盘活 100 万元沉睡资产，极大提升了教育固定资产利用率。</w:t>
      </w:r>
    </w:p>
    <w:p w14:paraId="463DF5B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节约时间精力、提升学术生产力（年节约 3,600 至 18,000 小时）：传统检索模式下学生平均需花费 15 分钟逐本甄别网页列表。书途智启将精准选书时间压缩至 3 分钟内，单次节约 12 分钟。单专业按日均 50 次深度检索测算，年节约学习时间达：50次/天 × 12分钟 × 365天 = 3,650 小时；全校级应用每年节约 18,000 小时优质学术时间，转化效益不可估量。</w:t>
      </w:r>
    </w:p>
    <w:p w14:paraId="3C197A30">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12.2 深远的人文关怀与社会育人效益</w:t>
      </w:r>
    </w:p>
    <w:p w14:paraId="53CADEC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育人使命与社会价值层面，书途智启深度践行“因材施教”的现代教育理念，推动高校图书馆由被动借还的传统“藏书阁”，真正升华演进为滋养拔尖创新人才成长的“个性化第二课堂”。系统依托独创的“能力-难度动态自适应匹配”机制，打破了以往“千人一面”的机械检索束缚，确保处于不同学术起点的学子皆能借阅到“跳一跳便能够得着”的适读佳作——既帮助专业基础薄弱的初学者通过通俗读物重建求知自信、实现概念破冰，又为拔尖学子精准直推进阶经典专著以拓展学术前沿视野。更重要的是，系统为数字教育注入了深厚的人文关怀，成功塑造了一位有温度、有长期记忆的专属数字导师。它彻底摒弃了传统冰冷机械的单向检索框交互，能够敏锐洞悉读者的专业认知短板与学科断层，更在学子遭遇学习瓶颈、备考受挫或面临方向抉择的关键节点，给予温暖的共情鼓励与条理清晰的研习指引，切实缓解了青年大学生的学业焦虑与选书迷茫，在数字化转型浪潮中生动传递了智慧科技的温润温度与育人初心。</w:t>
      </w:r>
    </w:p>
    <w:p w14:paraId="2AC28AB7">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12.3 商业化模式探索与多校园推广路线</w:t>
      </w:r>
    </w:p>
    <w:p w14:paraId="65770E6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虽然项目以服务校园公益为立足点，但其出色的架构具备极为明确的商业化横向延伸潜力：</w:t>
      </w:r>
    </w:p>
    <w:p w14:paraId="047A6A8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其一为“智慧图书馆 SaaS / 私有化专有套件授权模式”，可将成熟的 Docker 镜像与管理中台向全国其他高职及本科高校推广，收取标准化部署与年度知识库运维费；其二为“新形态高校阅读社区增值模式”，在系统成熟后可引入高校文创衍生品联动、正版学术电子书一键购买分销分成等轻商业化闭环，实现社会效益与自我造血机制的双轮驱动。</w:t>
      </w:r>
    </w:p>
    <w:p w14:paraId="2716B37D">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719FD90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415A4774">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8" w:name="_Toc14736"/>
      <w:r>
        <w:rPr>
          <w:rFonts w:hint="eastAsia" w:ascii="黑体" w:hAnsi="黑体" w:eastAsia="黑体" w:cs="黑体"/>
          <w:b w:val="0"/>
          <w:bCs/>
          <w:color w:val="000000"/>
          <w:kern w:val="0"/>
          <w:sz w:val="30"/>
        </w:rPr>
        <w:t>第十三章 项目风险评估与应对防御策略</w:t>
      </w:r>
      <w:bookmarkEnd w:id="38"/>
    </w:p>
    <w:p w14:paraId="3F0C17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任何优秀的创新工程都必须经受复杂现实环境的考验。团队在研发全程前瞻预判了四大关键风险，并部署了密不透风的防御预案。</w:t>
      </w:r>
      <w:r>
        <w:rPr>
          <w:rFonts w:hint="eastAsia" w:ascii="Times New Roman" w:hAnsi="Times New Roman" w:eastAsia="宋体"/>
          <w:b w:val="0"/>
          <w:i w:val="0"/>
          <w:color w:val="000000"/>
          <w:kern w:val="0"/>
          <w:sz w:val="24"/>
          <w:lang w:eastAsia="zh-CN"/>
        </w:rPr>
        <w:br w:type="textWrapping"/>
      </w:r>
      <w:r>
        <w:rPr>
          <w:rFonts w:hint="eastAsia" w:ascii="Times New Roman" w:hAnsi="Times New Roman" w:eastAsia="宋体"/>
          <w:b w:val="0"/>
          <w:i w:val="0"/>
          <w:color w:val="000000"/>
          <w:kern w:val="0"/>
          <w:sz w:val="24"/>
          <w:lang w:eastAsia="zh-CN"/>
        </w:rPr>
        <w:t>为确保项目在工程研发、规模推广与实际运营过程中的稳健运行，书途智启团队针对技术、数据、隐私及运营四大潜在风险维度，制定了详尽周密的全套应对与阻断防御预案：</w:t>
      </w:r>
    </w:p>
    <w:p w14:paraId="4821F27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首先，在技术风险层面，针对外部第三方商业大模型 API 可能突发的严重网络超时、服务降级、并发超频限流（429）乃至突发宕机隐患（发生概率中等、潜在影响度高），系统研发并内建了全链路多级确定性降级链条。一旦感知到外部通信受阻，系统将在毫秒级内自动切换至本地六维量化数学评分引擎与基于已审核标签的动态模板拼接机制，确保前台推荐流水线服务零宕机、零中断，实现断网环境下的完全独立闭环。</w:t>
      </w:r>
    </w:p>
    <w:p w14:paraId="372D3DAA">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其次，在数据风险层面，针对未来在不同高校推广部署时面临的各校馆藏导出 Excel 字段缺失、字符编码混乱、缺少统一标准 ISBN 等异构数据兼容难题（发生概率中等、潜在影响度中等），系统的数据工程流水线深度集成了智能模糊列名映射机制与 ISBN 加权模校验容错修复算法，能够对 10 位老旧书号实现自动补齐转换，对破损脏数据进行隔离标记，全方位兼容全国主流图书管理系统（如汇文、金盘等）的数据导出规范。</w:t>
      </w:r>
    </w:p>
    <w:p w14:paraId="6EAA50A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第三，在隐私安全风险层面，针对学生在与 AI 馆员对话中流露出的个人学业短板、成绩困惑及借阅偏好可能面临的非授权泄露风险（发生概率极低、潜在影响度极高），项目坚决捍卫数据伦理底线。所有对话事实与长短期动态记忆资产严格加密固化于高校本地自建数据库，严禁任何形式的云端回传或商业倒卖；同时赋予学生绝对的“自主控制权”，提供物理级防覆写隐私锁及单条记忆一键擦除功能，全校借阅评测日志亦全面实行匿名化脱敏存储，从源头封堵隐私泄露隐患。</w:t>
      </w:r>
    </w:p>
    <w:p w14:paraId="7B4A022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宋体" w:hAnsi="宋体" w:eastAsia="宋体"/>
          <w:b w:val="0"/>
          <w:i w:val="0"/>
          <w:color w:val="auto"/>
          <w:sz w:val="22"/>
          <w:lang w:eastAsia="zh-CN"/>
        </w:rPr>
      </w:pPr>
      <w:r>
        <w:rPr>
          <w:rFonts w:hint="eastAsia" w:ascii="Times New Roman" w:hAnsi="Times New Roman" w:eastAsia="宋体"/>
          <w:b w:val="0"/>
          <w:i w:val="0"/>
          <w:color w:val="000000"/>
          <w:kern w:val="0"/>
          <w:sz w:val="24"/>
          <w:lang w:eastAsia="zh-CN"/>
        </w:rPr>
        <w:t>最后，在运营推广风险层面，针对系统上线初期学生知晓率不足、仍习惯于旧有机械检索范式、可能面临的交互冷启动与活跃度偏低挑战（发生概率中等、潜在影响度中等），团队规划了完善的人机协同落地运营策略。通过联合各院系辅导员体系、学生会学风建设部门开展“智慧科创导读周”系列主题宣讲，并依托系统内建的三阶段研习路径与通关成就勋章体系，举办“学术借阅通关打卡”等微型校园社群激励活动，以点带面迅速激活读者交互生态，构建起高黏性的数字化研习氛围</w:t>
      </w:r>
      <w:r>
        <w:rPr>
          <w:rFonts w:hint="eastAsia" w:ascii="宋体" w:hAnsi="宋体" w:eastAsia="宋体"/>
          <w:b w:val="0"/>
          <w:i w:val="0"/>
          <w:color w:val="auto"/>
          <w:sz w:val="22"/>
          <w:lang w:eastAsia="zh-CN"/>
        </w:rPr>
        <w:t>。</w:t>
      </w:r>
    </w:p>
    <w:p w14:paraId="62189752">
      <w:pPr>
        <w:spacing w:after="120" w:line="324" w:lineRule="auto"/>
        <w:ind w:firstLine="420"/>
        <w:rPr>
          <w:rFonts w:hint="eastAsia" w:eastAsia="宋体"/>
          <w:color w:val="auto"/>
          <w:lang w:eastAsia="zh-CN"/>
        </w:rPr>
      </w:pPr>
    </w:p>
    <w:p w14:paraId="00D1B423">
      <w:pPr>
        <w:spacing w:after="120"/>
        <w:rPr>
          <w:color w:val="auto"/>
        </w:rPr>
      </w:pPr>
    </w:p>
    <w:p w14:paraId="0F2FB4C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9" w:name="_Toc28773"/>
      <w:r>
        <w:rPr>
          <w:rFonts w:hint="eastAsia" w:ascii="黑体" w:hAnsi="黑体" w:eastAsia="黑体" w:cs="黑体"/>
          <w:b w:val="0"/>
          <w:bCs/>
          <w:color w:val="000000"/>
          <w:kern w:val="0"/>
          <w:sz w:val="30"/>
        </w:rPr>
        <w:t>第十四章 结语与项目申报承诺</w:t>
      </w:r>
      <w:bookmarkEnd w:id="39"/>
    </w:p>
    <w:p w14:paraId="61B976E4">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14.1 结语与未来愿景</w:t>
      </w:r>
    </w:p>
    <w:p w14:paraId="68BEE30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书籍是人类进步的阶梯，而当数字科技赋予这道阶梯以智慧的灵性，每一位勇攀高峰的学子都将走得更加踏实、从容、自信。</w:t>
      </w:r>
    </w:p>
    <w:p w14:paraId="413AF0B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“书途智启（BookPath AI）”诞生于当代高校的求真求美土壤中。它不仅是一套融合了 FastAPI、Vue 3、PostgreSQL、Chroma 与 DeepSeek 大模型的工业级全栈软件产品，更是一次青年大学生用前沿人工智能技术回馈母校、赋能同侪、探索教育公平与个性化成长的深情实践。我们坚信，伴随着系统的推广部署，高校图书馆沉睡的学术典藏将焕发前所未有的生机，广大学子也必将在 AI 导师的引领下，以书为途，智启未来，成长为担当民族复兴大任的时代栋梁！</w:t>
      </w:r>
    </w:p>
    <w:p w14:paraId="451016B6">
      <w:pPr>
        <w:spacing w:after="80"/>
        <w:rPr>
          <w:color w:val="auto"/>
        </w:rPr>
      </w:pPr>
    </w:p>
    <w:sectPr>
      <w:footerReference r:id="rId5" w:type="default"/>
      <w:pgSz w:w="12240" w:h="15840"/>
      <w:pgMar w:top="1440" w:right="1474" w:bottom="1440" w:left="1701" w:header="720" w:footer="720" w:gutter="0"/>
      <w:pgNumType w:fmt="numberInDash"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CC5BB">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9B2BA">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609B2BA">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846C6E5"/>
    <w:multiLevelType w:val="singleLevel"/>
    <w:tmpl w:val="6846C6E5"/>
    <w:lvl w:ilvl="0" w:tentative="0">
      <w:start w:val="1"/>
      <w:numFmt w:val="decimal"/>
      <w:lvlText w:val="%1."/>
      <w:lvlJc w:val="left"/>
      <w:pPr>
        <w:ind w:left="425" w:hanging="425"/>
      </w:pPr>
      <w:rPr>
        <w:rFonts w:hint="default"/>
      </w:rPr>
    </w:lvl>
  </w:abstractNum>
  <w:abstractNum w:abstractNumId="7">
    <w:nsid w:val="6BB6D39C"/>
    <w:multiLevelType w:val="singleLevel"/>
    <w:tmpl w:val="6BB6D39C"/>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C5AB6"/>
    <w:rsid w:val="3F2872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aptionCN"/>
    <w:qFormat/>
    <w:uiPriority w:val="0"/>
    <w:pPr>
      <w:widowControl/>
      <w:suppressAutoHyphens/>
      <w:bidi w:val="0"/>
      <w:spacing w:before="0" w:after="120" w:line="276" w:lineRule="auto"/>
      <w:ind w:firstLine="0"/>
      <w:jc w:val="center"/>
    </w:pPr>
    <w:rPr>
      <w:rFonts w:ascii="Times New Roman" w:hAnsi="Times New Roman" w:eastAsia="宋体" w:cstheme="minorBidi"/>
      <w:color w:val="auto"/>
      <w:kern w:val="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11050</Words>
  <Characters>12841</Characters>
  <Lines>0</Lines>
  <Paragraphs>0</Paragraphs>
  <TotalTime>20</TotalTime>
  <ScaleCrop>false</ScaleCrop>
  <LinksUpToDate>false</LinksUpToDate>
  <CharactersWithSpaces>13524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柒号</cp:lastModifiedBy>
  <dcterms:modified xsi:type="dcterms:W3CDTF">2026-09-06T12:26:16Z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eyJoZGlkIjoiNTQ2NDdkYzdmZGJkYWUyYjA2YmM3YjE2ZDIzN2I4ZjIiLCJ1c2VySWQiOiIxNjA3OTA0NDI3In0=</vt:lpwstr>
  </property>
  <property fmtid="{D5CDD505-2E9C-101B-9397-08002B2CF9AE}" pid="3" name="KSOProductBuildVer">
    <vt:lpwstr>2052-12.1.0.28505</vt:lpwstr>
  </property>
  <property fmtid="{D5CDD505-2E9C-101B-9397-08002B2CF9AE}" pid="4" name="ICV">
    <vt:lpwstr>BFDD2B2376664352877C5182BA580A83_12</vt:lpwstr>
  </property>
</Properties>
</file>