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BA0D5F">
      <w:pPr>
        <w:bidi w:val="0"/>
        <w:jc w:val="center"/>
        <w:rPr>
          <w:rFonts w:hint="eastAsia" w:ascii="黑体" w:hAnsi="黑体" w:eastAsia="黑体" w:cs="黑体"/>
          <w:sz w:val="48"/>
          <w:szCs w:val="48"/>
          <w:lang w:val="en-US" w:eastAsia="zh-CN"/>
        </w:rPr>
      </w:pPr>
      <w:bookmarkStart w:id="0" w:name="_Toc11903"/>
      <w:bookmarkStart w:id="1" w:name="_Toc24318"/>
      <w:r>
        <w:rPr>
          <w:rFonts w:hint="eastAsia" w:ascii="黑体" w:hAnsi="黑体" w:eastAsia="黑体" w:cs="黑体"/>
          <w:sz w:val="48"/>
          <w:szCs w:val="48"/>
          <w:lang w:val="en-US" w:eastAsia="zh-CN"/>
        </w:rPr>
        <w:t>中国国际大学生创新大赛</w:t>
      </w:r>
      <w:bookmarkEnd w:id="0"/>
      <w:bookmarkEnd w:id="1"/>
    </w:p>
    <w:p w14:paraId="1752788A">
      <w:pPr>
        <w:bidi w:val="0"/>
        <w:jc w:val="center"/>
        <w:rPr>
          <w:rFonts w:hint="eastAsia" w:ascii="黑体" w:hAnsi="黑体" w:eastAsia="黑体" w:cs="黑体"/>
          <w:sz w:val="15"/>
          <w:szCs w:val="15"/>
          <w:lang w:val="en-US" w:eastAsia="zh-CN"/>
        </w:rPr>
      </w:pPr>
    </w:p>
    <w:p w14:paraId="03B72EFE">
      <w:pPr>
        <w:bidi w:val="0"/>
        <w:jc w:val="center"/>
        <w:rPr>
          <w:rFonts w:hint="eastAsia" w:ascii="黑体" w:hAnsi="黑体" w:eastAsia="黑体" w:cs="黑体"/>
          <w:sz w:val="72"/>
          <w:szCs w:val="72"/>
          <w:lang w:val="en-US" w:eastAsia="zh-CN"/>
        </w:rPr>
      </w:pPr>
      <w:bookmarkStart w:id="2" w:name="_Toc28456"/>
      <w:bookmarkStart w:id="3" w:name="_Toc28022"/>
      <w:r>
        <w:rPr>
          <w:rFonts w:hint="eastAsia" w:ascii="黑体" w:hAnsi="黑体" w:eastAsia="黑体" w:cs="黑体"/>
          <w:sz w:val="72"/>
          <w:szCs w:val="72"/>
          <w:lang w:val="en-US" w:eastAsia="zh-CN"/>
        </w:rPr>
        <w:t>项目计划书</w:t>
      </w:r>
      <w:bookmarkEnd w:id="2"/>
      <w:bookmarkEnd w:id="3"/>
    </w:p>
    <w:p w14:paraId="358349A8">
      <w:pPr>
        <w:kinsoku w:val="0"/>
        <w:autoSpaceDE w:val="0"/>
        <w:autoSpaceDN w:val="0"/>
        <w:adjustRightInd w:val="0"/>
        <w:snapToGrid w:val="0"/>
        <w:spacing w:before="185" w:after="160" w:line="187" w:lineRule="auto"/>
        <w:jc w:val="both"/>
        <w:textAlignment w:val="baseline"/>
        <w:outlineLvl w:val="0"/>
        <w:rPr>
          <w:rFonts w:hint="default" w:ascii="微软雅黑" w:hAnsi="微软雅黑" w:eastAsia="微软雅黑" w:cs="微软雅黑"/>
          <w:b/>
          <w:bCs/>
          <w:snapToGrid w:val="0"/>
          <w:color w:val="000000"/>
          <w:spacing w:val="8"/>
          <w:sz w:val="43"/>
          <w:szCs w:val="43"/>
          <w:lang w:val="en-US" w:eastAsia="zh-CN"/>
        </w:rPr>
      </w:pPr>
    </w:p>
    <w:p w14:paraId="7DFC9938">
      <w:pPr>
        <w:kinsoku w:val="0"/>
        <w:autoSpaceDE w:val="0"/>
        <w:autoSpaceDN w:val="0"/>
        <w:adjustRightInd w:val="0"/>
        <w:snapToGrid w:val="0"/>
        <w:spacing w:before="185" w:after="160" w:line="187" w:lineRule="auto"/>
        <w:jc w:val="both"/>
        <w:textAlignment w:val="baseline"/>
        <w:outlineLvl w:val="0"/>
        <w:rPr>
          <w:rFonts w:hint="default" w:ascii="微软雅黑" w:hAnsi="微软雅黑" w:eastAsia="微软雅黑" w:cs="微软雅黑"/>
          <w:b/>
          <w:bCs/>
          <w:snapToGrid w:val="0"/>
          <w:color w:val="000000"/>
          <w:spacing w:val="8"/>
          <w:sz w:val="43"/>
          <w:szCs w:val="43"/>
          <w:lang w:val="en-US" w:eastAsia="zh-CN"/>
        </w:rPr>
      </w:pPr>
    </w:p>
    <w:p w14:paraId="1B0E85E4"/>
    <w:tbl>
      <w:tblPr>
        <w:tblStyle w:val="36"/>
        <w:tblW w:w="5042"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58"/>
        <w:gridCol w:w="6201"/>
      </w:tblGrid>
      <w:tr w14:paraId="63CA3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56" w:hRule="atLeast"/>
        </w:trPr>
        <w:tc>
          <w:tcPr>
            <w:tcW w:w="1687" w:type="pct"/>
            <w:shd w:val="clear" w:color="auto" w:fill="D7D7D7" w:themeFill="background1" w:themeFillShade="D8"/>
            <w:vAlign w:val="center"/>
          </w:tcPr>
          <w:p w14:paraId="1A339CE5">
            <w:pPr>
              <w:widowControl/>
              <w:suppressAutoHyphens/>
              <w:bidi w:val="0"/>
              <w:spacing w:before="0" w:after="0" w:line="240" w:lineRule="auto"/>
              <w:ind w:firstLine="723" w:firstLineChars="300"/>
              <w:jc w:val="left"/>
              <w:rPr>
                <w:rFonts w:hint="eastAsia" w:ascii="Times New Roman" w:hAnsi="Times New Roman" w:eastAsia="宋体"/>
                <w:b/>
                <w:color w:val="000000"/>
                <w:kern w:val="0"/>
                <w:sz w:val="24"/>
                <w:szCs w:val="24"/>
                <w:lang w:val="en-US" w:eastAsia="zh-CN"/>
              </w:rPr>
            </w:pPr>
            <w:r>
              <w:rPr>
                <w:rFonts w:hint="eastAsia" w:ascii="Times New Roman" w:hAnsi="Times New Roman" w:eastAsia="宋体"/>
                <w:b/>
                <w:color w:val="000000"/>
                <w:kern w:val="0"/>
                <w:sz w:val="24"/>
                <w:szCs w:val="24"/>
                <w:lang w:val="en-US" w:eastAsia="zh-CN"/>
              </w:rPr>
              <w:t>项目名称</w:t>
            </w:r>
          </w:p>
        </w:tc>
        <w:tc>
          <w:tcPr>
            <w:tcW w:w="3312" w:type="pct"/>
            <w:vAlign w:val="center"/>
          </w:tcPr>
          <w:p w14:paraId="6246B28B">
            <w:pPr>
              <w:widowControl/>
              <w:suppressAutoHyphens/>
              <w:bidi w:val="0"/>
              <w:spacing w:before="0" w:after="0" w:line="240" w:lineRule="auto"/>
              <w:ind w:firstLine="0"/>
              <w:jc w:val="center"/>
              <w:rPr>
                <w:rFonts w:hint="eastAsia" w:ascii="Times New Roman" w:hAnsi="Times New Roman" w:eastAsia="宋体"/>
                <w:b w:val="0"/>
                <w:bCs/>
                <w:color w:val="000000"/>
                <w:kern w:val="0"/>
                <w:sz w:val="24"/>
                <w:szCs w:val="24"/>
                <w:lang w:val="en-US" w:eastAsia="zh-CN"/>
              </w:rPr>
            </w:pPr>
            <w:r>
              <w:rPr>
                <w:rFonts w:hint="eastAsia" w:ascii="Times New Roman" w:hAnsi="Times New Roman" w:eastAsia="宋体"/>
                <w:b w:val="0"/>
                <w:bCs/>
                <w:color w:val="000000"/>
                <w:kern w:val="0"/>
                <w:sz w:val="24"/>
                <w:szCs w:val="24"/>
                <w:lang w:val="en-US" w:eastAsia="zh-CN"/>
              </w:rPr>
              <w:t>书途智引-基于大模型的智慧图书馆AI馆员服务系统</w:t>
            </w:r>
          </w:p>
        </w:tc>
      </w:tr>
      <w:tr w14:paraId="5292B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98" w:hRule="atLeast"/>
        </w:trPr>
        <w:tc>
          <w:tcPr>
            <w:tcW w:w="1687" w:type="pct"/>
            <w:shd w:val="clear" w:color="auto" w:fill="D7D7D7" w:themeFill="background1" w:themeFillShade="D8"/>
            <w:vAlign w:val="center"/>
          </w:tcPr>
          <w:p w14:paraId="13A9CF3E">
            <w:pPr>
              <w:widowControl/>
              <w:suppressAutoHyphens/>
              <w:bidi w:val="0"/>
              <w:spacing w:before="0" w:after="0" w:line="240" w:lineRule="auto"/>
              <w:ind w:firstLine="723" w:firstLineChars="300"/>
              <w:jc w:val="left"/>
              <w:rPr>
                <w:rFonts w:hint="eastAsia" w:ascii="Times New Roman" w:hAnsi="Times New Roman" w:eastAsia="宋体"/>
                <w:b/>
                <w:color w:val="000000"/>
                <w:kern w:val="0"/>
                <w:sz w:val="24"/>
                <w:szCs w:val="24"/>
                <w:lang w:val="en-US" w:eastAsia="zh-CN"/>
              </w:rPr>
            </w:pPr>
            <w:r>
              <w:rPr>
                <w:rFonts w:hint="eastAsia" w:ascii="Times New Roman" w:hAnsi="Times New Roman" w:eastAsia="宋体"/>
                <w:b/>
                <w:color w:val="000000"/>
                <w:kern w:val="0"/>
                <w:sz w:val="24"/>
                <w:szCs w:val="24"/>
                <w:lang w:val="en-US" w:eastAsia="zh-CN"/>
              </w:rPr>
              <w:t>项目类别</w:t>
            </w:r>
          </w:p>
        </w:tc>
        <w:tc>
          <w:tcPr>
            <w:tcW w:w="3312" w:type="pct"/>
            <w:vAlign w:val="center"/>
          </w:tcPr>
          <w:p w14:paraId="6AAF25DD">
            <w:pPr>
              <w:widowControl/>
              <w:suppressAutoHyphens/>
              <w:bidi w:val="0"/>
              <w:spacing w:before="0" w:after="0" w:line="240" w:lineRule="auto"/>
              <w:ind w:firstLine="0"/>
              <w:jc w:val="center"/>
              <w:rPr>
                <w:rFonts w:hint="eastAsia" w:ascii="Times New Roman" w:hAnsi="Times New Roman" w:eastAsia="宋体"/>
                <w:b w:val="0"/>
                <w:bCs/>
                <w:color w:val="000000"/>
                <w:kern w:val="0"/>
                <w:sz w:val="24"/>
                <w:szCs w:val="24"/>
                <w:lang w:val="en-US" w:eastAsia="zh-CN"/>
              </w:rPr>
            </w:pPr>
            <w:r>
              <w:rPr>
                <w:rFonts w:hint="eastAsia" w:ascii="Times New Roman" w:hAnsi="Times New Roman" w:eastAsia="宋体"/>
                <w:b w:val="0"/>
                <w:bCs/>
                <w:color w:val="000000"/>
                <w:kern w:val="0"/>
                <w:sz w:val="24"/>
                <w:szCs w:val="24"/>
                <w:lang w:val="en-US" w:eastAsia="zh-CN"/>
              </w:rPr>
              <w:t>“人工智能</w:t>
            </w:r>
            <w:r>
              <w:rPr>
                <w:rFonts w:hint="default" w:ascii="Times New Roman" w:hAnsi="Times New Roman" w:eastAsia="宋体"/>
                <w:b w:val="0"/>
                <w:bCs/>
                <w:color w:val="000000"/>
                <w:kern w:val="0"/>
                <w:sz w:val="24"/>
                <w:szCs w:val="24"/>
                <w:lang w:val="en-US" w:eastAsia="zh-CN"/>
              </w:rPr>
              <w:t>+</w:t>
            </w:r>
            <w:r>
              <w:rPr>
                <w:rFonts w:hint="eastAsia" w:ascii="Times New Roman" w:hAnsi="Times New Roman" w:eastAsia="宋体"/>
                <w:b w:val="0"/>
                <w:bCs/>
                <w:color w:val="000000"/>
                <w:kern w:val="0"/>
                <w:sz w:val="24"/>
                <w:szCs w:val="24"/>
                <w:lang w:val="en-US" w:eastAsia="zh-CN"/>
              </w:rPr>
              <w:t>”项目</w:t>
            </w:r>
          </w:p>
        </w:tc>
      </w:tr>
      <w:tr w14:paraId="4DB41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915" w:hRule="atLeast"/>
        </w:trPr>
        <w:tc>
          <w:tcPr>
            <w:tcW w:w="1687" w:type="pct"/>
            <w:shd w:val="clear" w:color="auto" w:fill="D7D7D7" w:themeFill="background1" w:themeFillShade="D8"/>
            <w:vAlign w:val="center"/>
          </w:tcPr>
          <w:p w14:paraId="11EAC47B">
            <w:pPr>
              <w:widowControl/>
              <w:suppressAutoHyphens/>
              <w:bidi w:val="0"/>
              <w:spacing w:before="0" w:after="0" w:line="240" w:lineRule="auto"/>
              <w:ind w:firstLine="723" w:firstLineChars="300"/>
              <w:jc w:val="left"/>
              <w:rPr>
                <w:rFonts w:hint="eastAsia" w:ascii="Times New Roman" w:hAnsi="Times New Roman" w:eastAsia="宋体"/>
                <w:b/>
                <w:color w:val="000000"/>
                <w:kern w:val="0"/>
                <w:sz w:val="24"/>
                <w:szCs w:val="24"/>
                <w:lang w:val="en-US" w:eastAsia="zh-CN"/>
              </w:rPr>
            </w:pPr>
            <w:r>
              <w:rPr>
                <w:rFonts w:hint="eastAsia" w:ascii="Times New Roman" w:hAnsi="Times New Roman" w:eastAsia="宋体"/>
                <w:b/>
                <w:color w:val="000000"/>
                <w:kern w:val="0"/>
                <w:sz w:val="24"/>
                <w:szCs w:val="24"/>
                <w:lang w:val="en-US" w:eastAsia="zh-CN"/>
              </w:rPr>
              <w:t>参赛组别</w:t>
            </w:r>
          </w:p>
        </w:tc>
        <w:tc>
          <w:tcPr>
            <w:tcW w:w="3312" w:type="pct"/>
            <w:vAlign w:val="center"/>
          </w:tcPr>
          <w:p w14:paraId="40A2B655">
            <w:pPr>
              <w:widowControl/>
              <w:suppressAutoHyphens/>
              <w:bidi w:val="0"/>
              <w:spacing w:before="0" w:after="0" w:line="240" w:lineRule="auto"/>
              <w:ind w:firstLine="0"/>
              <w:jc w:val="center"/>
              <w:rPr>
                <w:rFonts w:hint="default" w:ascii="Times New Roman" w:hAnsi="Times New Roman" w:eastAsia="宋体"/>
                <w:b w:val="0"/>
                <w:bCs/>
                <w:color w:val="000000"/>
                <w:kern w:val="0"/>
                <w:sz w:val="24"/>
                <w:szCs w:val="24"/>
                <w:lang w:val="en-US" w:eastAsia="zh-CN"/>
              </w:rPr>
            </w:pPr>
            <w:r>
              <w:rPr>
                <w:rFonts w:hint="eastAsia" w:ascii="Times New Roman" w:hAnsi="Times New Roman" w:eastAsia="宋体"/>
                <w:b w:val="0"/>
                <w:bCs/>
                <w:color w:val="000000"/>
                <w:kern w:val="0"/>
                <w:sz w:val="24"/>
                <w:szCs w:val="24"/>
                <w:lang w:val="en-US" w:eastAsia="zh-CN"/>
              </w:rPr>
              <w:t>本科生组-创意组</w:t>
            </w:r>
          </w:p>
          <w:p w14:paraId="0D111F9B">
            <w:pPr>
              <w:widowControl/>
              <w:suppressAutoHyphens/>
              <w:bidi w:val="0"/>
              <w:spacing w:before="0" w:after="0" w:line="240" w:lineRule="auto"/>
              <w:ind w:firstLine="0"/>
              <w:jc w:val="center"/>
              <w:rPr>
                <w:rFonts w:hint="eastAsia" w:ascii="Times New Roman" w:hAnsi="Times New Roman" w:eastAsia="宋体"/>
                <w:b w:val="0"/>
                <w:bCs/>
                <w:color w:val="000000"/>
                <w:kern w:val="0"/>
                <w:sz w:val="24"/>
                <w:szCs w:val="24"/>
                <w:lang w:val="en-US" w:eastAsia="zh-CN"/>
              </w:rPr>
            </w:pPr>
          </w:p>
        </w:tc>
      </w:tr>
      <w:tr w14:paraId="013E0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98" w:hRule="atLeast"/>
        </w:trPr>
        <w:tc>
          <w:tcPr>
            <w:tcW w:w="1687" w:type="pct"/>
            <w:shd w:val="clear" w:color="auto" w:fill="D7D7D7" w:themeFill="background1" w:themeFillShade="D8"/>
            <w:vAlign w:val="center"/>
          </w:tcPr>
          <w:p w14:paraId="4058CADD">
            <w:pPr>
              <w:widowControl/>
              <w:suppressAutoHyphens/>
              <w:bidi w:val="0"/>
              <w:spacing w:before="0" w:after="0" w:line="240" w:lineRule="auto"/>
              <w:ind w:firstLine="723" w:firstLineChars="300"/>
              <w:jc w:val="left"/>
              <w:rPr>
                <w:rFonts w:hint="eastAsia" w:ascii="Times New Roman" w:hAnsi="Times New Roman" w:eastAsia="宋体"/>
                <w:b/>
                <w:color w:val="000000"/>
                <w:kern w:val="0"/>
                <w:sz w:val="24"/>
                <w:szCs w:val="24"/>
                <w:lang w:val="en-US" w:eastAsia="zh-CN"/>
              </w:rPr>
            </w:pPr>
            <w:r>
              <w:rPr>
                <w:rFonts w:hint="eastAsia" w:ascii="Times New Roman" w:hAnsi="Times New Roman" w:eastAsia="宋体"/>
                <w:b/>
                <w:color w:val="000000"/>
                <w:kern w:val="0"/>
                <w:sz w:val="24"/>
                <w:szCs w:val="24"/>
                <w:lang w:eastAsia="zh-CN"/>
              </w:rPr>
              <w:t>项目负责人</w:t>
            </w:r>
          </w:p>
        </w:tc>
        <w:tc>
          <w:tcPr>
            <w:tcW w:w="3312" w:type="pct"/>
            <w:vAlign w:val="center"/>
          </w:tcPr>
          <w:p w14:paraId="497A2601">
            <w:pPr>
              <w:widowControl/>
              <w:suppressAutoHyphens/>
              <w:bidi w:val="0"/>
              <w:spacing w:before="0" w:after="0" w:line="240" w:lineRule="auto"/>
              <w:ind w:firstLine="0"/>
              <w:jc w:val="center"/>
              <w:rPr>
                <w:rFonts w:hint="eastAsia" w:ascii="Times New Roman" w:hAnsi="Times New Roman" w:eastAsia="宋体"/>
                <w:b w:val="0"/>
                <w:bCs/>
                <w:color w:val="000000"/>
                <w:kern w:val="0"/>
                <w:sz w:val="24"/>
                <w:szCs w:val="24"/>
                <w:lang w:val="en-US" w:eastAsia="zh-CN"/>
              </w:rPr>
            </w:pPr>
            <w:r>
              <w:rPr>
                <w:rFonts w:hint="eastAsia" w:ascii="Times New Roman" w:hAnsi="Times New Roman" w:eastAsia="宋体"/>
                <w:b w:val="0"/>
                <w:bCs/>
                <w:color w:val="000000"/>
                <w:kern w:val="0"/>
                <w:sz w:val="24"/>
                <w:szCs w:val="24"/>
                <w:lang w:eastAsia="zh-CN"/>
              </w:rPr>
              <w:t>冯承坤</w:t>
            </w:r>
          </w:p>
        </w:tc>
      </w:tr>
      <w:tr w14:paraId="5BA27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98" w:hRule="atLeast"/>
        </w:trPr>
        <w:tc>
          <w:tcPr>
            <w:tcW w:w="1687" w:type="pct"/>
            <w:shd w:val="clear" w:color="auto" w:fill="D7D7D7" w:themeFill="background1" w:themeFillShade="D8"/>
            <w:vAlign w:val="center"/>
          </w:tcPr>
          <w:p w14:paraId="329FB434">
            <w:pPr>
              <w:widowControl/>
              <w:suppressAutoHyphens/>
              <w:bidi w:val="0"/>
              <w:spacing w:before="0" w:after="0" w:line="240" w:lineRule="auto"/>
              <w:ind w:firstLine="723" w:firstLineChars="300"/>
              <w:jc w:val="left"/>
              <w:rPr>
                <w:rFonts w:hint="eastAsia" w:ascii="Times New Roman" w:hAnsi="Times New Roman" w:eastAsia="宋体"/>
                <w:b/>
                <w:color w:val="000000"/>
                <w:kern w:val="0"/>
                <w:sz w:val="24"/>
                <w:szCs w:val="24"/>
                <w:lang w:val="en-US" w:eastAsia="zh-CN"/>
              </w:rPr>
            </w:pPr>
            <w:r>
              <w:rPr>
                <w:rFonts w:hint="eastAsia" w:ascii="Times New Roman" w:hAnsi="Times New Roman" w:eastAsia="宋体"/>
                <w:b/>
                <w:color w:val="000000"/>
                <w:kern w:val="0"/>
                <w:sz w:val="24"/>
                <w:szCs w:val="24"/>
                <w:lang w:eastAsia="zh-CN"/>
              </w:rPr>
              <w:t>团队成员</w:t>
            </w:r>
          </w:p>
        </w:tc>
        <w:tc>
          <w:tcPr>
            <w:tcW w:w="3312" w:type="pct"/>
            <w:vAlign w:val="center"/>
          </w:tcPr>
          <w:p w14:paraId="1970C0B9">
            <w:pPr>
              <w:widowControl/>
              <w:suppressAutoHyphens/>
              <w:bidi w:val="0"/>
              <w:spacing w:before="0" w:after="0" w:line="240" w:lineRule="auto"/>
              <w:ind w:firstLine="0"/>
              <w:jc w:val="center"/>
              <w:rPr>
                <w:rFonts w:hint="eastAsia" w:ascii="Times New Roman" w:hAnsi="Times New Roman" w:eastAsia="宋体"/>
                <w:b w:val="0"/>
                <w:bCs/>
                <w:color w:val="000000"/>
                <w:kern w:val="0"/>
                <w:sz w:val="24"/>
                <w:szCs w:val="24"/>
                <w:lang w:val="en-US" w:eastAsia="zh-CN"/>
              </w:rPr>
            </w:pPr>
            <w:r>
              <w:rPr>
                <w:rFonts w:hint="eastAsia" w:ascii="Times New Roman" w:hAnsi="Times New Roman" w:eastAsia="宋体"/>
                <w:b w:val="0"/>
                <w:bCs/>
                <w:color w:val="000000"/>
                <w:kern w:val="0"/>
                <w:sz w:val="24"/>
                <w:szCs w:val="24"/>
                <w:lang w:eastAsia="zh-CN"/>
              </w:rPr>
              <w:t>冯承坤、吕冠辉、王艾昕</w:t>
            </w:r>
          </w:p>
        </w:tc>
      </w:tr>
      <w:tr w14:paraId="6378E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98" w:hRule="atLeast"/>
        </w:trPr>
        <w:tc>
          <w:tcPr>
            <w:tcW w:w="1687" w:type="pct"/>
            <w:shd w:val="clear" w:color="auto" w:fill="D7D7D7" w:themeFill="background1" w:themeFillShade="D8"/>
            <w:vAlign w:val="center"/>
          </w:tcPr>
          <w:p w14:paraId="36B729DF">
            <w:pPr>
              <w:widowControl/>
              <w:suppressAutoHyphens/>
              <w:bidi w:val="0"/>
              <w:spacing w:before="0" w:after="0" w:line="240" w:lineRule="auto"/>
              <w:ind w:firstLine="723" w:firstLineChars="300"/>
              <w:jc w:val="left"/>
              <w:rPr>
                <w:rFonts w:hint="eastAsia" w:ascii="Times New Roman" w:hAnsi="Times New Roman" w:eastAsia="宋体"/>
                <w:b/>
                <w:color w:val="000000"/>
                <w:kern w:val="0"/>
                <w:sz w:val="24"/>
                <w:szCs w:val="24"/>
                <w:lang w:val="en-US" w:eastAsia="zh-CN"/>
              </w:rPr>
            </w:pPr>
            <w:r>
              <w:rPr>
                <w:rFonts w:hint="eastAsia" w:ascii="Times New Roman" w:hAnsi="Times New Roman" w:eastAsia="宋体"/>
                <w:b/>
                <w:color w:val="000000"/>
                <w:kern w:val="0"/>
                <w:sz w:val="24"/>
                <w:szCs w:val="24"/>
                <w:lang w:eastAsia="zh-CN"/>
              </w:rPr>
              <w:t>指导教师</w:t>
            </w:r>
          </w:p>
        </w:tc>
        <w:tc>
          <w:tcPr>
            <w:tcW w:w="3312" w:type="pct"/>
            <w:vAlign w:val="center"/>
          </w:tcPr>
          <w:p w14:paraId="73907839">
            <w:pPr>
              <w:widowControl/>
              <w:suppressAutoHyphens/>
              <w:bidi w:val="0"/>
              <w:spacing w:before="0" w:after="0" w:line="240" w:lineRule="auto"/>
              <w:ind w:firstLine="0"/>
              <w:jc w:val="center"/>
              <w:rPr>
                <w:rFonts w:hint="eastAsia" w:ascii="Times New Roman" w:hAnsi="Times New Roman" w:eastAsia="宋体"/>
                <w:b w:val="0"/>
                <w:bCs/>
                <w:color w:val="000000"/>
                <w:kern w:val="0"/>
                <w:sz w:val="24"/>
                <w:szCs w:val="24"/>
                <w:lang w:val="en-US" w:eastAsia="zh-CN"/>
              </w:rPr>
            </w:pPr>
            <w:r>
              <w:rPr>
                <w:rFonts w:hint="eastAsia" w:ascii="Times New Roman" w:hAnsi="Times New Roman" w:eastAsia="宋体"/>
                <w:b w:val="0"/>
                <w:bCs/>
                <w:color w:val="000000"/>
                <w:kern w:val="0"/>
                <w:sz w:val="24"/>
                <w:szCs w:val="24"/>
                <w:lang w:eastAsia="zh-CN"/>
              </w:rPr>
              <w:t>张维</w:t>
            </w:r>
          </w:p>
        </w:tc>
      </w:tr>
      <w:tr w14:paraId="01DB2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98" w:hRule="atLeast"/>
        </w:trPr>
        <w:tc>
          <w:tcPr>
            <w:tcW w:w="1687" w:type="pct"/>
            <w:shd w:val="clear" w:color="auto" w:fill="D7D7D7" w:themeFill="background1" w:themeFillShade="D8"/>
            <w:vAlign w:val="center"/>
          </w:tcPr>
          <w:p w14:paraId="0F2C3144">
            <w:pPr>
              <w:widowControl/>
              <w:suppressAutoHyphens/>
              <w:bidi w:val="0"/>
              <w:spacing w:before="0" w:after="0" w:line="240" w:lineRule="auto"/>
              <w:ind w:firstLine="723" w:firstLineChars="300"/>
              <w:jc w:val="left"/>
              <w:rPr>
                <w:rFonts w:hint="eastAsia" w:ascii="Times New Roman" w:hAnsi="Times New Roman" w:eastAsia="宋体"/>
                <w:b/>
                <w:color w:val="000000"/>
                <w:kern w:val="0"/>
                <w:sz w:val="24"/>
                <w:szCs w:val="24"/>
                <w:lang w:val="en-US" w:eastAsia="zh-CN"/>
              </w:rPr>
            </w:pPr>
            <w:r>
              <w:rPr>
                <w:rFonts w:hint="eastAsia" w:ascii="Times New Roman" w:hAnsi="Times New Roman" w:eastAsia="宋体"/>
                <w:b/>
                <w:color w:val="000000"/>
                <w:kern w:val="0"/>
                <w:sz w:val="24"/>
                <w:szCs w:val="24"/>
                <w:lang w:val="en-US" w:eastAsia="zh-CN"/>
              </w:rPr>
              <w:t>学       校</w:t>
            </w:r>
          </w:p>
        </w:tc>
        <w:tc>
          <w:tcPr>
            <w:tcW w:w="3312" w:type="pct"/>
            <w:vAlign w:val="center"/>
          </w:tcPr>
          <w:p w14:paraId="30A8E13B">
            <w:pPr>
              <w:widowControl/>
              <w:suppressAutoHyphens/>
              <w:bidi w:val="0"/>
              <w:spacing w:before="0" w:after="0" w:line="240" w:lineRule="auto"/>
              <w:ind w:firstLine="0"/>
              <w:jc w:val="center"/>
              <w:rPr>
                <w:rFonts w:hint="eastAsia" w:ascii="Times New Roman" w:hAnsi="Times New Roman" w:eastAsia="宋体"/>
                <w:b w:val="0"/>
                <w:bCs/>
                <w:color w:val="000000"/>
                <w:kern w:val="0"/>
                <w:sz w:val="24"/>
                <w:szCs w:val="24"/>
                <w:lang w:val="en-US" w:eastAsia="zh-CN"/>
              </w:rPr>
            </w:pPr>
            <w:r>
              <w:rPr>
                <w:rFonts w:hint="eastAsia" w:ascii="Times New Roman" w:hAnsi="Times New Roman" w:eastAsia="宋体"/>
                <w:b w:val="0"/>
                <w:bCs/>
                <w:color w:val="000000"/>
                <w:kern w:val="0"/>
                <w:sz w:val="24"/>
                <w:szCs w:val="24"/>
                <w:lang w:val="en-US" w:eastAsia="zh-CN"/>
              </w:rPr>
              <w:t>上海电力大学</w:t>
            </w:r>
          </w:p>
        </w:tc>
      </w:tr>
      <w:tr w14:paraId="39531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98" w:hRule="atLeast"/>
        </w:trPr>
        <w:tc>
          <w:tcPr>
            <w:tcW w:w="1687" w:type="pct"/>
            <w:shd w:val="clear" w:color="auto" w:fill="D7D7D7" w:themeFill="background1" w:themeFillShade="D8"/>
            <w:vAlign w:val="center"/>
          </w:tcPr>
          <w:p w14:paraId="6B767D91">
            <w:pPr>
              <w:widowControl/>
              <w:suppressAutoHyphens/>
              <w:bidi w:val="0"/>
              <w:spacing w:before="0" w:after="0" w:line="240" w:lineRule="auto"/>
              <w:ind w:firstLine="723" w:firstLineChars="300"/>
              <w:jc w:val="left"/>
              <w:rPr>
                <w:rFonts w:hint="eastAsia" w:ascii="Times New Roman" w:hAnsi="Times New Roman" w:eastAsia="宋体"/>
                <w:b/>
                <w:color w:val="000000"/>
                <w:kern w:val="0"/>
                <w:sz w:val="24"/>
                <w:szCs w:val="24"/>
                <w:lang w:val="en-US" w:eastAsia="zh-CN"/>
              </w:rPr>
            </w:pPr>
            <w:r>
              <w:rPr>
                <w:rFonts w:hint="eastAsia" w:ascii="Times New Roman" w:hAnsi="Times New Roman" w:eastAsia="宋体"/>
                <w:b/>
                <w:color w:val="000000"/>
                <w:kern w:val="0"/>
                <w:sz w:val="24"/>
                <w:szCs w:val="24"/>
                <w:lang w:eastAsia="zh-CN"/>
              </w:rPr>
              <w:t>所在院部</w:t>
            </w:r>
          </w:p>
        </w:tc>
        <w:tc>
          <w:tcPr>
            <w:tcW w:w="3312" w:type="pct"/>
            <w:vAlign w:val="center"/>
          </w:tcPr>
          <w:p w14:paraId="43C6D653">
            <w:pPr>
              <w:widowControl/>
              <w:suppressAutoHyphens/>
              <w:bidi w:val="0"/>
              <w:spacing w:before="0" w:after="0" w:line="240" w:lineRule="auto"/>
              <w:ind w:firstLine="0"/>
              <w:jc w:val="center"/>
              <w:rPr>
                <w:rFonts w:hint="eastAsia" w:ascii="Times New Roman" w:hAnsi="Times New Roman" w:eastAsia="宋体"/>
                <w:b w:val="0"/>
                <w:bCs/>
                <w:color w:val="000000"/>
                <w:kern w:val="0"/>
                <w:sz w:val="24"/>
                <w:szCs w:val="24"/>
                <w:lang w:val="en-US" w:eastAsia="zh-CN"/>
              </w:rPr>
            </w:pPr>
            <w:r>
              <w:rPr>
                <w:rFonts w:hint="eastAsia" w:ascii="Times New Roman" w:hAnsi="Times New Roman" w:eastAsia="宋体"/>
                <w:b w:val="0"/>
                <w:bCs/>
                <w:color w:val="000000"/>
                <w:kern w:val="0"/>
                <w:sz w:val="24"/>
                <w:szCs w:val="24"/>
                <w:lang w:eastAsia="zh-CN"/>
              </w:rPr>
              <w:t>人工智能学部</w:t>
            </w:r>
          </w:p>
        </w:tc>
      </w:tr>
      <w:tr w14:paraId="2E3ED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26" w:hRule="atLeast"/>
        </w:trPr>
        <w:tc>
          <w:tcPr>
            <w:tcW w:w="1687" w:type="pct"/>
            <w:shd w:val="clear" w:color="auto" w:fill="D7D7D7" w:themeFill="background1" w:themeFillShade="D8"/>
            <w:vAlign w:val="center"/>
          </w:tcPr>
          <w:p w14:paraId="65804686">
            <w:pPr>
              <w:widowControl/>
              <w:suppressAutoHyphens/>
              <w:bidi w:val="0"/>
              <w:spacing w:before="0" w:after="0" w:line="240" w:lineRule="auto"/>
              <w:ind w:firstLine="723" w:firstLineChars="300"/>
              <w:jc w:val="left"/>
              <w:rPr>
                <w:rFonts w:hint="eastAsia" w:ascii="Times New Roman" w:hAnsi="Times New Roman" w:eastAsia="宋体"/>
                <w:b/>
                <w:color w:val="000000"/>
                <w:kern w:val="0"/>
                <w:sz w:val="24"/>
                <w:szCs w:val="24"/>
                <w:lang w:eastAsia="zh-CN"/>
              </w:rPr>
            </w:pPr>
            <w:r>
              <w:rPr>
                <w:rFonts w:hint="eastAsia" w:ascii="Times New Roman" w:hAnsi="Times New Roman" w:eastAsia="宋体"/>
                <w:b/>
                <w:color w:val="000000"/>
                <w:kern w:val="0"/>
                <w:sz w:val="24"/>
                <w:szCs w:val="24"/>
                <w:lang w:val="en-US" w:eastAsia="zh-CN"/>
              </w:rPr>
              <w:t>电子邮箱</w:t>
            </w:r>
          </w:p>
        </w:tc>
        <w:tc>
          <w:tcPr>
            <w:tcW w:w="3312" w:type="pct"/>
            <w:vAlign w:val="center"/>
          </w:tcPr>
          <w:p w14:paraId="74B2220B">
            <w:pPr>
              <w:widowControl/>
              <w:suppressAutoHyphens/>
              <w:bidi w:val="0"/>
              <w:spacing w:before="0" w:after="0" w:line="240" w:lineRule="auto"/>
              <w:ind w:firstLine="0"/>
              <w:jc w:val="center"/>
              <w:rPr>
                <w:rFonts w:hint="eastAsia" w:ascii="Times New Roman" w:hAnsi="Times New Roman" w:eastAsia="宋体"/>
                <w:b w:val="0"/>
                <w:bCs/>
                <w:color w:val="000000"/>
                <w:kern w:val="0"/>
                <w:sz w:val="24"/>
                <w:szCs w:val="24"/>
                <w:lang w:eastAsia="zh-CN"/>
              </w:rPr>
            </w:pPr>
            <w:r>
              <w:rPr>
                <w:rFonts w:hint="eastAsia" w:ascii="Times New Roman" w:hAnsi="Times New Roman" w:eastAsia="宋体"/>
                <w:b w:val="0"/>
                <w:bCs/>
                <w:color w:val="000000"/>
                <w:kern w:val="0"/>
                <w:sz w:val="24"/>
                <w:szCs w:val="24"/>
                <w:lang w:val="en-US" w:eastAsia="zh-CN"/>
              </w:rPr>
              <w:t>15293069269@163.com</w:t>
            </w:r>
          </w:p>
        </w:tc>
      </w:tr>
    </w:tbl>
    <w:p w14:paraId="022D74C3">
      <w:pPr>
        <w:tabs>
          <w:tab w:val="center" w:pos="4317"/>
        </w:tabs>
        <w:kinsoku w:val="0"/>
        <w:autoSpaceDE w:val="0"/>
        <w:autoSpaceDN w:val="0"/>
        <w:adjustRightInd w:val="0"/>
        <w:snapToGrid w:val="0"/>
        <w:spacing w:after="160" w:line="240" w:lineRule="auto"/>
        <w:jc w:val="both"/>
        <w:textAlignment w:val="baseline"/>
        <w:rPr>
          <w:rFonts w:hint="eastAsia" w:ascii="宋体" w:hAnsi="宋体" w:cs="宋体"/>
          <w:b/>
          <w:snapToGrid w:val="0"/>
          <w:color w:val="000000"/>
          <w:sz w:val="28"/>
          <w:szCs w:val="21"/>
          <w:lang w:val="en-US" w:eastAsia="zh-CN"/>
        </w:rPr>
      </w:pPr>
    </w:p>
    <w:p w14:paraId="5124C006">
      <w:pPr>
        <w:tabs>
          <w:tab w:val="center" w:pos="4317"/>
        </w:tabs>
        <w:kinsoku w:val="0"/>
        <w:autoSpaceDE w:val="0"/>
        <w:autoSpaceDN w:val="0"/>
        <w:adjustRightInd w:val="0"/>
        <w:snapToGrid w:val="0"/>
        <w:spacing w:after="160" w:line="240" w:lineRule="auto"/>
        <w:jc w:val="center"/>
        <w:textAlignment w:val="baseline"/>
        <w:rPr>
          <w:rFonts w:hint="eastAsia" w:ascii="宋体" w:hAnsi="宋体" w:cs="宋体"/>
          <w:b/>
          <w:snapToGrid w:val="0"/>
          <w:color w:val="000000"/>
          <w:sz w:val="28"/>
          <w:szCs w:val="21"/>
          <w:lang w:val="en-US" w:eastAsia="zh-CN"/>
        </w:rPr>
      </w:pPr>
    </w:p>
    <w:p w14:paraId="651C0A1A">
      <w:pPr>
        <w:tabs>
          <w:tab w:val="center" w:pos="4317"/>
        </w:tabs>
        <w:kinsoku w:val="0"/>
        <w:autoSpaceDE w:val="0"/>
        <w:autoSpaceDN w:val="0"/>
        <w:adjustRightInd w:val="0"/>
        <w:snapToGrid w:val="0"/>
        <w:spacing w:after="160" w:line="240" w:lineRule="auto"/>
        <w:jc w:val="center"/>
        <w:textAlignment w:val="baseline"/>
        <w:rPr>
          <w:rFonts w:hint="default" w:ascii="宋体" w:hAnsi="宋体" w:cs="宋体"/>
          <w:b/>
          <w:snapToGrid w:val="0"/>
          <w:color w:val="000000"/>
          <w:sz w:val="28"/>
          <w:szCs w:val="21"/>
          <w:lang w:val="en-US" w:eastAsia="zh-CN"/>
        </w:rPr>
      </w:pPr>
      <w:r>
        <w:rPr>
          <w:rFonts w:hint="eastAsia" w:ascii="宋体" w:hAnsi="宋体" w:cs="宋体"/>
          <w:b/>
          <w:snapToGrid w:val="0"/>
          <w:color w:val="000000"/>
          <w:sz w:val="28"/>
          <w:szCs w:val="21"/>
          <w:lang w:val="en-US" w:eastAsia="zh-CN"/>
        </w:rPr>
        <w:t>2026年9月5日</w:t>
      </w:r>
    </w:p>
    <w:p w14:paraId="23840628">
      <w:pPr>
        <w:spacing w:after="120"/>
      </w:pPr>
    </w:p>
    <w:p w14:paraId="39225445">
      <w:r>
        <w:br w:type="page"/>
      </w:r>
    </w:p>
    <w:p w14:paraId="22F94FC1"/>
    <w:p w14:paraId="71E0F5D0">
      <w:pPr>
        <w:keepNext w:val="0"/>
        <w:keepLines w:val="0"/>
        <w:pageBreakBefore w:val="0"/>
        <w:widowControl/>
        <w:suppressAutoHyphens/>
        <w:kinsoku/>
        <w:wordWrap/>
        <w:overflowPunct/>
        <w:topLinePunct w:val="0"/>
        <w:autoSpaceDE/>
        <w:autoSpaceDN/>
        <w:bidi w:val="0"/>
        <w:adjustRightInd/>
        <w:snapToGrid/>
        <w:spacing w:before="0" w:after="0" w:line="279" w:lineRule="auto"/>
        <w:ind w:firstLine="0"/>
        <w:jc w:val="center"/>
        <w:textAlignment w:val="auto"/>
        <w:rPr>
          <w:rFonts w:ascii="Times New Roman" w:hAnsi="Times New Roman" w:eastAsia="黑体"/>
          <w:b w:val="0"/>
          <w:i w:val="0"/>
          <w:color w:val="000000"/>
          <w:kern w:val="0"/>
          <w:sz w:val="30"/>
        </w:rPr>
      </w:pPr>
      <w:r>
        <w:rPr>
          <w:rFonts w:ascii="Times New Roman" w:hAnsi="Times New Roman" w:eastAsia="黑体"/>
          <w:b w:val="0"/>
          <w:i w:val="0"/>
          <w:color w:val="000000"/>
          <w:kern w:val="0"/>
          <w:sz w:val="30"/>
        </w:rPr>
        <w:t>执行摘要</w:t>
      </w:r>
    </w:p>
    <w:p w14:paraId="44192ED7">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ascii="Times New Roman" w:hAnsi="Times New Roman" w:eastAsia="宋体"/>
          <w:b w:val="0"/>
          <w:i w:val="0"/>
          <w:color w:val="000000"/>
          <w:kern w:val="0"/>
          <w:sz w:val="24"/>
        </w:rPr>
      </w:pPr>
      <w:r>
        <w:rPr>
          <w:rFonts w:ascii="Times New Roman" w:hAnsi="Times New Roman" w:eastAsia="宋体"/>
          <w:b w:val="0"/>
          <w:i w:val="0"/>
          <w:color w:val="000000"/>
          <w:kern w:val="0"/>
          <w:sz w:val="24"/>
        </w:rPr>
        <w:t>书途智启（BookPath AI）秉承“让每一位高校学子都能拥有专属专业级数字图书导师”为立项初心，直击全国高校图书馆海量学术藏书“流通率低、检索匹配粗糙、读者选书试错成本高、碎片阅读缺乏路径”四大沉疴痛点，在行业内首创提出“AI自然语言表达与物理馆藏事实严格解耦分离”的技术路线，将大模型的意图推演、语义扩展与情感共鸣能力，同高校经严格机读编目认证的真实馆藏物理库存、借阅状态与书架定位深度锚定，从源头彻底杜绝 AI 学术幻觉。系统内建“六维量化透明匹配”、“自适应长短期画像记忆中枢”、“三阶段知识图谱研习路径”以及“全链路多级平滑降级”四大核心壁垒，实现了从单点搜索向全流程学习伴随的价值飞跃。目前系统已高质量完成工业全栈代码交付，具备在全国高校图书馆极速复制推广的坚实基础。</w:t>
      </w:r>
    </w:p>
    <w:p w14:paraId="1E59669E">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在系统核心性能与工程落地指标方面，“书途智启”展现出了远超行业传统方案的卓越表现。</w:t>
      </w:r>
    </w:p>
    <w:p w14:paraId="5CD43830">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首先，在推荐准确率上，立项之初设定的基准目标为不低于 75%，而在面向真实学术诉求的实测环境下，系统凭借多模态召回与六维加权打分机制，最终取得了 88.4% 的高满意命中率，相比同行业传统系统仅约 35% 至 42% 的机械关键词匹配，实现了推荐质量的跨越式提升。</w:t>
      </w:r>
    </w:p>
    <w:p w14:paraId="7FE22B17">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其次，在自然语言交互维度，系统对复杂多轮对话意图的正确识别率实测达到 94.6%（远超 ≥80% 的预设目标），彻底打破了传统系统无意图分析、仅能进行刚性字面检索的局限；在交互时延上，得益于异步协程架构与 SSE 流式长连接技术，系统在端到端响应要求控制在 2.0 秒以内的指标下，做到了首字渲染时间小于 650 毫秒的极速打字机式平滑输出，相较于传统检索系统普遍大于 3 秒的排队等待，大幅优化了读者的交互体验。</w:t>
      </w:r>
    </w:p>
    <w:p w14:paraId="68C68F54">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此外，针对传统平台单次交互孤立、会话刷新即遗忘的痛点，本系统不仅圆满达成支持 5 轮以上交互的基线，更成功实现了长达 12 轮的长上下文动态约束保持，有效支撑了深度的连续学术咨询；在学术真实性这一核心防线上，系统从架构底层实行 100% 物理馆藏实时锚定，彻底杜绝了通用大模型在推荐中高达 35% 以上的虚构书目和无馆藏“学术幻觉”。</w:t>
      </w:r>
    </w:p>
    <w:p w14:paraId="22DF9E4B">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最后，在商业部署与工程推广方面，传统大型商业图书系统的定制改造往往动辄需要数十万元启动资金，而书途智启基于轻量化 Docker 容器栈设计，将单校软硬件首年部署成本从预期的小于 1.5 万元进一步压缩至数千元级别，具备极强的开箱即用性与大规模校园推广优势。</w:t>
      </w:r>
    </w:p>
    <w:p w14:paraId="5667CA5E">
      <w:pPr>
        <w:spacing w:after="120"/>
      </w:pPr>
    </w:p>
    <w:p w14:paraId="64A6BE4E">
      <w:pPr>
        <w:pStyle w:val="3"/>
        <w:keepNext/>
        <w:widowControl/>
        <w:suppressAutoHyphens/>
        <w:bidi w:val="0"/>
        <w:spacing w:before="0" w:after="120" w:line="360" w:lineRule="auto"/>
        <w:ind w:firstLine="482"/>
        <w:jc w:val="center"/>
        <w:rPr>
          <w:rFonts w:hint="eastAsia" w:ascii="黑体" w:hAnsi="黑体" w:eastAsia="黑体" w:cs="黑体"/>
          <w:b w:val="0"/>
          <w:bCs/>
          <w:color w:val="000000"/>
          <w:kern w:val="0"/>
          <w:sz w:val="30"/>
        </w:rPr>
      </w:pPr>
    </w:p>
    <w:sdt>
      <w:sdtPr>
        <w:rPr>
          <w:rFonts w:ascii="宋体" w:hAnsi="宋体" w:eastAsia="宋体" w:cstheme="minorBidi"/>
          <w:b/>
          <w:bCs/>
          <w:sz w:val="32"/>
          <w:szCs w:val="22"/>
          <w:lang w:val="en-US" w:eastAsia="en-US" w:bidi="ar-SA"/>
        </w:rPr>
        <w:id w:val="147456561"/>
        <w15:color w:val="DBDBDB"/>
        <w:docPartObj>
          <w:docPartGallery w:val="Table of Contents"/>
          <w:docPartUnique/>
        </w:docPartObj>
      </w:sdtPr>
      <w:sdtEndPr>
        <w:rPr>
          <w:rFonts w:hint="eastAsia" w:asciiTheme="minorHAnsi" w:hAnsiTheme="minorHAnsi" w:eastAsiaTheme="minorEastAsia" w:cstheme="minorBidi"/>
          <w:sz w:val="22"/>
          <w:szCs w:val="22"/>
          <w:lang w:val="en-US" w:eastAsia="en-US" w:bidi="ar-SA"/>
        </w:rPr>
      </w:sdtEndPr>
      <w:sdtContent>
        <w:p w14:paraId="0EE670EC">
          <w:pPr>
            <w:spacing w:before="0" w:beforeLines="0" w:after="0" w:afterLines="0" w:line="240" w:lineRule="auto"/>
            <w:ind w:left="0" w:leftChars="0" w:right="0" w:rightChars="0" w:firstLine="0" w:firstLineChars="0"/>
            <w:jc w:val="center"/>
            <w:rPr>
              <w:rFonts w:eastAsia="宋体"/>
              <w:b/>
              <w:bCs/>
              <w:sz w:val="32"/>
            </w:rPr>
          </w:pPr>
          <w:r>
            <w:rPr>
              <w:rFonts w:ascii="宋体" w:hAnsi="宋体" w:eastAsia="宋体"/>
              <w:b/>
              <w:bCs/>
              <w:sz w:val="32"/>
            </w:rPr>
            <w:t>目录</w:t>
          </w:r>
        </w:p>
        <w:p w14:paraId="528C84F4">
          <w:pPr>
            <w:pStyle w:val="26"/>
            <w:keepNext w:val="0"/>
            <w:keepLines w:val="0"/>
            <w:pageBreakBefore w:val="0"/>
            <w:widowControl/>
            <w:tabs>
              <w:tab w:val="right" w:leader="dot" w:pos="9065"/>
            </w:tabs>
            <w:kinsoku/>
            <w:wordWrap/>
            <w:overflowPunct/>
            <w:topLinePunct w:val="0"/>
            <w:autoSpaceDE/>
            <w:autoSpaceDN/>
            <w:bidi w:val="0"/>
            <w:adjustRightInd/>
            <w:snapToGrid/>
            <w:spacing w:after="120"/>
            <w:textAlignment w:val="auto"/>
            <w:rPr>
              <w:rFonts w:eastAsia="宋体"/>
              <w:sz w:val="24"/>
            </w:rPr>
          </w:pPr>
          <w:r>
            <w:rPr>
              <w:rFonts w:hint="eastAsia" w:ascii="Times New Roman" w:hAnsi="Times New Roman" w:eastAsia="宋体"/>
              <w:sz w:val="24"/>
            </w:rPr>
            <w:fldChar w:fldCharType="begin"/>
          </w:r>
          <w:r>
            <w:rPr>
              <w:rFonts w:hint="eastAsia" w:ascii="Times New Roman" w:hAnsi="Times New Roman" w:eastAsia="宋体"/>
              <w:sz w:val="24"/>
            </w:rPr>
            <w:instrText xml:space="preserve">TOC \o "1-2" \h \u </w:instrText>
          </w:r>
          <w:r>
            <w:rPr>
              <w:rFonts w:hint="eastAsia" w:ascii="Times New Roman" w:hAnsi="Times New Roman" w:eastAsia="宋体"/>
              <w:sz w:val="24"/>
            </w:rPr>
            <w:fldChar w:fldCharType="separate"/>
          </w:r>
          <w:r>
            <w:rPr>
              <w:rFonts w:hint="eastAsia" w:ascii="Times New Roman" w:hAnsi="Times New Roman" w:eastAsia="宋体"/>
              <w:sz w:val="24"/>
            </w:rPr>
            <w:fldChar w:fldCharType="begin"/>
          </w:r>
          <w:r>
            <w:rPr>
              <w:rFonts w:hint="eastAsia" w:ascii="Times New Roman" w:hAnsi="Times New Roman" w:eastAsia="宋体"/>
              <w:sz w:val="24"/>
            </w:rPr>
            <w:instrText xml:space="preserve"> HYPERLINK \l _Toc12485 </w:instrText>
          </w:r>
          <w:r>
            <w:rPr>
              <w:rFonts w:hint="eastAsia" w:ascii="Times New Roman" w:hAnsi="Times New Roman" w:eastAsia="宋体"/>
              <w:sz w:val="24"/>
            </w:rPr>
            <w:fldChar w:fldCharType="separate"/>
          </w:r>
          <w:r>
            <w:rPr>
              <w:rFonts w:hint="eastAsia" w:ascii="黑体" w:hAnsi="黑体" w:eastAsia="宋体" w:cs="黑体"/>
              <w:bCs/>
              <w:kern w:val="0"/>
              <w:sz w:val="24"/>
            </w:rPr>
            <w:t>第一章 项目概述与立项宗旨</w:t>
          </w:r>
          <w:r>
            <w:rPr>
              <w:rFonts w:eastAsia="宋体"/>
              <w:sz w:val="24"/>
            </w:rPr>
            <w:tab/>
          </w:r>
          <w:r>
            <w:rPr>
              <w:rFonts w:eastAsia="宋体"/>
              <w:sz w:val="24"/>
            </w:rPr>
            <w:fldChar w:fldCharType="begin"/>
          </w:r>
          <w:r>
            <w:rPr>
              <w:rFonts w:eastAsia="宋体"/>
              <w:sz w:val="24"/>
            </w:rPr>
            <w:instrText xml:space="preserve"> PAGEREF _Toc12485 \h </w:instrText>
          </w:r>
          <w:r>
            <w:rPr>
              <w:rFonts w:eastAsia="宋体"/>
              <w:sz w:val="24"/>
            </w:rPr>
            <w:fldChar w:fldCharType="separate"/>
          </w:r>
          <w:r>
            <w:rPr>
              <w:rFonts w:eastAsia="宋体"/>
              <w:sz w:val="24"/>
            </w:rPr>
            <w:t>- 1 -</w:t>
          </w:r>
          <w:r>
            <w:rPr>
              <w:rFonts w:eastAsia="宋体"/>
              <w:sz w:val="24"/>
            </w:rPr>
            <w:fldChar w:fldCharType="end"/>
          </w:r>
          <w:r>
            <w:rPr>
              <w:rFonts w:hint="eastAsia" w:ascii="Times New Roman" w:hAnsi="Times New Roman" w:eastAsia="宋体"/>
              <w:sz w:val="24"/>
            </w:rPr>
            <w:fldChar w:fldCharType="end"/>
          </w:r>
        </w:p>
        <w:p w14:paraId="56085046">
          <w:pPr>
            <w:pStyle w:val="29"/>
            <w:keepNext w:val="0"/>
            <w:keepLines w:val="0"/>
            <w:pageBreakBefore w:val="0"/>
            <w:widowControl/>
            <w:tabs>
              <w:tab w:val="right" w:leader="dot" w:pos="9065"/>
            </w:tabs>
            <w:kinsoku/>
            <w:wordWrap/>
            <w:overflowPunct/>
            <w:topLinePunct w:val="0"/>
            <w:autoSpaceDE/>
            <w:autoSpaceDN/>
            <w:bidi w:val="0"/>
            <w:adjustRightInd/>
            <w:snapToGrid/>
            <w:spacing w:after="120"/>
            <w:textAlignment w:val="auto"/>
            <w:rPr>
              <w:rFonts w:eastAsia="宋体"/>
              <w:sz w:val="24"/>
            </w:rPr>
          </w:pPr>
          <w:r>
            <w:rPr>
              <w:rFonts w:hint="eastAsia" w:ascii="Times New Roman" w:hAnsi="Times New Roman" w:eastAsia="宋体"/>
              <w:sz w:val="24"/>
            </w:rPr>
            <w:fldChar w:fldCharType="begin"/>
          </w:r>
          <w:r>
            <w:rPr>
              <w:rFonts w:hint="eastAsia" w:ascii="Times New Roman" w:hAnsi="Times New Roman" w:eastAsia="宋体"/>
              <w:sz w:val="24"/>
            </w:rPr>
            <w:instrText xml:space="preserve"> HYPERLINK \l _Toc13062 </w:instrText>
          </w:r>
          <w:r>
            <w:rPr>
              <w:rFonts w:hint="eastAsia" w:ascii="Times New Roman" w:hAnsi="Times New Roman" w:eastAsia="宋体"/>
              <w:sz w:val="24"/>
            </w:rPr>
            <w:fldChar w:fldCharType="separate"/>
          </w:r>
          <w:r>
            <w:rPr>
              <w:rFonts w:ascii="Times New Roman" w:hAnsi="Times New Roman" w:eastAsia="宋体"/>
              <w:bCs/>
              <w:kern w:val="0"/>
              <w:sz w:val="24"/>
            </w:rPr>
            <w:t xml:space="preserve">1.1 </w:t>
          </w:r>
          <w:r>
            <w:rPr>
              <w:rFonts w:hint="eastAsia" w:ascii="Times New Roman" w:hAnsi="Times New Roman" w:eastAsia="宋体"/>
              <w:bCs/>
              <w:kern w:val="0"/>
              <w:sz w:val="24"/>
            </w:rPr>
            <w:t>项目背景与时代定位</w:t>
          </w:r>
          <w:r>
            <w:rPr>
              <w:rFonts w:eastAsia="宋体"/>
              <w:sz w:val="24"/>
            </w:rPr>
            <w:tab/>
          </w:r>
          <w:r>
            <w:rPr>
              <w:rFonts w:eastAsia="宋体"/>
              <w:sz w:val="24"/>
            </w:rPr>
            <w:fldChar w:fldCharType="begin"/>
          </w:r>
          <w:r>
            <w:rPr>
              <w:rFonts w:eastAsia="宋体"/>
              <w:sz w:val="24"/>
            </w:rPr>
            <w:instrText xml:space="preserve"> PAGEREF _Toc13062 \h </w:instrText>
          </w:r>
          <w:r>
            <w:rPr>
              <w:rFonts w:eastAsia="宋体"/>
              <w:sz w:val="24"/>
            </w:rPr>
            <w:fldChar w:fldCharType="separate"/>
          </w:r>
          <w:r>
            <w:rPr>
              <w:rFonts w:eastAsia="宋体"/>
              <w:sz w:val="24"/>
            </w:rPr>
            <w:t>- 1 -</w:t>
          </w:r>
          <w:r>
            <w:rPr>
              <w:rFonts w:eastAsia="宋体"/>
              <w:sz w:val="24"/>
            </w:rPr>
            <w:fldChar w:fldCharType="end"/>
          </w:r>
          <w:r>
            <w:rPr>
              <w:rFonts w:hint="eastAsia" w:ascii="Times New Roman" w:hAnsi="Times New Roman" w:eastAsia="宋体"/>
              <w:sz w:val="24"/>
            </w:rPr>
            <w:fldChar w:fldCharType="end"/>
          </w:r>
        </w:p>
        <w:p w14:paraId="39B9FE49">
          <w:pPr>
            <w:pStyle w:val="29"/>
            <w:keepNext w:val="0"/>
            <w:keepLines w:val="0"/>
            <w:pageBreakBefore w:val="0"/>
            <w:widowControl/>
            <w:tabs>
              <w:tab w:val="right" w:leader="dot" w:pos="9065"/>
            </w:tabs>
            <w:kinsoku/>
            <w:wordWrap/>
            <w:overflowPunct/>
            <w:topLinePunct w:val="0"/>
            <w:autoSpaceDE/>
            <w:autoSpaceDN/>
            <w:bidi w:val="0"/>
            <w:adjustRightInd/>
            <w:snapToGrid/>
            <w:spacing w:after="120"/>
            <w:textAlignment w:val="auto"/>
            <w:rPr>
              <w:rFonts w:eastAsia="宋体"/>
              <w:sz w:val="24"/>
            </w:rPr>
          </w:pPr>
          <w:r>
            <w:rPr>
              <w:rFonts w:hint="eastAsia" w:ascii="Times New Roman" w:hAnsi="Times New Roman" w:eastAsia="宋体"/>
              <w:sz w:val="24"/>
            </w:rPr>
            <w:fldChar w:fldCharType="begin"/>
          </w:r>
          <w:r>
            <w:rPr>
              <w:rFonts w:hint="eastAsia" w:ascii="Times New Roman" w:hAnsi="Times New Roman" w:eastAsia="宋体"/>
              <w:sz w:val="24"/>
            </w:rPr>
            <w:instrText xml:space="preserve"> HYPERLINK \l _Toc14835 </w:instrText>
          </w:r>
          <w:r>
            <w:rPr>
              <w:rFonts w:hint="eastAsia" w:ascii="Times New Roman" w:hAnsi="Times New Roman" w:eastAsia="宋体"/>
              <w:sz w:val="24"/>
            </w:rPr>
            <w:fldChar w:fldCharType="separate"/>
          </w:r>
          <w:r>
            <w:rPr>
              <w:rFonts w:ascii="Times New Roman" w:hAnsi="Times New Roman" w:eastAsia="宋体"/>
              <w:bCs/>
              <w:kern w:val="0"/>
              <w:sz w:val="24"/>
            </w:rPr>
            <w:t xml:space="preserve">1.2 </w:t>
          </w:r>
          <w:r>
            <w:rPr>
              <w:rFonts w:hint="eastAsia" w:ascii="Times New Roman" w:hAnsi="Times New Roman" w:eastAsia="宋体" w:cs="黑体"/>
              <w:bCs/>
              <w:kern w:val="0"/>
              <w:sz w:val="24"/>
            </w:rPr>
            <w:t>核心设计哲学：AI自然语言表达与真实馆藏事实解耦</w:t>
          </w:r>
          <w:r>
            <w:rPr>
              <w:rFonts w:eastAsia="宋体"/>
              <w:sz w:val="24"/>
            </w:rPr>
            <w:tab/>
          </w:r>
          <w:r>
            <w:rPr>
              <w:rFonts w:eastAsia="宋体"/>
              <w:sz w:val="24"/>
            </w:rPr>
            <w:fldChar w:fldCharType="begin"/>
          </w:r>
          <w:r>
            <w:rPr>
              <w:rFonts w:eastAsia="宋体"/>
              <w:sz w:val="24"/>
            </w:rPr>
            <w:instrText xml:space="preserve"> PAGEREF _Toc14835 \h </w:instrText>
          </w:r>
          <w:r>
            <w:rPr>
              <w:rFonts w:eastAsia="宋体"/>
              <w:sz w:val="24"/>
            </w:rPr>
            <w:fldChar w:fldCharType="separate"/>
          </w:r>
          <w:r>
            <w:rPr>
              <w:rFonts w:eastAsia="宋体"/>
              <w:sz w:val="24"/>
            </w:rPr>
            <w:t>- 1 -</w:t>
          </w:r>
          <w:r>
            <w:rPr>
              <w:rFonts w:eastAsia="宋体"/>
              <w:sz w:val="24"/>
            </w:rPr>
            <w:fldChar w:fldCharType="end"/>
          </w:r>
          <w:r>
            <w:rPr>
              <w:rFonts w:hint="eastAsia" w:ascii="Times New Roman" w:hAnsi="Times New Roman" w:eastAsia="宋体"/>
              <w:sz w:val="24"/>
            </w:rPr>
            <w:fldChar w:fldCharType="end"/>
          </w:r>
        </w:p>
        <w:p w14:paraId="07DE7C5F">
          <w:pPr>
            <w:pStyle w:val="29"/>
            <w:keepNext w:val="0"/>
            <w:keepLines w:val="0"/>
            <w:pageBreakBefore w:val="0"/>
            <w:widowControl/>
            <w:tabs>
              <w:tab w:val="right" w:leader="dot" w:pos="9065"/>
            </w:tabs>
            <w:kinsoku/>
            <w:wordWrap/>
            <w:overflowPunct/>
            <w:topLinePunct w:val="0"/>
            <w:autoSpaceDE/>
            <w:autoSpaceDN/>
            <w:bidi w:val="0"/>
            <w:adjustRightInd/>
            <w:snapToGrid/>
            <w:spacing w:after="120"/>
            <w:textAlignment w:val="auto"/>
            <w:rPr>
              <w:rFonts w:eastAsia="宋体"/>
              <w:sz w:val="24"/>
            </w:rPr>
          </w:pPr>
          <w:r>
            <w:rPr>
              <w:rFonts w:hint="eastAsia" w:ascii="Times New Roman" w:hAnsi="Times New Roman" w:eastAsia="宋体"/>
              <w:sz w:val="24"/>
            </w:rPr>
            <w:fldChar w:fldCharType="begin"/>
          </w:r>
          <w:r>
            <w:rPr>
              <w:rFonts w:hint="eastAsia" w:ascii="Times New Roman" w:hAnsi="Times New Roman" w:eastAsia="宋体"/>
              <w:sz w:val="24"/>
            </w:rPr>
            <w:instrText xml:space="preserve"> HYPERLINK \l _Toc22090 </w:instrText>
          </w:r>
          <w:r>
            <w:rPr>
              <w:rFonts w:hint="eastAsia" w:ascii="Times New Roman" w:hAnsi="Times New Roman" w:eastAsia="宋体"/>
              <w:sz w:val="24"/>
            </w:rPr>
            <w:fldChar w:fldCharType="separate"/>
          </w:r>
          <w:r>
            <w:rPr>
              <w:rFonts w:ascii="Times New Roman" w:hAnsi="Times New Roman" w:eastAsia="宋体"/>
              <w:bCs/>
              <w:kern w:val="0"/>
              <w:sz w:val="24"/>
            </w:rPr>
            <w:t>1.3 核心痛点与系统价值主张对照分析</w:t>
          </w:r>
          <w:r>
            <w:rPr>
              <w:rFonts w:eastAsia="宋体"/>
              <w:sz w:val="24"/>
            </w:rPr>
            <w:tab/>
          </w:r>
          <w:r>
            <w:rPr>
              <w:rFonts w:eastAsia="宋体"/>
              <w:sz w:val="24"/>
            </w:rPr>
            <w:fldChar w:fldCharType="begin"/>
          </w:r>
          <w:r>
            <w:rPr>
              <w:rFonts w:eastAsia="宋体"/>
              <w:sz w:val="24"/>
            </w:rPr>
            <w:instrText xml:space="preserve"> PAGEREF _Toc22090 \h </w:instrText>
          </w:r>
          <w:r>
            <w:rPr>
              <w:rFonts w:eastAsia="宋体"/>
              <w:sz w:val="24"/>
            </w:rPr>
            <w:fldChar w:fldCharType="separate"/>
          </w:r>
          <w:r>
            <w:rPr>
              <w:rFonts w:eastAsia="宋体"/>
              <w:sz w:val="24"/>
            </w:rPr>
            <w:t>- 2 -</w:t>
          </w:r>
          <w:r>
            <w:rPr>
              <w:rFonts w:eastAsia="宋体"/>
              <w:sz w:val="24"/>
            </w:rPr>
            <w:fldChar w:fldCharType="end"/>
          </w:r>
          <w:r>
            <w:rPr>
              <w:rFonts w:hint="eastAsia" w:ascii="Times New Roman" w:hAnsi="Times New Roman" w:eastAsia="宋体"/>
              <w:sz w:val="24"/>
            </w:rPr>
            <w:fldChar w:fldCharType="end"/>
          </w:r>
        </w:p>
        <w:p w14:paraId="6BC09B4B">
          <w:pPr>
            <w:pStyle w:val="26"/>
            <w:keepNext w:val="0"/>
            <w:keepLines w:val="0"/>
            <w:pageBreakBefore w:val="0"/>
            <w:widowControl/>
            <w:tabs>
              <w:tab w:val="right" w:leader="dot" w:pos="9065"/>
            </w:tabs>
            <w:kinsoku/>
            <w:wordWrap/>
            <w:overflowPunct/>
            <w:topLinePunct w:val="0"/>
            <w:autoSpaceDE/>
            <w:autoSpaceDN/>
            <w:bidi w:val="0"/>
            <w:adjustRightInd/>
            <w:snapToGrid/>
            <w:spacing w:after="120"/>
            <w:textAlignment w:val="auto"/>
            <w:rPr>
              <w:rFonts w:eastAsia="宋体"/>
              <w:sz w:val="24"/>
            </w:rPr>
          </w:pPr>
          <w:r>
            <w:rPr>
              <w:rFonts w:hint="eastAsia" w:ascii="Times New Roman" w:hAnsi="Times New Roman" w:eastAsia="宋体"/>
              <w:sz w:val="24"/>
            </w:rPr>
            <w:fldChar w:fldCharType="begin"/>
          </w:r>
          <w:r>
            <w:rPr>
              <w:rFonts w:hint="eastAsia" w:ascii="Times New Roman" w:hAnsi="Times New Roman" w:eastAsia="宋体"/>
              <w:sz w:val="24"/>
            </w:rPr>
            <w:instrText xml:space="preserve"> HYPERLINK \l _Toc8030 </w:instrText>
          </w:r>
          <w:r>
            <w:rPr>
              <w:rFonts w:hint="eastAsia" w:ascii="Times New Roman" w:hAnsi="Times New Roman" w:eastAsia="宋体"/>
              <w:sz w:val="24"/>
            </w:rPr>
            <w:fldChar w:fldCharType="separate"/>
          </w:r>
          <w:r>
            <w:rPr>
              <w:rFonts w:hint="eastAsia" w:ascii="黑体" w:hAnsi="黑体" w:eastAsia="宋体" w:cs="黑体"/>
              <w:bCs/>
              <w:kern w:val="0"/>
              <w:sz w:val="24"/>
            </w:rPr>
            <w:t>第二章 宏观政策背景、市场需求与竞品分析</w:t>
          </w:r>
          <w:r>
            <w:rPr>
              <w:rFonts w:eastAsia="宋体"/>
              <w:sz w:val="24"/>
            </w:rPr>
            <w:tab/>
          </w:r>
          <w:r>
            <w:rPr>
              <w:rFonts w:eastAsia="宋体"/>
              <w:sz w:val="24"/>
            </w:rPr>
            <w:fldChar w:fldCharType="begin"/>
          </w:r>
          <w:r>
            <w:rPr>
              <w:rFonts w:eastAsia="宋体"/>
              <w:sz w:val="24"/>
            </w:rPr>
            <w:instrText xml:space="preserve"> PAGEREF _Toc8030 \h </w:instrText>
          </w:r>
          <w:r>
            <w:rPr>
              <w:rFonts w:eastAsia="宋体"/>
              <w:sz w:val="24"/>
            </w:rPr>
            <w:fldChar w:fldCharType="separate"/>
          </w:r>
          <w:r>
            <w:rPr>
              <w:rFonts w:eastAsia="宋体"/>
              <w:sz w:val="24"/>
            </w:rPr>
            <w:t>- 3 -</w:t>
          </w:r>
          <w:r>
            <w:rPr>
              <w:rFonts w:eastAsia="宋体"/>
              <w:sz w:val="24"/>
            </w:rPr>
            <w:fldChar w:fldCharType="end"/>
          </w:r>
          <w:r>
            <w:rPr>
              <w:rFonts w:hint="eastAsia" w:ascii="Times New Roman" w:hAnsi="Times New Roman" w:eastAsia="宋体"/>
              <w:sz w:val="24"/>
            </w:rPr>
            <w:fldChar w:fldCharType="end"/>
          </w:r>
        </w:p>
        <w:p w14:paraId="73BB0F16">
          <w:pPr>
            <w:pStyle w:val="29"/>
            <w:keepNext w:val="0"/>
            <w:keepLines w:val="0"/>
            <w:pageBreakBefore w:val="0"/>
            <w:widowControl/>
            <w:tabs>
              <w:tab w:val="right" w:leader="dot" w:pos="9065"/>
            </w:tabs>
            <w:kinsoku/>
            <w:wordWrap/>
            <w:overflowPunct/>
            <w:topLinePunct w:val="0"/>
            <w:autoSpaceDE/>
            <w:autoSpaceDN/>
            <w:bidi w:val="0"/>
            <w:adjustRightInd/>
            <w:snapToGrid/>
            <w:spacing w:after="120"/>
            <w:textAlignment w:val="auto"/>
            <w:rPr>
              <w:rFonts w:eastAsia="宋体"/>
              <w:sz w:val="24"/>
            </w:rPr>
          </w:pPr>
          <w:r>
            <w:rPr>
              <w:rFonts w:hint="eastAsia" w:ascii="Times New Roman" w:hAnsi="Times New Roman" w:eastAsia="宋体"/>
              <w:sz w:val="24"/>
            </w:rPr>
            <w:fldChar w:fldCharType="begin"/>
          </w:r>
          <w:r>
            <w:rPr>
              <w:rFonts w:hint="eastAsia" w:ascii="Times New Roman" w:hAnsi="Times New Roman" w:eastAsia="宋体"/>
              <w:sz w:val="24"/>
            </w:rPr>
            <w:instrText xml:space="preserve"> HYPERLINK \l _Toc5516 </w:instrText>
          </w:r>
          <w:r>
            <w:rPr>
              <w:rFonts w:hint="eastAsia" w:ascii="Times New Roman" w:hAnsi="Times New Roman" w:eastAsia="宋体"/>
              <w:sz w:val="24"/>
            </w:rPr>
            <w:fldChar w:fldCharType="separate"/>
          </w:r>
          <w:r>
            <w:rPr>
              <w:rFonts w:ascii="Times New Roman" w:hAnsi="Times New Roman" w:eastAsia="宋体"/>
              <w:bCs/>
              <w:kern w:val="0"/>
              <w:sz w:val="24"/>
            </w:rPr>
            <w:t>2.1 国家宏观战略与高校教育数字化赋能</w:t>
          </w:r>
          <w:r>
            <w:rPr>
              <w:rFonts w:eastAsia="宋体"/>
              <w:sz w:val="24"/>
            </w:rPr>
            <w:tab/>
          </w:r>
          <w:r>
            <w:rPr>
              <w:rFonts w:eastAsia="宋体"/>
              <w:sz w:val="24"/>
            </w:rPr>
            <w:fldChar w:fldCharType="begin"/>
          </w:r>
          <w:r>
            <w:rPr>
              <w:rFonts w:eastAsia="宋体"/>
              <w:sz w:val="24"/>
            </w:rPr>
            <w:instrText xml:space="preserve"> PAGEREF _Toc5516 \h </w:instrText>
          </w:r>
          <w:r>
            <w:rPr>
              <w:rFonts w:eastAsia="宋体"/>
              <w:sz w:val="24"/>
            </w:rPr>
            <w:fldChar w:fldCharType="separate"/>
          </w:r>
          <w:r>
            <w:rPr>
              <w:rFonts w:eastAsia="宋体"/>
              <w:sz w:val="24"/>
            </w:rPr>
            <w:t>- 3 -</w:t>
          </w:r>
          <w:r>
            <w:rPr>
              <w:rFonts w:eastAsia="宋体"/>
              <w:sz w:val="24"/>
            </w:rPr>
            <w:fldChar w:fldCharType="end"/>
          </w:r>
          <w:r>
            <w:rPr>
              <w:rFonts w:hint="eastAsia" w:ascii="Times New Roman" w:hAnsi="Times New Roman" w:eastAsia="宋体"/>
              <w:sz w:val="24"/>
            </w:rPr>
            <w:fldChar w:fldCharType="end"/>
          </w:r>
        </w:p>
        <w:p w14:paraId="7B87C787">
          <w:pPr>
            <w:pStyle w:val="29"/>
            <w:keepNext w:val="0"/>
            <w:keepLines w:val="0"/>
            <w:pageBreakBefore w:val="0"/>
            <w:widowControl/>
            <w:tabs>
              <w:tab w:val="right" w:leader="dot" w:pos="9065"/>
            </w:tabs>
            <w:kinsoku/>
            <w:wordWrap/>
            <w:overflowPunct/>
            <w:topLinePunct w:val="0"/>
            <w:autoSpaceDE/>
            <w:autoSpaceDN/>
            <w:bidi w:val="0"/>
            <w:adjustRightInd/>
            <w:snapToGrid/>
            <w:spacing w:after="120"/>
            <w:textAlignment w:val="auto"/>
            <w:rPr>
              <w:rFonts w:eastAsia="宋体"/>
              <w:sz w:val="24"/>
            </w:rPr>
          </w:pPr>
          <w:r>
            <w:rPr>
              <w:rFonts w:hint="eastAsia" w:ascii="Times New Roman" w:hAnsi="Times New Roman" w:eastAsia="宋体"/>
              <w:sz w:val="24"/>
            </w:rPr>
            <w:fldChar w:fldCharType="begin"/>
          </w:r>
          <w:r>
            <w:rPr>
              <w:rFonts w:hint="eastAsia" w:ascii="Times New Roman" w:hAnsi="Times New Roman" w:eastAsia="宋体"/>
              <w:sz w:val="24"/>
            </w:rPr>
            <w:instrText xml:space="preserve"> HYPERLINK \l _Toc31665 </w:instrText>
          </w:r>
          <w:r>
            <w:rPr>
              <w:rFonts w:hint="eastAsia" w:ascii="Times New Roman" w:hAnsi="Times New Roman" w:eastAsia="宋体"/>
              <w:sz w:val="24"/>
            </w:rPr>
            <w:fldChar w:fldCharType="separate"/>
          </w:r>
          <w:r>
            <w:rPr>
              <w:rFonts w:ascii="Times New Roman" w:hAnsi="Times New Roman" w:eastAsia="宋体"/>
              <w:bCs/>
              <w:kern w:val="0"/>
              <w:sz w:val="24"/>
            </w:rPr>
            <w:t>2.2 用户群体特征、借阅行为与痛点调研数据</w:t>
          </w:r>
          <w:r>
            <w:rPr>
              <w:rFonts w:eastAsia="宋体"/>
              <w:sz w:val="24"/>
            </w:rPr>
            <w:tab/>
          </w:r>
          <w:r>
            <w:rPr>
              <w:rFonts w:eastAsia="宋体"/>
              <w:sz w:val="24"/>
            </w:rPr>
            <w:fldChar w:fldCharType="begin"/>
          </w:r>
          <w:r>
            <w:rPr>
              <w:rFonts w:eastAsia="宋体"/>
              <w:sz w:val="24"/>
            </w:rPr>
            <w:instrText xml:space="preserve"> PAGEREF _Toc31665 \h </w:instrText>
          </w:r>
          <w:r>
            <w:rPr>
              <w:rFonts w:eastAsia="宋体"/>
              <w:sz w:val="24"/>
            </w:rPr>
            <w:fldChar w:fldCharType="separate"/>
          </w:r>
          <w:r>
            <w:rPr>
              <w:rFonts w:eastAsia="宋体"/>
              <w:sz w:val="24"/>
            </w:rPr>
            <w:t>- 3 -</w:t>
          </w:r>
          <w:r>
            <w:rPr>
              <w:rFonts w:eastAsia="宋体"/>
              <w:sz w:val="24"/>
            </w:rPr>
            <w:fldChar w:fldCharType="end"/>
          </w:r>
          <w:r>
            <w:rPr>
              <w:rFonts w:hint="eastAsia" w:ascii="Times New Roman" w:hAnsi="Times New Roman" w:eastAsia="宋体"/>
              <w:sz w:val="24"/>
            </w:rPr>
            <w:fldChar w:fldCharType="end"/>
          </w:r>
        </w:p>
        <w:p w14:paraId="756C43C9">
          <w:pPr>
            <w:pStyle w:val="29"/>
            <w:keepNext w:val="0"/>
            <w:keepLines w:val="0"/>
            <w:pageBreakBefore w:val="0"/>
            <w:widowControl/>
            <w:tabs>
              <w:tab w:val="right" w:leader="dot" w:pos="9065"/>
            </w:tabs>
            <w:kinsoku/>
            <w:wordWrap/>
            <w:overflowPunct/>
            <w:topLinePunct w:val="0"/>
            <w:autoSpaceDE/>
            <w:autoSpaceDN/>
            <w:bidi w:val="0"/>
            <w:adjustRightInd/>
            <w:snapToGrid/>
            <w:spacing w:after="120"/>
            <w:textAlignment w:val="auto"/>
            <w:rPr>
              <w:rFonts w:eastAsia="宋体"/>
              <w:sz w:val="24"/>
            </w:rPr>
          </w:pPr>
          <w:r>
            <w:rPr>
              <w:rFonts w:hint="eastAsia" w:ascii="Times New Roman" w:hAnsi="Times New Roman" w:eastAsia="宋体"/>
              <w:sz w:val="24"/>
            </w:rPr>
            <w:fldChar w:fldCharType="begin"/>
          </w:r>
          <w:r>
            <w:rPr>
              <w:rFonts w:hint="eastAsia" w:ascii="Times New Roman" w:hAnsi="Times New Roman" w:eastAsia="宋体"/>
              <w:sz w:val="24"/>
            </w:rPr>
            <w:instrText xml:space="preserve"> HYPERLINK \l _Toc30816 </w:instrText>
          </w:r>
          <w:r>
            <w:rPr>
              <w:rFonts w:hint="eastAsia" w:ascii="Times New Roman" w:hAnsi="Times New Roman" w:eastAsia="宋体"/>
              <w:sz w:val="24"/>
            </w:rPr>
            <w:fldChar w:fldCharType="separate"/>
          </w:r>
          <w:r>
            <w:rPr>
              <w:rFonts w:ascii="Times New Roman" w:hAnsi="Times New Roman" w:eastAsia="宋体"/>
              <w:bCs/>
              <w:kern w:val="0"/>
              <w:sz w:val="24"/>
            </w:rPr>
            <w:t>2.3 深度竞品对比与市场差异化壁垒</w:t>
          </w:r>
          <w:r>
            <w:rPr>
              <w:rFonts w:eastAsia="宋体"/>
              <w:sz w:val="24"/>
            </w:rPr>
            <w:tab/>
          </w:r>
          <w:r>
            <w:rPr>
              <w:rFonts w:eastAsia="宋体"/>
              <w:sz w:val="24"/>
            </w:rPr>
            <w:fldChar w:fldCharType="begin"/>
          </w:r>
          <w:r>
            <w:rPr>
              <w:rFonts w:eastAsia="宋体"/>
              <w:sz w:val="24"/>
            </w:rPr>
            <w:instrText xml:space="preserve"> PAGEREF _Toc30816 \h </w:instrText>
          </w:r>
          <w:r>
            <w:rPr>
              <w:rFonts w:eastAsia="宋体"/>
              <w:sz w:val="24"/>
            </w:rPr>
            <w:fldChar w:fldCharType="separate"/>
          </w:r>
          <w:r>
            <w:rPr>
              <w:rFonts w:eastAsia="宋体"/>
              <w:sz w:val="24"/>
            </w:rPr>
            <w:t>- 3 -</w:t>
          </w:r>
          <w:r>
            <w:rPr>
              <w:rFonts w:eastAsia="宋体"/>
              <w:sz w:val="24"/>
            </w:rPr>
            <w:fldChar w:fldCharType="end"/>
          </w:r>
          <w:r>
            <w:rPr>
              <w:rFonts w:hint="eastAsia" w:ascii="Times New Roman" w:hAnsi="Times New Roman" w:eastAsia="宋体"/>
              <w:sz w:val="24"/>
            </w:rPr>
            <w:fldChar w:fldCharType="end"/>
          </w:r>
        </w:p>
        <w:p w14:paraId="02119B99">
          <w:pPr>
            <w:pStyle w:val="26"/>
            <w:keepNext w:val="0"/>
            <w:keepLines w:val="0"/>
            <w:pageBreakBefore w:val="0"/>
            <w:widowControl/>
            <w:tabs>
              <w:tab w:val="right" w:leader="dot" w:pos="9065"/>
            </w:tabs>
            <w:kinsoku/>
            <w:wordWrap/>
            <w:overflowPunct/>
            <w:topLinePunct w:val="0"/>
            <w:autoSpaceDE/>
            <w:autoSpaceDN/>
            <w:bidi w:val="0"/>
            <w:adjustRightInd/>
            <w:snapToGrid/>
            <w:spacing w:after="120"/>
            <w:textAlignment w:val="auto"/>
            <w:rPr>
              <w:rFonts w:eastAsia="宋体"/>
              <w:sz w:val="24"/>
            </w:rPr>
          </w:pPr>
          <w:r>
            <w:rPr>
              <w:rFonts w:hint="eastAsia" w:ascii="Times New Roman" w:hAnsi="Times New Roman" w:eastAsia="宋体"/>
              <w:sz w:val="24"/>
            </w:rPr>
            <w:fldChar w:fldCharType="begin"/>
          </w:r>
          <w:r>
            <w:rPr>
              <w:rFonts w:hint="eastAsia" w:ascii="Times New Roman" w:hAnsi="Times New Roman" w:eastAsia="宋体"/>
              <w:sz w:val="24"/>
            </w:rPr>
            <w:instrText xml:space="preserve"> HYPERLINK \l _Toc6504 </w:instrText>
          </w:r>
          <w:r>
            <w:rPr>
              <w:rFonts w:hint="eastAsia" w:ascii="Times New Roman" w:hAnsi="Times New Roman" w:eastAsia="宋体"/>
              <w:sz w:val="24"/>
            </w:rPr>
            <w:fldChar w:fldCharType="separate"/>
          </w:r>
          <w:r>
            <w:rPr>
              <w:rFonts w:hint="eastAsia" w:ascii="黑体" w:hAnsi="黑体" w:eastAsia="宋体" w:cs="黑体"/>
              <w:bCs/>
              <w:kern w:val="0"/>
              <w:sz w:val="24"/>
            </w:rPr>
            <w:t>第三章 系统总体架构与技术选型</w:t>
          </w:r>
          <w:r>
            <w:rPr>
              <w:rFonts w:eastAsia="宋体"/>
              <w:sz w:val="24"/>
            </w:rPr>
            <w:tab/>
          </w:r>
          <w:r>
            <w:rPr>
              <w:rFonts w:eastAsia="宋体"/>
              <w:sz w:val="24"/>
            </w:rPr>
            <w:fldChar w:fldCharType="begin"/>
          </w:r>
          <w:r>
            <w:rPr>
              <w:rFonts w:eastAsia="宋体"/>
              <w:sz w:val="24"/>
            </w:rPr>
            <w:instrText xml:space="preserve"> PAGEREF _Toc6504 \h </w:instrText>
          </w:r>
          <w:r>
            <w:rPr>
              <w:rFonts w:eastAsia="宋体"/>
              <w:sz w:val="24"/>
            </w:rPr>
            <w:fldChar w:fldCharType="separate"/>
          </w:r>
          <w:r>
            <w:rPr>
              <w:rFonts w:eastAsia="宋体"/>
              <w:sz w:val="24"/>
            </w:rPr>
            <w:t>- 5 -</w:t>
          </w:r>
          <w:r>
            <w:rPr>
              <w:rFonts w:eastAsia="宋体"/>
              <w:sz w:val="24"/>
            </w:rPr>
            <w:fldChar w:fldCharType="end"/>
          </w:r>
          <w:r>
            <w:rPr>
              <w:rFonts w:hint="eastAsia" w:ascii="Times New Roman" w:hAnsi="Times New Roman" w:eastAsia="宋体"/>
              <w:sz w:val="24"/>
            </w:rPr>
            <w:fldChar w:fldCharType="end"/>
          </w:r>
        </w:p>
        <w:p w14:paraId="5BC90CDB">
          <w:pPr>
            <w:pStyle w:val="29"/>
            <w:keepNext w:val="0"/>
            <w:keepLines w:val="0"/>
            <w:pageBreakBefore w:val="0"/>
            <w:widowControl/>
            <w:tabs>
              <w:tab w:val="right" w:leader="dot" w:pos="9065"/>
            </w:tabs>
            <w:kinsoku/>
            <w:wordWrap/>
            <w:overflowPunct/>
            <w:topLinePunct w:val="0"/>
            <w:autoSpaceDE/>
            <w:autoSpaceDN/>
            <w:bidi w:val="0"/>
            <w:adjustRightInd/>
            <w:snapToGrid/>
            <w:spacing w:after="120"/>
            <w:textAlignment w:val="auto"/>
            <w:rPr>
              <w:rFonts w:eastAsia="宋体"/>
              <w:sz w:val="24"/>
            </w:rPr>
          </w:pPr>
          <w:r>
            <w:rPr>
              <w:rFonts w:hint="eastAsia" w:ascii="Times New Roman" w:hAnsi="Times New Roman" w:eastAsia="宋体"/>
              <w:sz w:val="24"/>
            </w:rPr>
            <w:fldChar w:fldCharType="begin"/>
          </w:r>
          <w:r>
            <w:rPr>
              <w:rFonts w:hint="eastAsia" w:ascii="Times New Roman" w:hAnsi="Times New Roman" w:eastAsia="宋体"/>
              <w:sz w:val="24"/>
            </w:rPr>
            <w:instrText xml:space="preserve"> HYPERLINK \l _Toc17346 </w:instrText>
          </w:r>
          <w:r>
            <w:rPr>
              <w:rFonts w:hint="eastAsia" w:ascii="Times New Roman" w:hAnsi="Times New Roman" w:eastAsia="宋体"/>
              <w:sz w:val="24"/>
            </w:rPr>
            <w:fldChar w:fldCharType="separate"/>
          </w:r>
          <w:r>
            <w:rPr>
              <w:rFonts w:ascii="Times New Roman" w:hAnsi="Times New Roman" w:eastAsia="宋体"/>
              <w:bCs/>
              <w:kern w:val="0"/>
              <w:sz w:val="24"/>
            </w:rPr>
            <w:t>3.1 四层分层解耦架构设计</w:t>
          </w:r>
          <w:r>
            <w:rPr>
              <w:rFonts w:eastAsia="宋体"/>
              <w:sz w:val="24"/>
            </w:rPr>
            <w:tab/>
          </w:r>
          <w:r>
            <w:rPr>
              <w:rFonts w:eastAsia="宋体"/>
              <w:sz w:val="24"/>
            </w:rPr>
            <w:fldChar w:fldCharType="begin"/>
          </w:r>
          <w:r>
            <w:rPr>
              <w:rFonts w:eastAsia="宋体"/>
              <w:sz w:val="24"/>
            </w:rPr>
            <w:instrText xml:space="preserve"> PAGEREF _Toc17346 \h </w:instrText>
          </w:r>
          <w:r>
            <w:rPr>
              <w:rFonts w:eastAsia="宋体"/>
              <w:sz w:val="24"/>
            </w:rPr>
            <w:fldChar w:fldCharType="separate"/>
          </w:r>
          <w:r>
            <w:rPr>
              <w:rFonts w:eastAsia="宋体"/>
              <w:sz w:val="24"/>
            </w:rPr>
            <w:t>- 5 -</w:t>
          </w:r>
          <w:r>
            <w:rPr>
              <w:rFonts w:eastAsia="宋体"/>
              <w:sz w:val="24"/>
            </w:rPr>
            <w:fldChar w:fldCharType="end"/>
          </w:r>
          <w:r>
            <w:rPr>
              <w:rFonts w:hint="eastAsia" w:ascii="Times New Roman" w:hAnsi="Times New Roman" w:eastAsia="宋体"/>
              <w:sz w:val="24"/>
            </w:rPr>
            <w:fldChar w:fldCharType="end"/>
          </w:r>
        </w:p>
        <w:p w14:paraId="79AC4584">
          <w:pPr>
            <w:pStyle w:val="29"/>
            <w:keepNext w:val="0"/>
            <w:keepLines w:val="0"/>
            <w:pageBreakBefore w:val="0"/>
            <w:widowControl/>
            <w:tabs>
              <w:tab w:val="right" w:leader="dot" w:pos="9065"/>
            </w:tabs>
            <w:kinsoku/>
            <w:wordWrap/>
            <w:overflowPunct/>
            <w:topLinePunct w:val="0"/>
            <w:autoSpaceDE/>
            <w:autoSpaceDN/>
            <w:bidi w:val="0"/>
            <w:adjustRightInd/>
            <w:snapToGrid/>
            <w:spacing w:after="120"/>
            <w:textAlignment w:val="auto"/>
            <w:rPr>
              <w:rFonts w:eastAsia="宋体"/>
              <w:sz w:val="24"/>
            </w:rPr>
          </w:pPr>
          <w:r>
            <w:rPr>
              <w:rFonts w:hint="eastAsia" w:ascii="Times New Roman" w:hAnsi="Times New Roman" w:eastAsia="宋体"/>
              <w:sz w:val="24"/>
            </w:rPr>
            <w:fldChar w:fldCharType="begin"/>
          </w:r>
          <w:r>
            <w:rPr>
              <w:rFonts w:hint="eastAsia" w:ascii="Times New Roman" w:hAnsi="Times New Roman" w:eastAsia="宋体"/>
              <w:sz w:val="24"/>
            </w:rPr>
            <w:instrText xml:space="preserve"> HYPERLINK \l _Toc25681 </w:instrText>
          </w:r>
          <w:r>
            <w:rPr>
              <w:rFonts w:hint="eastAsia" w:ascii="Times New Roman" w:hAnsi="Times New Roman" w:eastAsia="宋体"/>
              <w:sz w:val="24"/>
            </w:rPr>
            <w:fldChar w:fldCharType="separate"/>
          </w:r>
          <w:r>
            <w:rPr>
              <w:rFonts w:ascii="Times New Roman" w:hAnsi="Times New Roman" w:eastAsia="宋体"/>
              <w:bCs/>
              <w:kern w:val="0"/>
              <w:sz w:val="24"/>
            </w:rPr>
            <w:t>3.2 关键技术选型深度论证与权衡</w:t>
          </w:r>
          <w:r>
            <w:rPr>
              <w:rFonts w:eastAsia="宋体"/>
              <w:sz w:val="24"/>
            </w:rPr>
            <w:tab/>
          </w:r>
          <w:r>
            <w:rPr>
              <w:rFonts w:eastAsia="宋体"/>
              <w:sz w:val="24"/>
            </w:rPr>
            <w:fldChar w:fldCharType="begin"/>
          </w:r>
          <w:r>
            <w:rPr>
              <w:rFonts w:eastAsia="宋体"/>
              <w:sz w:val="24"/>
            </w:rPr>
            <w:instrText xml:space="preserve"> PAGEREF _Toc25681 \h </w:instrText>
          </w:r>
          <w:r>
            <w:rPr>
              <w:rFonts w:eastAsia="宋体"/>
              <w:sz w:val="24"/>
            </w:rPr>
            <w:fldChar w:fldCharType="separate"/>
          </w:r>
          <w:r>
            <w:rPr>
              <w:rFonts w:eastAsia="宋体"/>
              <w:sz w:val="24"/>
            </w:rPr>
            <w:t>- 6 -</w:t>
          </w:r>
          <w:r>
            <w:rPr>
              <w:rFonts w:eastAsia="宋体"/>
              <w:sz w:val="24"/>
            </w:rPr>
            <w:fldChar w:fldCharType="end"/>
          </w:r>
          <w:r>
            <w:rPr>
              <w:rFonts w:hint="eastAsia" w:ascii="Times New Roman" w:hAnsi="Times New Roman" w:eastAsia="宋体"/>
              <w:sz w:val="24"/>
            </w:rPr>
            <w:fldChar w:fldCharType="end"/>
          </w:r>
        </w:p>
        <w:p w14:paraId="4586817E">
          <w:pPr>
            <w:pStyle w:val="26"/>
            <w:keepNext w:val="0"/>
            <w:keepLines w:val="0"/>
            <w:pageBreakBefore w:val="0"/>
            <w:widowControl/>
            <w:tabs>
              <w:tab w:val="right" w:leader="dot" w:pos="9065"/>
            </w:tabs>
            <w:kinsoku/>
            <w:wordWrap/>
            <w:overflowPunct/>
            <w:topLinePunct w:val="0"/>
            <w:autoSpaceDE/>
            <w:autoSpaceDN/>
            <w:bidi w:val="0"/>
            <w:adjustRightInd/>
            <w:snapToGrid/>
            <w:spacing w:after="120"/>
            <w:textAlignment w:val="auto"/>
            <w:rPr>
              <w:rFonts w:eastAsia="宋体"/>
              <w:sz w:val="24"/>
            </w:rPr>
          </w:pPr>
          <w:r>
            <w:rPr>
              <w:rFonts w:hint="eastAsia" w:ascii="Times New Roman" w:hAnsi="Times New Roman" w:eastAsia="宋体"/>
              <w:sz w:val="24"/>
            </w:rPr>
            <w:fldChar w:fldCharType="begin"/>
          </w:r>
          <w:r>
            <w:rPr>
              <w:rFonts w:hint="eastAsia" w:ascii="Times New Roman" w:hAnsi="Times New Roman" w:eastAsia="宋体"/>
              <w:sz w:val="24"/>
            </w:rPr>
            <w:instrText xml:space="preserve"> HYPERLINK \l _Toc3071 </w:instrText>
          </w:r>
          <w:r>
            <w:rPr>
              <w:rFonts w:hint="eastAsia" w:ascii="Times New Roman" w:hAnsi="Times New Roman" w:eastAsia="宋体"/>
              <w:sz w:val="24"/>
            </w:rPr>
            <w:fldChar w:fldCharType="separate"/>
          </w:r>
          <w:r>
            <w:rPr>
              <w:rFonts w:hint="eastAsia" w:ascii="黑体" w:hAnsi="黑体" w:eastAsia="宋体" w:cs="黑体"/>
              <w:bCs/>
              <w:kern w:val="0"/>
              <w:sz w:val="24"/>
            </w:rPr>
            <w:t>第四章 智能推荐引擎算法机理与七步流水线</w:t>
          </w:r>
          <w:r>
            <w:rPr>
              <w:rFonts w:eastAsia="宋体"/>
              <w:sz w:val="24"/>
            </w:rPr>
            <w:tab/>
          </w:r>
          <w:r>
            <w:rPr>
              <w:rFonts w:eastAsia="宋体"/>
              <w:sz w:val="24"/>
            </w:rPr>
            <w:fldChar w:fldCharType="begin"/>
          </w:r>
          <w:r>
            <w:rPr>
              <w:rFonts w:eastAsia="宋体"/>
              <w:sz w:val="24"/>
            </w:rPr>
            <w:instrText xml:space="preserve"> PAGEREF _Toc3071 \h </w:instrText>
          </w:r>
          <w:r>
            <w:rPr>
              <w:rFonts w:eastAsia="宋体"/>
              <w:sz w:val="24"/>
            </w:rPr>
            <w:fldChar w:fldCharType="separate"/>
          </w:r>
          <w:r>
            <w:rPr>
              <w:rFonts w:eastAsia="宋体"/>
              <w:sz w:val="24"/>
            </w:rPr>
            <w:t>- 8 -</w:t>
          </w:r>
          <w:r>
            <w:rPr>
              <w:rFonts w:eastAsia="宋体"/>
              <w:sz w:val="24"/>
            </w:rPr>
            <w:fldChar w:fldCharType="end"/>
          </w:r>
          <w:r>
            <w:rPr>
              <w:rFonts w:hint="eastAsia" w:ascii="Times New Roman" w:hAnsi="Times New Roman" w:eastAsia="宋体"/>
              <w:sz w:val="24"/>
            </w:rPr>
            <w:fldChar w:fldCharType="end"/>
          </w:r>
        </w:p>
        <w:p w14:paraId="52534900">
          <w:pPr>
            <w:pStyle w:val="29"/>
            <w:keepNext w:val="0"/>
            <w:keepLines w:val="0"/>
            <w:pageBreakBefore w:val="0"/>
            <w:widowControl/>
            <w:tabs>
              <w:tab w:val="right" w:leader="dot" w:pos="9065"/>
            </w:tabs>
            <w:kinsoku/>
            <w:wordWrap/>
            <w:overflowPunct/>
            <w:topLinePunct w:val="0"/>
            <w:autoSpaceDE/>
            <w:autoSpaceDN/>
            <w:bidi w:val="0"/>
            <w:adjustRightInd/>
            <w:snapToGrid/>
            <w:spacing w:after="120"/>
            <w:textAlignment w:val="auto"/>
            <w:rPr>
              <w:rFonts w:eastAsia="宋体"/>
              <w:sz w:val="24"/>
            </w:rPr>
          </w:pPr>
          <w:r>
            <w:rPr>
              <w:rFonts w:hint="eastAsia" w:ascii="Times New Roman" w:hAnsi="Times New Roman" w:eastAsia="宋体"/>
              <w:sz w:val="24"/>
            </w:rPr>
            <w:fldChar w:fldCharType="begin"/>
          </w:r>
          <w:r>
            <w:rPr>
              <w:rFonts w:hint="eastAsia" w:ascii="Times New Roman" w:hAnsi="Times New Roman" w:eastAsia="宋体"/>
              <w:sz w:val="24"/>
            </w:rPr>
            <w:instrText xml:space="preserve"> HYPERLINK \l _Toc84 </w:instrText>
          </w:r>
          <w:r>
            <w:rPr>
              <w:rFonts w:hint="eastAsia" w:ascii="Times New Roman" w:hAnsi="Times New Roman" w:eastAsia="宋体"/>
              <w:sz w:val="24"/>
            </w:rPr>
            <w:fldChar w:fldCharType="separate"/>
          </w:r>
          <w:r>
            <w:rPr>
              <w:rFonts w:ascii="Times New Roman" w:hAnsi="Times New Roman" w:eastAsia="宋体"/>
              <w:bCs/>
              <w:kern w:val="0"/>
              <w:sz w:val="24"/>
            </w:rPr>
            <w:t>4.1 七步推荐管道（Pipeline）全流程工程拆解</w:t>
          </w:r>
          <w:r>
            <w:rPr>
              <w:rFonts w:eastAsia="宋体"/>
              <w:sz w:val="24"/>
            </w:rPr>
            <w:tab/>
          </w:r>
          <w:r>
            <w:rPr>
              <w:rFonts w:eastAsia="宋体"/>
              <w:sz w:val="24"/>
            </w:rPr>
            <w:fldChar w:fldCharType="begin"/>
          </w:r>
          <w:r>
            <w:rPr>
              <w:rFonts w:eastAsia="宋体"/>
              <w:sz w:val="24"/>
            </w:rPr>
            <w:instrText xml:space="preserve"> PAGEREF _Toc84 \h </w:instrText>
          </w:r>
          <w:r>
            <w:rPr>
              <w:rFonts w:eastAsia="宋体"/>
              <w:sz w:val="24"/>
            </w:rPr>
            <w:fldChar w:fldCharType="separate"/>
          </w:r>
          <w:r>
            <w:rPr>
              <w:rFonts w:eastAsia="宋体"/>
              <w:sz w:val="24"/>
            </w:rPr>
            <w:t>- 8 -</w:t>
          </w:r>
          <w:r>
            <w:rPr>
              <w:rFonts w:eastAsia="宋体"/>
              <w:sz w:val="24"/>
            </w:rPr>
            <w:fldChar w:fldCharType="end"/>
          </w:r>
          <w:r>
            <w:rPr>
              <w:rFonts w:hint="eastAsia" w:ascii="Times New Roman" w:hAnsi="Times New Roman" w:eastAsia="宋体"/>
              <w:sz w:val="24"/>
            </w:rPr>
            <w:fldChar w:fldCharType="end"/>
          </w:r>
        </w:p>
        <w:p w14:paraId="00BD9C64">
          <w:pPr>
            <w:pStyle w:val="29"/>
            <w:keepNext w:val="0"/>
            <w:keepLines w:val="0"/>
            <w:pageBreakBefore w:val="0"/>
            <w:widowControl/>
            <w:tabs>
              <w:tab w:val="right" w:leader="dot" w:pos="9065"/>
            </w:tabs>
            <w:kinsoku/>
            <w:wordWrap/>
            <w:overflowPunct/>
            <w:topLinePunct w:val="0"/>
            <w:autoSpaceDE/>
            <w:autoSpaceDN/>
            <w:bidi w:val="0"/>
            <w:adjustRightInd/>
            <w:snapToGrid/>
            <w:spacing w:after="120"/>
            <w:textAlignment w:val="auto"/>
            <w:rPr>
              <w:rFonts w:eastAsia="宋体"/>
              <w:sz w:val="24"/>
            </w:rPr>
          </w:pPr>
          <w:r>
            <w:rPr>
              <w:rFonts w:hint="eastAsia" w:ascii="Times New Roman" w:hAnsi="Times New Roman" w:eastAsia="宋体"/>
              <w:sz w:val="24"/>
            </w:rPr>
            <w:fldChar w:fldCharType="begin"/>
          </w:r>
          <w:r>
            <w:rPr>
              <w:rFonts w:hint="eastAsia" w:ascii="Times New Roman" w:hAnsi="Times New Roman" w:eastAsia="宋体"/>
              <w:sz w:val="24"/>
            </w:rPr>
            <w:instrText xml:space="preserve"> HYPERLINK \l _Toc2794 </w:instrText>
          </w:r>
          <w:r>
            <w:rPr>
              <w:rFonts w:hint="eastAsia" w:ascii="Times New Roman" w:hAnsi="Times New Roman" w:eastAsia="宋体"/>
              <w:sz w:val="24"/>
            </w:rPr>
            <w:fldChar w:fldCharType="separate"/>
          </w:r>
          <w:r>
            <w:rPr>
              <w:rFonts w:ascii="Times New Roman" w:hAnsi="Times New Roman" w:eastAsia="宋体"/>
              <w:bCs/>
              <w:kern w:val="0"/>
              <w:sz w:val="24"/>
            </w:rPr>
            <w:t>4.2 六维可解释评分模型的数学推导与权重体系</w:t>
          </w:r>
          <w:r>
            <w:rPr>
              <w:rFonts w:eastAsia="宋体"/>
              <w:sz w:val="24"/>
            </w:rPr>
            <w:tab/>
          </w:r>
          <w:r>
            <w:rPr>
              <w:rFonts w:eastAsia="宋体"/>
              <w:sz w:val="24"/>
            </w:rPr>
            <w:fldChar w:fldCharType="begin"/>
          </w:r>
          <w:r>
            <w:rPr>
              <w:rFonts w:eastAsia="宋体"/>
              <w:sz w:val="24"/>
            </w:rPr>
            <w:instrText xml:space="preserve"> PAGEREF _Toc2794 \h </w:instrText>
          </w:r>
          <w:r>
            <w:rPr>
              <w:rFonts w:eastAsia="宋体"/>
              <w:sz w:val="24"/>
            </w:rPr>
            <w:fldChar w:fldCharType="separate"/>
          </w:r>
          <w:r>
            <w:rPr>
              <w:rFonts w:eastAsia="宋体"/>
              <w:sz w:val="24"/>
            </w:rPr>
            <w:t>- 9 -</w:t>
          </w:r>
          <w:r>
            <w:rPr>
              <w:rFonts w:eastAsia="宋体"/>
              <w:sz w:val="24"/>
            </w:rPr>
            <w:fldChar w:fldCharType="end"/>
          </w:r>
          <w:r>
            <w:rPr>
              <w:rFonts w:hint="eastAsia" w:ascii="Times New Roman" w:hAnsi="Times New Roman" w:eastAsia="宋体"/>
              <w:sz w:val="24"/>
            </w:rPr>
            <w:fldChar w:fldCharType="end"/>
          </w:r>
        </w:p>
        <w:p w14:paraId="44FFD3E9">
          <w:pPr>
            <w:pStyle w:val="26"/>
            <w:keepNext w:val="0"/>
            <w:keepLines w:val="0"/>
            <w:pageBreakBefore w:val="0"/>
            <w:widowControl/>
            <w:tabs>
              <w:tab w:val="right" w:leader="dot" w:pos="9065"/>
            </w:tabs>
            <w:kinsoku/>
            <w:wordWrap/>
            <w:overflowPunct/>
            <w:topLinePunct w:val="0"/>
            <w:autoSpaceDE/>
            <w:autoSpaceDN/>
            <w:bidi w:val="0"/>
            <w:adjustRightInd/>
            <w:snapToGrid/>
            <w:spacing w:after="120"/>
            <w:textAlignment w:val="auto"/>
            <w:rPr>
              <w:rFonts w:eastAsia="宋体"/>
              <w:sz w:val="24"/>
            </w:rPr>
          </w:pPr>
          <w:r>
            <w:rPr>
              <w:rFonts w:hint="eastAsia" w:ascii="Times New Roman" w:hAnsi="Times New Roman" w:eastAsia="宋体"/>
              <w:sz w:val="24"/>
            </w:rPr>
            <w:fldChar w:fldCharType="begin"/>
          </w:r>
          <w:r>
            <w:rPr>
              <w:rFonts w:hint="eastAsia" w:ascii="Times New Roman" w:hAnsi="Times New Roman" w:eastAsia="宋体"/>
              <w:sz w:val="24"/>
            </w:rPr>
            <w:instrText xml:space="preserve"> HYPERLINK \l _Toc30555 </w:instrText>
          </w:r>
          <w:r>
            <w:rPr>
              <w:rFonts w:hint="eastAsia" w:ascii="Times New Roman" w:hAnsi="Times New Roman" w:eastAsia="宋体"/>
              <w:sz w:val="24"/>
            </w:rPr>
            <w:fldChar w:fldCharType="separate"/>
          </w:r>
          <w:r>
            <w:rPr>
              <w:rFonts w:hint="eastAsia" w:ascii="黑体" w:hAnsi="黑体" w:eastAsia="宋体" w:cs="黑体"/>
              <w:bCs/>
              <w:kern w:val="0"/>
              <w:sz w:val="24"/>
            </w:rPr>
            <w:t>第五章 学习路径规划、动态记忆中枢与闭环服务</w:t>
          </w:r>
          <w:r>
            <w:rPr>
              <w:rFonts w:eastAsia="宋体"/>
              <w:sz w:val="24"/>
            </w:rPr>
            <w:tab/>
          </w:r>
          <w:r>
            <w:rPr>
              <w:rFonts w:eastAsia="宋体"/>
              <w:sz w:val="24"/>
            </w:rPr>
            <w:fldChar w:fldCharType="begin"/>
          </w:r>
          <w:r>
            <w:rPr>
              <w:rFonts w:eastAsia="宋体"/>
              <w:sz w:val="24"/>
            </w:rPr>
            <w:instrText xml:space="preserve"> PAGEREF _Toc30555 \h </w:instrText>
          </w:r>
          <w:r>
            <w:rPr>
              <w:rFonts w:eastAsia="宋体"/>
              <w:sz w:val="24"/>
            </w:rPr>
            <w:fldChar w:fldCharType="separate"/>
          </w:r>
          <w:r>
            <w:rPr>
              <w:rFonts w:eastAsia="宋体"/>
              <w:sz w:val="24"/>
            </w:rPr>
            <w:t>- 12 -</w:t>
          </w:r>
          <w:r>
            <w:rPr>
              <w:rFonts w:eastAsia="宋体"/>
              <w:sz w:val="24"/>
            </w:rPr>
            <w:fldChar w:fldCharType="end"/>
          </w:r>
          <w:r>
            <w:rPr>
              <w:rFonts w:hint="eastAsia" w:ascii="Times New Roman" w:hAnsi="Times New Roman" w:eastAsia="宋体"/>
              <w:sz w:val="24"/>
            </w:rPr>
            <w:fldChar w:fldCharType="end"/>
          </w:r>
        </w:p>
        <w:p w14:paraId="346BFC26">
          <w:pPr>
            <w:pStyle w:val="29"/>
            <w:keepNext w:val="0"/>
            <w:keepLines w:val="0"/>
            <w:pageBreakBefore w:val="0"/>
            <w:widowControl/>
            <w:tabs>
              <w:tab w:val="right" w:leader="dot" w:pos="9065"/>
            </w:tabs>
            <w:kinsoku/>
            <w:wordWrap/>
            <w:overflowPunct/>
            <w:topLinePunct w:val="0"/>
            <w:autoSpaceDE/>
            <w:autoSpaceDN/>
            <w:bidi w:val="0"/>
            <w:adjustRightInd/>
            <w:snapToGrid/>
            <w:spacing w:after="120"/>
            <w:textAlignment w:val="auto"/>
            <w:rPr>
              <w:rFonts w:eastAsia="宋体"/>
              <w:sz w:val="24"/>
            </w:rPr>
          </w:pPr>
          <w:r>
            <w:rPr>
              <w:rFonts w:hint="eastAsia" w:ascii="Times New Roman" w:hAnsi="Times New Roman" w:eastAsia="宋体"/>
              <w:sz w:val="24"/>
            </w:rPr>
            <w:fldChar w:fldCharType="begin"/>
          </w:r>
          <w:r>
            <w:rPr>
              <w:rFonts w:hint="eastAsia" w:ascii="Times New Roman" w:hAnsi="Times New Roman" w:eastAsia="宋体"/>
              <w:sz w:val="24"/>
            </w:rPr>
            <w:instrText xml:space="preserve"> HYPERLINK \l _Toc1181 </w:instrText>
          </w:r>
          <w:r>
            <w:rPr>
              <w:rFonts w:hint="eastAsia" w:ascii="Times New Roman" w:hAnsi="Times New Roman" w:eastAsia="宋体"/>
              <w:sz w:val="24"/>
            </w:rPr>
            <w:fldChar w:fldCharType="separate"/>
          </w:r>
          <w:r>
            <w:rPr>
              <w:rFonts w:ascii="Times New Roman" w:hAnsi="Times New Roman" w:eastAsia="宋体"/>
              <w:bCs/>
              <w:kern w:val="0"/>
              <w:sz w:val="24"/>
            </w:rPr>
            <w:t>5.1 “推荐即路径”三阶段知识通关模型</w:t>
          </w:r>
          <w:r>
            <w:rPr>
              <w:rFonts w:eastAsia="宋体"/>
              <w:sz w:val="24"/>
            </w:rPr>
            <w:tab/>
          </w:r>
          <w:r>
            <w:rPr>
              <w:rFonts w:eastAsia="宋体"/>
              <w:sz w:val="24"/>
            </w:rPr>
            <w:fldChar w:fldCharType="begin"/>
          </w:r>
          <w:r>
            <w:rPr>
              <w:rFonts w:eastAsia="宋体"/>
              <w:sz w:val="24"/>
            </w:rPr>
            <w:instrText xml:space="preserve"> PAGEREF _Toc1181 \h </w:instrText>
          </w:r>
          <w:r>
            <w:rPr>
              <w:rFonts w:eastAsia="宋体"/>
              <w:sz w:val="24"/>
            </w:rPr>
            <w:fldChar w:fldCharType="separate"/>
          </w:r>
          <w:r>
            <w:rPr>
              <w:rFonts w:eastAsia="宋体"/>
              <w:sz w:val="24"/>
            </w:rPr>
            <w:t>- 12 -</w:t>
          </w:r>
          <w:r>
            <w:rPr>
              <w:rFonts w:eastAsia="宋体"/>
              <w:sz w:val="24"/>
            </w:rPr>
            <w:fldChar w:fldCharType="end"/>
          </w:r>
          <w:r>
            <w:rPr>
              <w:rFonts w:hint="eastAsia" w:ascii="Times New Roman" w:hAnsi="Times New Roman" w:eastAsia="宋体"/>
              <w:sz w:val="24"/>
            </w:rPr>
            <w:fldChar w:fldCharType="end"/>
          </w:r>
        </w:p>
        <w:p w14:paraId="1406A5E7">
          <w:pPr>
            <w:pStyle w:val="29"/>
            <w:keepNext w:val="0"/>
            <w:keepLines w:val="0"/>
            <w:pageBreakBefore w:val="0"/>
            <w:widowControl/>
            <w:tabs>
              <w:tab w:val="right" w:leader="dot" w:pos="9065"/>
            </w:tabs>
            <w:kinsoku/>
            <w:wordWrap/>
            <w:overflowPunct/>
            <w:topLinePunct w:val="0"/>
            <w:autoSpaceDE/>
            <w:autoSpaceDN/>
            <w:bidi w:val="0"/>
            <w:adjustRightInd/>
            <w:snapToGrid/>
            <w:spacing w:after="120"/>
            <w:textAlignment w:val="auto"/>
            <w:rPr>
              <w:rFonts w:eastAsia="宋体"/>
              <w:sz w:val="24"/>
            </w:rPr>
          </w:pPr>
          <w:r>
            <w:rPr>
              <w:rFonts w:hint="eastAsia" w:ascii="Times New Roman" w:hAnsi="Times New Roman" w:eastAsia="宋体"/>
              <w:sz w:val="24"/>
            </w:rPr>
            <w:fldChar w:fldCharType="begin"/>
          </w:r>
          <w:r>
            <w:rPr>
              <w:rFonts w:hint="eastAsia" w:ascii="Times New Roman" w:hAnsi="Times New Roman" w:eastAsia="宋体"/>
              <w:sz w:val="24"/>
            </w:rPr>
            <w:instrText xml:space="preserve"> HYPERLINK \l _Toc16266 </w:instrText>
          </w:r>
          <w:r>
            <w:rPr>
              <w:rFonts w:hint="eastAsia" w:ascii="Times New Roman" w:hAnsi="Times New Roman" w:eastAsia="宋体"/>
              <w:sz w:val="24"/>
            </w:rPr>
            <w:fldChar w:fldCharType="separate"/>
          </w:r>
          <w:r>
            <w:rPr>
              <w:rFonts w:ascii="Times New Roman" w:hAnsi="Times New Roman" w:eastAsia="宋体"/>
              <w:bCs/>
              <w:kern w:val="0"/>
              <w:sz w:val="24"/>
            </w:rPr>
            <w:t>5.2 动态画像记忆（ProfileMemory）与用户自适应进化</w:t>
          </w:r>
          <w:r>
            <w:rPr>
              <w:rFonts w:eastAsia="宋体"/>
              <w:sz w:val="24"/>
            </w:rPr>
            <w:tab/>
          </w:r>
          <w:r>
            <w:rPr>
              <w:rFonts w:eastAsia="宋体"/>
              <w:sz w:val="24"/>
            </w:rPr>
            <w:fldChar w:fldCharType="begin"/>
          </w:r>
          <w:r>
            <w:rPr>
              <w:rFonts w:eastAsia="宋体"/>
              <w:sz w:val="24"/>
            </w:rPr>
            <w:instrText xml:space="preserve"> PAGEREF _Toc16266 \h </w:instrText>
          </w:r>
          <w:r>
            <w:rPr>
              <w:rFonts w:eastAsia="宋体"/>
              <w:sz w:val="24"/>
            </w:rPr>
            <w:fldChar w:fldCharType="separate"/>
          </w:r>
          <w:r>
            <w:rPr>
              <w:rFonts w:eastAsia="宋体"/>
              <w:sz w:val="24"/>
            </w:rPr>
            <w:t>- 12 -</w:t>
          </w:r>
          <w:r>
            <w:rPr>
              <w:rFonts w:eastAsia="宋体"/>
              <w:sz w:val="24"/>
            </w:rPr>
            <w:fldChar w:fldCharType="end"/>
          </w:r>
          <w:r>
            <w:rPr>
              <w:rFonts w:hint="eastAsia" w:ascii="Times New Roman" w:hAnsi="Times New Roman" w:eastAsia="宋体"/>
              <w:sz w:val="24"/>
            </w:rPr>
            <w:fldChar w:fldCharType="end"/>
          </w:r>
        </w:p>
        <w:p w14:paraId="5C57C178">
          <w:pPr>
            <w:pStyle w:val="29"/>
            <w:keepNext w:val="0"/>
            <w:keepLines w:val="0"/>
            <w:pageBreakBefore w:val="0"/>
            <w:widowControl/>
            <w:tabs>
              <w:tab w:val="right" w:leader="dot" w:pos="9065"/>
            </w:tabs>
            <w:kinsoku/>
            <w:wordWrap/>
            <w:overflowPunct/>
            <w:topLinePunct w:val="0"/>
            <w:autoSpaceDE/>
            <w:autoSpaceDN/>
            <w:bidi w:val="0"/>
            <w:adjustRightInd/>
            <w:snapToGrid/>
            <w:spacing w:after="120"/>
            <w:textAlignment w:val="auto"/>
            <w:rPr>
              <w:rFonts w:eastAsia="宋体"/>
              <w:sz w:val="24"/>
            </w:rPr>
          </w:pPr>
          <w:r>
            <w:rPr>
              <w:rFonts w:hint="eastAsia" w:ascii="Times New Roman" w:hAnsi="Times New Roman" w:eastAsia="宋体"/>
              <w:sz w:val="24"/>
            </w:rPr>
            <w:fldChar w:fldCharType="begin"/>
          </w:r>
          <w:r>
            <w:rPr>
              <w:rFonts w:hint="eastAsia" w:ascii="Times New Roman" w:hAnsi="Times New Roman" w:eastAsia="宋体"/>
              <w:sz w:val="24"/>
            </w:rPr>
            <w:instrText xml:space="preserve"> HYPERLINK \l _Toc5973 </w:instrText>
          </w:r>
          <w:r>
            <w:rPr>
              <w:rFonts w:hint="eastAsia" w:ascii="Times New Roman" w:hAnsi="Times New Roman" w:eastAsia="宋体"/>
              <w:sz w:val="24"/>
            </w:rPr>
            <w:fldChar w:fldCharType="separate"/>
          </w:r>
          <w:r>
            <w:rPr>
              <w:rFonts w:ascii="Times New Roman" w:hAnsi="Times New Roman" w:eastAsia="宋体"/>
              <w:bCs/>
              <w:kern w:val="0"/>
              <w:sz w:val="24"/>
            </w:rPr>
            <w:t>5.3 闭环服务：馆藏副本模拟预约与五维匿名评测</w:t>
          </w:r>
          <w:r>
            <w:rPr>
              <w:rFonts w:eastAsia="宋体"/>
              <w:sz w:val="24"/>
            </w:rPr>
            <w:tab/>
          </w:r>
          <w:r>
            <w:rPr>
              <w:rFonts w:eastAsia="宋体"/>
              <w:sz w:val="24"/>
            </w:rPr>
            <w:fldChar w:fldCharType="begin"/>
          </w:r>
          <w:r>
            <w:rPr>
              <w:rFonts w:eastAsia="宋体"/>
              <w:sz w:val="24"/>
            </w:rPr>
            <w:instrText xml:space="preserve"> PAGEREF _Toc5973 \h </w:instrText>
          </w:r>
          <w:r>
            <w:rPr>
              <w:rFonts w:eastAsia="宋体"/>
              <w:sz w:val="24"/>
            </w:rPr>
            <w:fldChar w:fldCharType="separate"/>
          </w:r>
          <w:r>
            <w:rPr>
              <w:rFonts w:eastAsia="宋体"/>
              <w:sz w:val="24"/>
            </w:rPr>
            <w:t>- 13 -</w:t>
          </w:r>
          <w:r>
            <w:rPr>
              <w:rFonts w:eastAsia="宋体"/>
              <w:sz w:val="24"/>
            </w:rPr>
            <w:fldChar w:fldCharType="end"/>
          </w:r>
          <w:r>
            <w:rPr>
              <w:rFonts w:hint="eastAsia" w:ascii="Times New Roman" w:hAnsi="Times New Roman" w:eastAsia="宋体"/>
              <w:sz w:val="24"/>
            </w:rPr>
            <w:fldChar w:fldCharType="end"/>
          </w:r>
        </w:p>
        <w:p w14:paraId="45D0A201">
          <w:pPr>
            <w:pStyle w:val="26"/>
            <w:keepNext w:val="0"/>
            <w:keepLines w:val="0"/>
            <w:pageBreakBefore w:val="0"/>
            <w:widowControl/>
            <w:tabs>
              <w:tab w:val="right" w:leader="dot" w:pos="9065"/>
            </w:tabs>
            <w:kinsoku/>
            <w:wordWrap/>
            <w:overflowPunct/>
            <w:topLinePunct w:val="0"/>
            <w:autoSpaceDE/>
            <w:autoSpaceDN/>
            <w:bidi w:val="0"/>
            <w:adjustRightInd/>
            <w:snapToGrid/>
            <w:spacing w:after="120"/>
            <w:textAlignment w:val="auto"/>
            <w:rPr>
              <w:rFonts w:eastAsia="宋体"/>
              <w:sz w:val="24"/>
            </w:rPr>
          </w:pPr>
          <w:r>
            <w:rPr>
              <w:rFonts w:hint="eastAsia" w:ascii="Times New Roman" w:hAnsi="Times New Roman" w:eastAsia="宋体"/>
              <w:sz w:val="24"/>
            </w:rPr>
            <w:fldChar w:fldCharType="begin"/>
          </w:r>
          <w:r>
            <w:rPr>
              <w:rFonts w:hint="eastAsia" w:ascii="Times New Roman" w:hAnsi="Times New Roman" w:eastAsia="宋体"/>
              <w:sz w:val="24"/>
            </w:rPr>
            <w:instrText xml:space="preserve"> HYPERLINK \l _Toc9260 </w:instrText>
          </w:r>
          <w:r>
            <w:rPr>
              <w:rFonts w:hint="eastAsia" w:ascii="Times New Roman" w:hAnsi="Times New Roman" w:eastAsia="宋体"/>
              <w:sz w:val="24"/>
            </w:rPr>
            <w:fldChar w:fldCharType="separate"/>
          </w:r>
          <w:r>
            <w:rPr>
              <w:rFonts w:hint="eastAsia" w:ascii="黑体" w:hAnsi="黑体" w:eastAsia="宋体" w:cs="黑体"/>
              <w:bCs/>
              <w:kern w:val="0"/>
              <w:sz w:val="24"/>
            </w:rPr>
            <w:t>第六章 图书馆管理运营中台与数据工程流水线</w:t>
          </w:r>
          <w:r>
            <w:rPr>
              <w:rFonts w:eastAsia="宋体"/>
              <w:sz w:val="24"/>
            </w:rPr>
            <w:tab/>
          </w:r>
          <w:r>
            <w:rPr>
              <w:rFonts w:eastAsia="宋体"/>
              <w:sz w:val="24"/>
            </w:rPr>
            <w:fldChar w:fldCharType="begin"/>
          </w:r>
          <w:r>
            <w:rPr>
              <w:rFonts w:eastAsia="宋体"/>
              <w:sz w:val="24"/>
            </w:rPr>
            <w:instrText xml:space="preserve"> PAGEREF _Toc9260 \h </w:instrText>
          </w:r>
          <w:r>
            <w:rPr>
              <w:rFonts w:eastAsia="宋体"/>
              <w:sz w:val="24"/>
            </w:rPr>
            <w:fldChar w:fldCharType="separate"/>
          </w:r>
          <w:r>
            <w:rPr>
              <w:rFonts w:eastAsia="宋体"/>
              <w:sz w:val="24"/>
            </w:rPr>
            <w:t>- 14 -</w:t>
          </w:r>
          <w:r>
            <w:rPr>
              <w:rFonts w:eastAsia="宋体"/>
              <w:sz w:val="24"/>
            </w:rPr>
            <w:fldChar w:fldCharType="end"/>
          </w:r>
          <w:r>
            <w:rPr>
              <w:rFonts w:hint="eastAsia" w:ascii="Times New Roman" w:hAnsi="Times New Roman" w:eastAsia="宋体"/>
              <w:sz w:val="24"/>
            </w:rPr>
            <w:fldChar w:fldCharType="end"/>
          </w:r>
        </w:p>
        <w:p w14:paraId="7D229CBD">
          <w:pPr>
            <w:pStyle w:val="29"/>
            <w:keepNext w:val="0"/>
            <w:keepLines w:val="0"/>
            <w:pageBreakBefore w:val="0"/>
            <w:widowControl/>
            <w:tabs>
              <w:tab w:val="right" w:leader="dot" w:pos="9065"/>
            </w:tabs>
            <w:kinsoku/>
            <w:wordWrap/>
            <w:overflowPunct/>
            <w:topLinePunct w:val="0"/>
            <w:autoSpaceDE/>
            <w:autoSpaceDN/>
            <w:bidi w:val="0"/>
            <w:adjustRightInd/>
            <w:snapToGrid/>
            <w:spacing w:after="120"/>
            <w:textAlignment w:val="auto"/>
            <w:rPr>
              <w:rFonts w:eastAsia="宋体"/>
              <w:sz w:val="24"/>
            </w:rPr>
          </w:pPr>
          <w:r>
            <w:rPr>
              <w:rFonts w:hint="eastAsia" w:ascii="Times New Roman" w:hAnsi="Times New Roman" w:eastAsia="宋体"/>
              <w:sz w:val="24"/>
            </w:rPr>
            <w:fldChar w:fldCharType="begin"/>
          </w:r>
          <w:r>
            <w:rPr>
              <w:rFonts w:hint="eastAsia" w:ascii="Times New Roman" w:hAnsi="Times New Roman" w:eastAsia="宋体"/>
              <w:sz w:val="24"/>
            </w:rPr>
            <w:instrText xml:space="preserve"> HYPERLINK \l _Toc30514 </w:instrText>
          </w:r>
          <w:r>
            <w:rPr>
              <w:rFonts w:hint="eastAsia" w:ascii="Times New Roman" w:hAnsi="Times New Roman" w:eastAsia="宋体"/>
              <w:sz w:val="24"/>
            </w:rPr>
            <w:fldChar w:fldCharType="separate"/>
          </w:r>
          <w:r>
            <w:rPr>
              <w:rFonts w:ascii="Times New Roman" w:hAnsi="Times New Roman" w:eastAsia="宋体"/>
              <w:bCs/>
              <w:kern w:val="0"/>
              <w:sz w:val="24"/>
            </w:rPr>
            <w:t>6.1 馆藏自动化清洗、校验与标准转换流水线</w:t>
          </w:r>
          <w:r>
            <w:rPr>
              <w:rFonts w:eastAsia="宋体"/>
              <w:sz w:val="24"/>
            </w:rPr>
            <w:tab/>
          </w:r>
          <w:r>
            <w:rPr>
              <w:rFonts w:eastAsia="宋体"/>
              <w:sz w:val="24"/>
            </w:rPr>
            <w:fldChar w:fldCharType="begin"/>
          </w:r>
          <w:r>
            <w:rPr>
              <w:rFonts w:eastAsia="宋体"/>
              <w:sz w:val="24"/>
            </w:rPr>
            <w:instrText xml:space="preserve"> PAGEREF _Toc30514 \h </w:instrText>
          </w:r>
          <w:r>
            <w:rPr>
              <w:rFonts w:eastAsia="宋体"/>
              <w:sz w:val="24"/>
            </w:rPr>
            <w:fldChar w:fldCharType="separate"/>
          </w:r>
          <w:r>
            <w:rPr>
              <w:rFonts w:eastAsia="宋体"/>
              <w:sz w:val="24"/>
            </w:rPr>
            <w:t>- 14 -</w:t>
          </w:r>
          <w:r>
            <w:rPr>
              <w:rFonts w:eastAsia="宋体"/>
              <w:sz w:val="24"/>
            </w:rPr>
            <w:fldChar w:fldCharType="end"/>
          </w:r>
          <w:r>
            <w:rPr>
              <w:rFonts w:hint="eastAsia" w:ascii="Times New Roman" w:hAnsi="Times New Roman" w:eastAsia="宋体"/>
              <w:sz w:val="24"/>
            </w:rPr>
            <w:fldChar w:fldCharType="end"/>
          </w:r>
        </w:p>
        <w:p w14:paraId="41DF692F">
          <w:pPr>
            <w:pStyle w:val="29"/>
            <w:keepNext w:val="0"/>
            <w:keepLines w:val="0"/>
            <w:pageBreakBefore w:val="0"/>
            <w:widowControl/>
            <w:tabs>
              <w:tab w:val="right" w:leader="dot" w:pos="9065"/>
            </w:tabs>
            <w:kinsoku/>
            <w:wordWrap/>
            <w:overflowPunct/>
            <w:topLinePunct w:val="0"/>
            <w:autoSpaceDE/>
            <w:autoSpaceDN/>
            <w:bidi w:val="0"/>
            <w:adjustRightInd/>
            <w:snapToGrid/>
            <w:spacing w:after="120"/>
            <w:textAlignment w:val="auto"/>
            <w:rPr>
              <w:rFonts w:eastAsia="宋体"/>
              <w:sz w:val="24"/>
            </w:rPr>
          </w:pPr>
          <w:r>
            <w:rPr>
              <w:rFonts w:hint="eastAsia" w:ascii="Times New Roman" w:hAnsi="Times New Roman" w:eastAsia="宋体"/>
              <w:sz w:val="24"/>
            </w:rPr>
            <w:fldChar w:fldCharType="begin"/>
          </w:r>
          <w:r>
            <w:rPr>
              <w:rFonts w:hint="eastAsia" w:ascii="Times New Roman" w:hAnsi="Times New Roman" w:eastAsia="宋体"/>
              <w:sz w:val="24"/>
            </w:rPr>
            <w:instrText xml:space="preserve"> HYPERLINK \l _Toc12022 </w:instrText>
          </w:r>
          <w:r>
            <w:rPr>
              <w:rFonts w:hint="eastAsia" w:ascii="Times New Roman" w:hAnsi="Times New Roman" w:eastAsia="宋体"/>
              <w:sz w:val="24"/>
            </w:rPr>
            <w:fldChar w:fldCharType="separate"/>
          </w:r>
          <w:r>
            <w:rPr>
              <w:rFonts w:ascii="Times New Roman" w:hAnsi="Times New Roman" w:eastAsia="宋体"/>
              <w:bCs/>
              <w:kern w:val="0"/>
              <w:sz w:val="24"/>
            </w:rPr>
            <w:t>6.2 AI 批量标签生成、枚举归一化与人机协同审核工作流</w:t>
          </w:r>
          <w:r>
            <w:rPr>
              <w:rFonts w:eastAsia="宋体"/>
              <w:sz w:val="24"/>
            </w:rPr>
            <w:tab/>
          </w:r>
          <w:r>
            <w:rPr>
              <w:rFonts w:eastAsia="宋体"/>
              <w:sz w:val="24"/>
            </w:rPr>
            <w:fldChar w:fldCharType="begin"/>
          </w:r>
          <w:r>
            <w:rPr>
              <w:rFonts w:eastAsia="宋体"/>
              <w:sz w:val="24"/>
            </w:rPr>
            <w:instrText xml:space="preserve"> PAGEREF _Toc12022 \h </w:instrText>
          </w:r>
          <w:r>
            <w:rPr>
              <w:rFonts w:eastAsia="宋体"/>
              <w:sz w:val="24"/>
            </w:rPr>
            <w:fldChar w:fldCharType="separate"/>
          </w:r>
          <w:r>
            <w:rPr>
              <w:rFonts w:eastAsia="宋体"/>
              <w:sz w:val="24"/>
            </w:rPr>
            <w:t>- 14 -</w:t>
          </w:r>
          <w:r>
            <w:rPr>
              <w:rFonts w:eastAsia="宋体"/>
              <w:sz w:val="24"/>
            </w:rPr>
            <w:fldChar w:fldCharType="end"/>
          </w:r>
          <w:r>
            <w:rPr>
              <w:rFonts w:hint="eastAsia" w:ascii="Times New Roman" w:hAnsi="Times New Roman" w:eastAsia="宋体"/>
              <w:sz w:val="24"/>
            </w:rPr>
            <w:fldChar w:fldCharType="end"/>
          </w:r>
        </w:p>
        <w:p w14:paraId="2FE9ADAD">
          <w:pPr>
            <w:pStyle w:val="29"/>
            <w:keepNext w:val="0"/>
            <w:keepLines w:val="0"/>
            <w:pageBreakBefore w:val="0"/>
            <w:widowControl/>
            <w:tabs>
              <w:tab w:val="right" w:leader="dot" w:pos="9065"/>
            </w:tabs>
            <w:kinsoku/>
            <w:wordWrap/>
            <w:overflowPunct/>
            <w:topLinePunct w:val="0"/>
            <w:autoSpaceDE/>
            <w:autoSpaceDN/>
            <w:bidi w:val="0"/>
            <w:adjustRightInd/>
            <w:snapToGrid/>
            <w:spacing w:after="120"/>
            <w:textAlignment w:val="auto"/>
            <w:rPr>
              <w:rFonts w:eastAsia="宋体"/>
              <w:sz w:val="24"/>
            </w:rPr>
          </w:pPr>
          <w:r>
            <w:rPr>
              <w:rFonts w:hint="eastAsia" w:ascii="Times New Roman" w:hAnsi="Times New Roman" w:eastAsia="宋体"/>
              <w:sz w:val="24"/>
            </w:rPr>
            <w:fldChar w:fldCharType="begin"/>
          </w:r>
          <w:r>
            <w:rPr>
              <w:rFonts w:hint="eastAsia" w:ascii="Times New Roman" w:hAnsi="Times New Roman" w:eastAsia="宋体"/>
              <w:sz w:val="24"/>
            </w:rPr>
            <w:instrText xml:space="preserve"> HYPERLINK \l _Toc23767 </w:instrText>
          </w:r>
          <w:r>
            <w:rPr>
              <w:rFonts w:hint="eastAsia" w:ascii="Times New Roman" w:hAnsi="Times New Roman" w:eastAsia="宋体"/>
              <w:sz w:val="24"/>
            </w:rPr>
            <w:fldChar w:fldCharType="separate"/>
          </w:r>
          <w:r>
            <w:rPr>
              <w:rFonts w:ascii="Times New Roman" w:hAnsi="Times New Roman" w:eastAsia="宋体"/>
              <w:bCs/>
              <w:kern w:val="0"/>
              <w:sz w:val="24"/>
            </w:rPr>
            <w:t>6.3 Chroma 向量索引增量构建与毫秒级版本切换</w:t>
          </w:r>
          <w:r>
            <w:rPr>
              <w:rFonts w:eastAsia="宋体"/>
              <w:sz w:val="24"/>
            </w:rPr>
            <w:tab/>
          </w:r>
          <w:r>
            <w:rPr>
              <w:rFonts w:eastAsia="宋体"/>
              <w:sz w:val="24"/>
            </w:rPr>
            <w:fldChar w:fldCharType="begin"/>
          </w:r>
          <w:r>
            <w:rPr>
              <w:rFonts w:eastAsia="宋体"/>
              <w:sz w:val="24"/>
            </w:rPr>
            <w:instrText xml:space="preserve"> PAGEREF _Toc23767 \h </w:instrText>
          </w:r>
          <w:r>
            <w:rPr>
              <w:rFonts w:eastAsia="宋体"/>
              <w:sz w:val="24"/>
            </w:rPr>
            <w:fldChar w:fldCharType="separate"/>
          </w:r>
          <w:r>
            <w:rPr>
              <w:rFonts w:eastAsia="宋体"/>
              <w:sz w:val="24"/>
            </w:rPr>
            <w:t>- 15 -</w:t>
          </w:r>
          <w:r>
            <w:rPr>
              <w:rFonts w:eastAsia="宋体"/>
              <w:sz w:val="24"/>
            </w:rPr>
            <w:fldChar w:fldCharType="end"/>
          </w:r>
          <w:r>
            <w:rPr>
              <w:rFonts w:hint="eastAsia" w:ascii="Times New Roman" w:hAnsi="Times New Roman" w:eastAsia="宋体"/>
              <w:sz w:val="24"/>
            </w:rPr>
            <w:fldChar w:fldCharType="end"/>
          </w:r>
        </w:p>
        <w:p w14:paraId="0CAC16FF">
          <w:pPr>
            <w:pStyle w:val="26"/>
            <w:keepNext w:val="0"/>
            <w:keepLines w:val="0"/>
            <w:pageBreakBefore w:val="0"/>
            <w:widowControl/>
            <w:tabs>
              <w:tab w:val="right" w:leader="dot" w:pos="9065"/>
            </w:tabs>
            <w:kinsoku/>
            <w:wordWrap/>
            <w:overflowPunct/>
            <w:topLinePunct w:val="0"/>
            <w:autoSpaceDE/>
            <w:autoSpaceDN/>
            <w:bidi w:val="0"/>
            <w:adjustRightInd/>
            <w:snapToGrid/>
            <w:spacing w:after="120"/>
            <w:textAlignment w:val="auto"/>
            <w:rPr>
              <w:rFonts w:eastAsia="宋体"/>
              <w:sz w:val="24"/>
            </w:rPr>
          </w:pPr>
          <w:r>
            <w:rPr>
              <w:rFonts w:hint="eastAsia" w:ascii="Times New Roman" w:hAnsi="Times New Roman" w:eastAsia="宋体"/>
              <w:sz w:val="24"/>
            </w:rPr>
            <w:fldChar w:fldCharType="begin"/>
          </w:r>
          <w:r>
            <w:rPr>
              <w:rFonts w:hint="eastAsia" w:ascii="Times New Roman" w:hAnsi="Times New Roman" w:eastAsia="宋体"/>
              <w:sz w:val="24"/>
            </w:rPr>
            <w:instrText xml:space="preserve"> HYPERLINK \l _Toc23707 </w:instrText>
          </w:r>
          <w:r>
            <w:rPr>
              <w:rFonts w:hint="eastAsia" w:ascii="Times New Roman" w:hAnsi="Times New Roman" w:eastAsia="宋体"/>
              <w:sz w:val="24"/>
            </w:rPr>
            <w:fldChar w:fldCharType="separate"/>
          </w:r>
          <w:r>
            <w:rPr>
              <w:rFonts w:hint="eastAsia" w:ascii="黑体" w:hAnsi="黑体" w:eastAsia="宋体" w:cs="黑体"/>
              <w:bCs/>
              <w:kern w:val="0"/>
              <w:sz w:val="24"/>
            </w:rPr>
            <w:t>第七章 纵深安全防御体系与全链路容错降级</w:t>
          </w:r>
          <w:r>
            <w:rPr>
              <w:rFonts w:eastAsia="宋体"/>
              <w:sz w:val="24"/>
            </w:rPr>
            <w:tab/>
          </w:r>
          <w:r>
            <w:rPr>
              <w:rFonts w:eastAsia="宋体"/>
              <w:sz w:val="24"/>
            </w:rPr>
            <w:fldChar w:fldCharType="begin"/>
          </w:r>
          <w:r>
            <w:rPr>
              <w:rFonts w:eastAsia="宋体"/>
              <w:sz w:val="24"/>
            </w:rPr>
            <w:instrText xml:space="preserve"> PAGEREF _Toc23707 \h </w:instrText>
          </w:r>
          <w:r>
            <w:rPr>
              <w:rFonts w:eastAsia="宋体"/>
              <w:sz w:val="24"/>
            </w:rPr>
            <w:fldChar w:fldCharType="separate"/>
          </w:r>
          <w:r>
            <w:rPr>
              <w:rFonts w:eastAsia="宋体"/>
              <w:sz w:val="24"/>
            </w:rPr>
            <w:t>- 16 -</w:t>
          </w:r>
          <w:r>
            <w:rPr>
              <w:rFonts w:eastAsia="宋体"/>
              <w:sz w:val="24"/>
            </w:rPr>
            <w:fldChar w:fldCharType="end"/>
          </w:r>
          <w:r>
            <w:rPr>
              <w:rFonts w:hint="eastAsia" w:ascii="Times New Roman" w:hAnsi="Times New Roman" w:eastAsia="宋体"/>
              <w:sz w:val="24"/>
            </w:rPr>
            <w:fldChar w:fldCharType="end"/>
          </w:r>
        </w:p>
        <w:p w14:paraId="6A5A0F98">
          <w:pPr>
            <w:pStyle w:val="29"/>
            <w:keepNext w:val="0"/>
            <w:keepLines w:val="0"/>
            <w:pageBreakBefore w:val="0"/>
            <w:widowControl/>
            <w:tabs>
              <w:tab w:val="right" w:leader="dot" w:pos="9065"/>
            </w:tabs>
            <w:kinsoku/>
            <w:wordWrap/>
            <w:overflowPunct/>
            <w:topLinePunct w:val="0"/>
            <w:autoSpaceDE/>
            <w:autoSpaceDN/>
            <w:bidi w:val="0"/>
            <w:adjustRightInd/>
            <w:snapToGrid/>
            <w:spacing w:after="120"/>
            <w:textAlignment w:val="auto"/>
            <w:rPr>
              <w:rFonts w:eastAsia="宋体"/>
              <w:sz w:val="24"/>
            </w:rPr>
          </w:pPr>
          <w:r>
            <w:rPr>
              <w:rFonts w:hint="eastAsia" w:ascii="Times New Roman" w:hAnsi="Times New Roman" w:eastAsia="宋体"/>
              <w:sz w:val="24"/>
            </w:rPr>
            <w:fldChar w:fldCharType="begin"/>
          </w:r>
          <w:r>
            <w:rPr>
              <w:rFonts w:hint="eastAsia" w:ascii="Times New Roman" w:hAnsi="Times New Roman" w:eastAsia="宋体"/>
              <w:sz w:val="24"/>
            </w:rPr>
            <w:instrText xml:space="preserve"> HYPERLINK \l _Toc26185 </w:instrText>
          </w:r>
          <w:r>
            <w:rPr>
              <w:rFonts w:hint="eastAsia" w:ascii="Times New Roman" w:hAnsi="Times New Roman" w:eastAsia="宋体"/>
              <w:sz w:val="24"/>
            </w:rPr>
            <w:fldChar w:fldCharType="separate"/>
          </w:r>
          <w:r>
            <w:rPr>
              <w:rFonts w:ascii="Times New Roman" w:hAnsi="Times New Roman" w:eastAsia="宋体"/>
              <w:bCs/>
              <w:kern w:val="0"/>
              <w:sz w:val="24"/>
            </w:rPr>
            <w:t>7.1 生产级多层纵深安全防御体系</w:t>
          </w:r>
          <w:r>
            <w:rPr>
              <w:rFonts w:eastAsia="宋体"/>
              <w:sz w:val="24"/>
            </w:rPr>
            <w:tab/>
          </w:r>
          <w:r>
            <w:rPr>
              <w:rFonts w:eastAsia="宋体"/>
              <w:sz w:val="24"/>
            </w:rPr>
            <w:fldChar w:fldCharType="begin"/>
          </w:r>
          <w:r>
            <w:rPr>
              <w:rFonts w:eastAsia="宋体"/>
              <w:sz w:val="24"/>
            </w:rPr>
            <w:instrText xml:space="preserve"> PAGEREF _Toc26185 \h </w:instrText>
          </w:r>
          <w:r>
            <w:rPr>
              <w:rFonts w:eastAsia="宋体"/>
              <w:sz w:val="24"/>
            </w:rPr>
            <w:fldChar w:fldCharType="separate"/>
          </w:r>
          <w:r>
            <w:rPr>
              <w:rFonts w:eastAsia="宋体"/>
              <w:sz w:val="24"/>
            </w:rPr>
            <w:t>- 16 -</w:t>
          </w:r>
          <w:r>
            <w:rPr>
              <w:rFonts w:eastAsia="宋体"/>
              <w:sz w:val="24"/>
            </w:rPr>
            <w:fldChar w:fldCharType="end"/>
          </w:r>
          <w:r>
            <w:rPr>
              <w:rFonts w:hint="eastAsia" w:ascii="Times New Roman" w:hAnsi="Times New Roman" w:eastAsia="宋体"/>
              <w:sz w:val="24"/>
            </w:rPr>
            <w:fldChar w:fldCharType="end"/>
          </w:r>
        </w:p>
        <w:p w14:paraId="13DA7317">
          <w:pPr>
            <w:pStyle w:val="29"/>
            <w:keepNext w:val="0"/>
            <w:keepLines w:val="0"/>
            <w:pageBreakBefore w:val="0"/>
            <w:widowControl/>
            <w:tabs>
              <w:tab w:val="right" w:leader="dot" w:pos="9065"/>
            </w:tabs>
            <w:kinsoku/>
            <w:wordWrap/>
            <w:overflowPunct/>
            <w:topLinePunct w:val="0"/>
            <w:autoSpaceDE/>
            <w:autoSpaceDN/>
            <w:bidi w:val="0"/>
            <w:adjustRightInd/>
            <w:snapToGrid/>
            <w:spacing w:after="120"/>
            <w:textAlignment w:val="auto"/>
            <w:rPr>
              <w:rFonts w:eastAsia="宋体"/>
              <w:sz w:val="24"/>
            </w:rPr>
          </w:pPr>
          <w:r>
            <w:rPr>
              <w:rFonts w:hint="eastAsia" w:ascii="Times New Roman" w:hAnsi="Times New Roman" w:eastAsia="宋体"/>
              <w:sz w:val="24"/>
            </w:rPr>
            <w:fldChar w:fldCharType="begin"/>
          </w:r>
          <w:r>
            <w:rPr>
              <w:rFonts w:hint="eastAsia" w:ascii="Times New Roman" w:hAnsi="Times New Roman" w:eastAsia="宋体"/>
              <w:sz w:val="24"/>
            </w:rPr>
            <w:instrText xml:space="preserve"> HYPERLINK \l _Toc32451 </w:instrText>
          </w:r>
          <w:r>
            <w:rPr>
              <w:rFonts w:hint="eastAsia" w:ascii="Times New Roman" w:hAnsi="Times New Roman" w:eastAsia="宋体"/>
              <w:sz w:val="24"/>
            </w:rPr>
            <w:fldChar w:fldCharType="separate"/>
          </w:r>
          <w:r>
            <w:rPr>
              <w:rFonts w:ascii="Times New Roman" w:hAnsi="Times New Roman" w:eastAsia="宋体"/>
              <w:bCs/>
              <w:kern w:val="0"/>
              <w:sz w:val="24"/>
            </w:rPr>
            <w:t>7.2 全链路多级容错与确定性降级体系</w:t>
          </w:r>
          <w:r>
            <w:rPr>
              <w:rFonts w:eastAsia="宋体"/>
              <w:sz w:val="24"/>
            </w:rPr>
            <w:tab/>
          </w:r>
          <w:r>
            <w:rPr>
              <w:rFonts w:eastAsia="宋体"/>
              <w:sz w:val="24"/>
            </w:rPr>
            <w:fldChar w:fldCharType="begin"/>
          </w:r>
          <w:r>
            <w:rPr>
              <w:rFonts w:eastAsia="宋体"/>
              <w:sz w:val="24"/>
            </w:rPr>
            <w:instrText xml:space="preserve"> PAGEREF _Toc32451 \h </w:instrText>
          </w:r>
          <w:r>
            <w:rPr>
              <w:rFonts w:eastAsia="宋体"/>
              <w:sz w:val="24"/>
            </w:rPr>
            <w:fldChar w:fldCharType="separate"/>
          </w:r>
          <w:r>
            <w:rPr>
              <w:rFonts w:eastAsia="宋体"/>
              <w:sz w:val="24"/>
            </w:rPr>
            <w:t>- 17 -</w:t>
          </w:r>
          <w:r>
            <w:rPr>
              <w:rFonts w:eastAsia="宋体"/>
              <w:sz w:val="24"/>
            </w:rPr>
            <w:fldChar w:fldCharType="end"/>
          </w:r>
          <w:r>
            <w:rPr>
              <w:rFonts w:hint="eastAsia" w:ascii="Times New Roman" w:hAnsi="Times New Roman" w:eastAsia="宋体"/>
              <w:sz w:val="24"/>
            </w:rPr>
            <w:fldChar w:fldCharType="end"/>
          </w:r>
        </w:p>
        <w:p w14:paraId="72FA996E">
          <w:pPr>
            <w:pStyle w:val="26"/>
            <w:keepNext w:val="0"/>
            <w:keepLines w:val="0"/>
            <w:pageBreakBefore w:val="0"/>
            <w:widowControl/>
            <w:tabs>
              <w:tab w:val="right" w:leader="dot" w:pos="9065"/>
            </w:tabs>
            <w:kinsoku/>
            <w:wordWrap/>
            <w:overflowPunct/>
            <w:topLinePunct w:val="0"/>
            <w:autoSpaceDE/>
            <w:autoSpaceDN/>
            <w:bidi w:val="0"/>
            <w:adjustRightInd/>
            <w:snapToGrid/>
            <w:spacing w:after="120"/>
            <w:textAlignment w:val="auto"/>
            <w:rPr>
              <w:rFonts w:eastAsia="宋体"/>
              <w:sz w:val="24"/>
            </w:rPr>
          </w:pPr>
          <w:r>
            <w:rPr>
              <w:rFonts w:hint="eastAsia" w:ascii="Times New Roman" w:hAnsi="Times New Roman" w:eastAsia="宋体"/>
              <w:sz w:val="24"/>
            </w:rPr>
            <w:fldChar w:fldCharType="begin"/>
          </w:r>
          <w:r>
            <w:rPr>
              <w:rFonts w:hint="eastAsia" w:ascii="Times New Roman" w:hAnsi="Times New Roman" w:eastAsia="宋体"/>
              <w:sz w:val="24"/>
            </w:rPr>
            <w:instrText xml:space="preserve"> HYPERLINK \l _Toc25464 </w:instrText>
          </w:r>
          <w:r>
            <w:rPr>
              <w:rFonts w:hint="eastAsia" w:ascii="Times New Roman" w:hAnsi="Times New Roman" w:eastAsia="宋体"/>
              <w:sz w:val="24"/>
            </w:rPr>
            <w:fldChar w:fldCharType="separate"/>
          </w:r>
          <w:r>
            <w:rPr>
              <w:rFonts w:hint="eastAsia" w:ascii="黑体" w:hAnsi="黑体" w:eastAsia="宋体" w:cs="黑体"/>
              <w:bCs/>
              <w:kern w:val="0"/>
              <w:sz w:val="24"/>
            </w:rPr>
            <w:t>第八章 核心创新亮点与技术壁垒深度总结</w:t>
          </w:r>
          <w:r>
            <w:rPr>
              <w:rFonts w:eastAsia="宋体"/>
              <w:sz w:val="24"/>
            </w:rPr>
            <w:tab/>
          </w:r>
          <w:r>
            <w:rPr>
              <w:rFonts w:eastAsia="宋体"/>
              <w:sz w:val="24"/>
            </w:rPr>
            <w:fldChar w:fldCharType="begin"/>
          </w:r>
          <w:r>
            <w:rPr>
              <w:rFonts w:eastAsia="宋体"/>
              <w:sz w:val="24"/>
            </w:rPr>
            <w:instrText xml:space="preserve"> PAGEREF _Toc25464 \h </w:instrText>
          </w:r>
          <w:r>
            <w:rPr>
              <w:rFonts w:eastAsia="宋体"/>
              <w:sz w:val="24"/>
            </w:rPr>
            <w:fldChar w:fldCharType="separate"/>
          </w:r>
          <w:r>
            <w:rPr>
              <w:rFonts w:eastAsia="宋体"/>
              <w:sz w:val="24"/>
            </w:rPr>
            <w:t>- 19 -</w:t>
          </w:r>
          <w:r>
            <w:rPr>
              <w:rFonts w:eastAsia="宋体"/>
              <w:sz w:val="24"/>
            </w:rPr>
            <w:fldChar w:fldCharType="end"/>
          </w:r>
          <w:r>
            <w:rPr>
              <w:rFonts w:hint="eastAsia" w:ascii="Times New Roman" w:hAnsi="Times New Roman" w:eastAsia="宋体"/>
              <w:sz w:val="24"/>
            </w:rPr>
            <w:fldChar w:fldCharType="end"/>
          </w:r>
        </w:p>
        <w:p w14:paraId="53FC76FA">
          <w:pPr>
            <w:pStyle w:val="29"/>
            <w:keepNext w:val="0"/>
            <w:keepLines w:val="0"/>
            <w:pageBreakBefore w:val="0"/>
            <w:widowControl/>
            <w:tabs>
              <w:tab w:val="right" w:leader="dot" w:pos="9065"/>
            </w:tabs>
            <w:kinsoku/>
            <w:wordWrap/>
            <w:overflowPunct/>
            <w:topLinePunct w:val="0"/>
            <w:autoSpaceDE/>
            <w:autoSpaceDN/>
            <w:bidi w:val="0"/>
            <w:adjustRightInd/>
            <w:snapToGrid/>
            <w:spacing w:after="120"/>
            <w:textAlignment w:val="auto"/>
            <w:rPr>
              <w:rFonts w:eastAsia="宋体"/>
              <w:sz w:val="24"/>
            </w:rPr>
          </w:pPr>
          <w:r>
            <w:rPr>
              <w:rFonts w:hint="eastAsia" w:ascii="Times New Roman" w:hAnsi="Times New Roman" w:eastAsia="宋体"/>
              <w:sz w:val="24"/>
            </w:rPr>
            <w:fldChar w:fldCharType="begin"/>
          </w:r>
          <w:r>
            <w:rPr>
              <w:rFonts w:hint="eastAsia" w:ascii="Times New Roman" w:hAnsi="Times New Roman" w:eastAsia="宋体"/>
              <w:sz w:val="24"/>
            </w:rPr>
            <w:instrText xml:space="preserve"> HYPERLINK \l _Toc32476 </w:instrText>
          </w:r>
          <w:r>
            <w:rPr>
              <w:rFonts w:hint="eastAsia" w:ascii="Times New Roman" w:hAnsi="Times New Roman" w:eastAsia="宋体"/>
              <w:sz w:val="24"/>
            </w:rPr>
            <w:fldChar w:fldCharType="separate"/>
          </w:r>
          <w:r>
            <w:rPr>
              <w:rFonts w:hint="eastAsia" w:ascii="Times New Roman" w:hAnsi="Times New Roman" w:eastAsia="宋体"/>
              <w:bCs/>
              <w:kern w:val="0"/>
              <w:sz w:val="24"/>
              <w:lang w:val="en-US" w:eastAsia="zh-CN"/>
            </w:rPr>
            <w:t>8.1 核心技术亮点总结</w:t>
          </w:r>
          <w:r>
            <w:rPr>
              <w:rFonts w:eastAsia="宋体"/>
              <w:sz w:val="24"/>
            </w:rPr>
            <w:tab/>
          </w:r>
          <w:r>
            <w:rPr>
              <w:rFonts w:eastAsia="宋体"/>
              <w:sz w:val="24"/>
            </w:rPr>
            <w:fldChar w:fldCharType="begin"/>
          </w:r>
          <w:r>
            <w:rPr>
              <w:rFonts w:eastAsia="宋体"/>
              <w:sz w:val="24"/>
            </w:rPr>
            <w:instrText xml:space="preserve"> PAGEREF _Toc32476 \h </w:instrText>
          </w:r>
          <w:r>
            <w:rPr>
              <w:rFonts w:eastAsia="宋体"/>
              <w:sz w:val="24"/>
            </w:rPr>
            <w:fldChar w:fldCharType="separate"/>
          </w:r>
          <w:r>
            <w:rPr>
              <w:rFonts w:eastAsia="宋体"/>
              <w:sz w:val="24"/>
            </w:rPr>
            <w:t>- 19 -</w:t>
          </w:r>
          <w:r>
            <w:rPr>
              <w:rFonts w:eastAsia="宋体"/>
              <w:sz w:val="24"/>
            </w:rPr>
            <w:fldChar w:fldCharType="end"/>
          </w:r>
          <w:r>
            <w:rPr>
              <w:rFonts w:hint="eastAsia" w:ascii="Times New Roman" w:hAnsi="Times New Roman" w:eastAsia="宋体"/>
              <w:sz w:val="24"/>
            </w:rPr>
            <w:fldChar w:fldCharType="end"/>
          </w:r>
        </w:p>
        <w:p w14:paraId="74D4B799">
          <w:pPr>
            <w:pStyle w:val="26"/>
            <w:keepNext w:val="0"/>
            <w:keepLines w:val="0"/>
            <w:pageBreakBefore w:val="0"/>
            <w:widowControl/>
            <w:tabs>
              <w:tab w:val="right" w:leader="dot" w:pos="9065"/>
            </w:tabs>
            <w:kinsoku/>
            <w:wordWrap/>
            <w:overflowPunct/>
            <w:topLinePunct w:val="0"/>
            <w:autoSpaceDE/>
            <w:autoSpaceDN/>
            <w:bidi w:val="0"/>
            <w:adjustRightInd/>
            <w:snapToGrid/>
            <w:spacing w:after="120"/>
            <w:textAlignment w:val="auto"/>
            <w:rPr>
              <w:rFonts w:eastAsia="宋体"/>
              <w:sz w:val="24"/>
            </w:rPr>
          </w:pPr>
          <w:r>
            <w:rPr>
              <w:rFonts w:hint="eastAsia" w:ascii="Times New Roman" w:hAnsi="Times New Roman" w:eastAsia="宋体"/>
              <w:sz w:val="24"/>
            </w:rPr>
            <w:fldChar w:fldCharType="begin"/>
          </w:r>
          <w:r>
            <w:rPr>
              <w:rFonts w:hint="eastAsia" w:ascii="Times New Roman" w:hAnsi="Times New Roman" w:eastAsia="宋体"/>
              <w:sz w:val="24"/>
            </w:rPr>
            <w:instrText xml:space="preserve"> HYPERLINK \l _Toc5206 </w:instrText>
          </w:r>
          <w:r>
            <w:rPr>
              <w:rFonts w:hint="eastAsia" w:ascii="Times New Roman" w:hAnsi="Times New Roman" w:eastAsia="宋体"/>
              <w:sz w:val="24"/>
            </w:rPr>
            <w:fldChar w:fldCharType="separate"/>
          </w:r>
          <w:r>
            <w:rPr>
              <w:rFonts w:hint="eastAsia" w:ascii="黑体" w:hAnsi="黑体" w:eastAsia="宋体" w:cs="黑体"/>
              <w:bCs/>
              <w:kern w:val="0"/>
              <w:sz w:val="24"/>
            </w:rPr>
            <w:t>第九章 团队全景档案、专业分工与资源保障</w:t>
          </w:r>
          <w:r>
            <w:rPr>
              <w:rFonts w:eastAsia="宋体"/>
              <w:sz w:val="24"/>
            </w:rPr>
            <w:tab/>
          </w:r>
          <w:r>
            <w:rPr>
              <w:rFonts w:eastAsia="宋体"/>
              <w:sz w:val="24"/>
            </w:rPr>
            <w:fldChar w:fldCharType="begin"/>
          </w:r>
          <w:r>
            <w:rPr>
              <w:rFonts w:eastAsia="宋体"/>
              <w:sz w:val="24"/>
            </w:rPr>
            <w:instrText xml:space="preserve"> PAGEREF _Toc5206 \h </w:instrText>
          </w:r>
          <w:r>
            <w:rPr>
              <w:rFonts w:eastAsia="宋体"/>
              <w:sz w:val="24"/>
            </w:rPr>
            <w:fldChar w:fldCharType="separate"/>
          </w:r>
          <w:r>
            <w:rPr>
              <w:rFonts w:eastAsia="宋体"/>
              <w:sz w:val="24"/>
            </w:rPr>
            <w:t>- 20 -</w:t>
          </w:r>
          <w:r>
            <w:rPr>
              <w:rFonts w:eastAsia="宋体"/>
              <w:sz w:val="24"/>
            </w:rPr>
            <w:fldChar w:fldCharType="end"/>
          </w:r>
          <w:r>
            <w:rPr>
              <w:rFonts w:hint="eastAsia" w:ascii="Times New Roman" w:hAnsi="Times New Roman" w:eastAsia="宋体"/>
              <w:sz w:val="24"/>
            </w:rPr>
            <w:fldChar w:fldCharType="end"/>
          </w:r>
        </w:p>
        <w:p w14:paraId="0702BB49">
          <w:pPr>
            <w:pStyle w:val="29"/>
            <w:keepNext w:val="0"/>
            <w:keepLines w:val="0"/>
            <w:pageBreakBefore w:val="0"/>
            <w:widowControl/>
            <w:tabs>
              <w:tab w:val="right" w:leader="dot" w:pos="9065"/>
            </w:tabs>
            <w:kinsoku/>
            <w:wordWrap/>
            <w:overflowPunct/>
            <w:topLinePunct w:val="0"/>
            <w:autoSpaceDE/>
            <w:autoSpaceDN/>
            <w:bidi w:val="0"/>
            <w:adjustRightInd/>
            <w:snapToGrid/>
            <w:spacing w:after="120"/>
            <w:textAlignment w:val="auto"/>
            <w:rPr>
              <w:rFonts w:eastAsia="宋体"/>
              <w:sz w:val="24"/>
            </w:rPr>
          </w:pPr>
          <w:r>
            <w:rPr>
              <w:rFonts w:hint="eastAsia" w:ascii="Times New Roman" w:hAnsi="Times New Roman" w:eastAsia="宋体"/>
              <w:sz w:val="24"/>
            </w:rPr>
            <w:fldChar w:fldCharType="begin"/>
          </w:r>
          <w:r>
            <w:rPr>
              <w:rFonts w:hint="eastAsia" w:ascii="Times New Roman" w:hAnsi="Times New Roman" w:eastAsia="宋体"/>
              <w:sz w:val="24"/>
            </w:rPr>
            <w:instrText xml:space="preserve"> HYPERLINK \l _Toc4198 </w:instrText>
          </w:r>
          <w:r>
            <w:rPr>
              <w:rFonts w:hint="eastAsia" w:ascii="Times New Roman" w:hAnsi="Times New Roman" w:eastAsia="宋体"/>
              <w:sz w:val="24"/>
            </w:rPr>
            <w:fldChar w:fldCharType="separate"/>
          </w:r>
          <w:r>
            <w:rPr>
              <w:rFonts w:ascii="Times New Roman" w:hAnsi="Times New Roman" w:eastAsia="宋体"/>
              <w:bCs/>
              <w:kern w:val="0"/>
              <w:sz w:val="24"/>
            </w:rPr>
            <w:t>9.1 团队成员全景档案与分工矩阵</w:t>
          </w:r>
          <w:r>
            <w:rPr>
              <w:rFonts w:eastAsia="宋体"/>
              <w:sz w:val="24"/>
            </w:rPr>
            <w:tab/>
          </w:r>
          <w:r>
            <w:rPr>
              <w:rFonts w:eastAsia="宋体"/>
              <w:sz w:val="24"/>
            </w:rPr>
            <w:fldChar w:fldCharType="begin"/>
          </w:r>
          <w:r>
            <w:rPr>
              <w:rFonts w:eastAsia="宋体"/>
              <w:sz w:val="24"/>
            </w:rPr>
            <w:instrText xml:space="preserve"> PAGEREF _Toc4198 \h </w:instrText>
          </w:r>
          <w:r>
            <w:rPr>
              <w:rFonts w:eastAsia="宋体"/>
              <w:sz w:val="24"/>
            </w:rPr>
            <w:fldChar w:fldCharType="separate"/>
          </w:r>
          <w:r>
            <w:rPr>
              <w:rFonts w:eastAsia="宋体"/>
              <w:sz w:val="24"/>
            </w:rPr>
            <w:t>- 20 -</w:t>
          </w:r>
          <w:r>
            <w:rPr>
              <w:rFonts w:eastAsia="宋体"/>
              <w:sz w:val="24"/>
            </w:rPr>
            <w:fldChar w:fldCharType="end"/>
          </w:r>
          <w:r>
            <w:rPr>
              <w:rFonts w:hint="eastAsia" w:ascii="Times New Roman" w:hAnsi="Times New Roman" w:eastAsia="宋体"/>
              <w:sz w:val="24"/>
            </w:rPr>
            <w:fldChar w:fldCharType="end"/>
          </w:r>
        </w:p>
        <w:p w14:paraId="2F5BD015">
          <w:pPr>
            <w:pStyle w:val="29"/>
            <w:keepNext w:val="0"/>
            <w:keepLines w:val="0"/>
            <w:pageBreakBefore w:val="0"/>
            <w:widowControl/>
            <w:tabs>
              <w:tab w:val="right" w:leader="dot" w:pos="9065"/>
            </w:tabs>
            <w:kinsoku/>
            <w:wordWrap/>
            <w:overflowPunct/>
            <w:topLinePunct w:val="0"/>
            <w:autoSpaceDE/>
            <w:autoSpaceDN/>
            <w:bidi w:val="0"/>
            <w:adjustRightInd/>
            <w:snapToGrid/>
            <w:spacing w:after="120"/>
            <w:textAlignment w:val="auto"/>
            <w:rPr>
              <w:rFonts w:eastAsia="宋体"/>
              <w:sz w:val="24"/>
            </w:rPr>
          </w:pPr>
          <w:r>
            <w:rPr>
              <w:rFonts w:hint="eastAsia" w:ascii="Times New Roman" w:hAnsi="Times New Roman" w:eastAsia="宋体"/>
              <w:sz w:val="24"/>
            </w:rPr>
            <w:fldChar w:fldCharType="begin"/>
          </w:r>
          <w:r>
            <w:rPr>
              <w:rFonts w:hint="eastAsia" w:ascii="Times New Roman" w:hAnsi="Times New Roman" w:eastAsia="宋体"/>
              <w:sz w:val="24"/>
            </w:rPr>
            <w:instrText xml:space="preserve"> HYPERLINK \l _Toc19564 </w:instrText>
          </w:r>
          <w:r>
            <w:rPr>
              <w:rFonts w:hint="eastAsia" w:ascii="Times New Roman" w:hAnsi="Times New Roman" w:eastAsia="宋体"/>
              <w:sz w:val="24"/>
            </w:rPr>
            <w:fldChar w:fldCharType="separate"/>
          </w:r>
          <w:r>
            <w:rPr>
              <w:rFonts w:ascii="Times New Roman" w:hAnsi="Times New Roman" w:eastAsia="宋体"/>
              <w:bCs/>
              <w:kern w:val="0"/>
              <w:sz w:val="24"/>
            </w:rPr>
            <w:t>9.2 研发工作积累、实验环境与资源保障条件</w:t>
          </w:r>
          <w:r>
            <w:rPr>
              <w:rFonts w:eastAsia="宋体"/>
              <w:sz w:val="24"/>
            </w:rPr>
            <w:tab/>
          </w:r>
          <w:r>
            <w:rPr>
              <w:rFonts w:eastAsia="宋体"/>
              <w:sz w:val="24"/>
            </w:rPr>
            <w:fldChar w:fldCharType="begin"/>
          </w:r>
          <w:r>
            <w:rPr>
              <w:rFonts w:eastAsia="宋体"/>
              <w:sz w:val="24"/>
            </w:rPr>
            <w:instrText xml:space="preserve"> PAGEREF _Toc19564 \h </w:instrText>
          </w:r>
          <w:r>
            <w:rPr>
              <w:rFonts w:eastAsia="宋体"/>
              <w:sz w:val="24"/>
            </w:rPr>
            <w:fldChar w:fldCharType="separate"/>
          </w:r>
          <w:r>
            <w:rPr>
              <w:rFonts w:eastAsia="宋体"/>
              <w:sz w:val="24"/>
            </w:rPr>
            <w:t>- 21 -</w:t>
          </w:r>
          <w:r>
            <w:rPr>
              <w:rFonts w:eastAsia="宋体"/>
              <w:sz w:val="24"/>
            </w:rPr>
            <w:fldChar w:fldCharType="end"/>
          </w:r>
          <w:r>
            <w:rPr>
              <w:rFonts w:hint="eastAsia" w:ascii="Times New Roman" w:hAnsi="Times New Roman" w:eastAsia="宋体"/>
              <w:sz w:val="24"/>
            </w:rPr>
            <w:fldChar w:fldCharType="end"/>
          </w:r>
        </w:p>
        <w:p w14:paraId="3384F9AF">
          <w:pPr>
            <w:pStyle w:val="26"/>
            <w:keepNext w:val="0"/>
            <w:keepLines w:val="0"/>
            <w:pageBreakBefore w:val="0"/>
            <w:widowControl/>
            <w:tabs>
              <w:tab w:val="right" w:leader="dot" w:pos="9065"/>
            </w:tabs>
            <w:kinsoku/>
            <w:wordWrap/>
            <w:overflowPunct/>
            <w:topLinePunct w:val="0"/>
            <w:autoSpaceDE/>
            <w:autoSpaceDN/>
            <w:bidi w:val="0"/>
            <w:adjustRightInd/>
            <w:snapToGrid/>
            <w:spacing w:after="120"/>
            <w:textAlignment w:val="auto"/>
            <w:rPr>
              <w:rFonts w:eastAsia="宋体"/>
              <w:sz w:val="24"/>
            </w:rPr>
          </w:pPr>
          <w:r>
            <w:rPr>
              <w:rFonts w:hint="eastAsia" w:ascii="Times New Roman" w:hAnsi="Times New Roman" w:eastAsia="宋体"/>
              <w:sz w:val="24"/>
            </w:rPr>
            <w:fldChar w:fldCharType="begin"/>
          </w:r>
          <w:r>
            <w:rPr>
              <w:rFonts w:hint="eastAsia" w:ascii="Times New Roman" w:hAnsi="Times New Roman" w:eastAsia="宋体"/>
              <w:sz w:val="24"/>
            </w:rPr>
            <w:instrText xml:space="preserve"> HYPERLINK \l _Toc5797 </w:instrText>
          </w:r>
          <w:r>
            <w:rPr>
              <w:rFonts w:hint="eastAsia" w:ascii="Times New Roman" w:hAnsi="Times New Roman" w:eastAsia="宋体"/>
              <w:sz w:val="24"/>
            </w:rPr>
            <w:fldChar w:fldCharType="separate"/>
          </w:r>
          <w:r>
            <w:rPr>
              <w:rFonts w:hint="eastAsia" w:ascii="黑体" w:hAnsi="黑体" w:eastAsia="宋体" w:cs="黑体"/>
              <w:bCs/>
              <w:kern w:val="0"/>
              <w:sz w:val="24"/>
            </w:rPr>
            <w:t>第十章 项目实施进度计划与里程碑管理</w:t>
          </w:r>
          <w:r>
            <w:rPr>
              <w:rFonts w:eastAsia="宋体"/>
              <w:sz w:val="24"/>
            </w:rPr>
            <w:tab/>
          </w:r>
          <w:r>
            <w:rPr>
              <w:rFonts w:eastAsia="宋体"/>
              <w:sz w:val="24"/>
            </w:rPr>
            <w:fldChar w:fldCharType="begin"/>
          </w:r>
          <w:r>
            <w:rPr>
              <w:rFonts w:eastAsia="宋体"/>
              <w:sz w:val="24"/>
            </w:rPr>
            <w:instrText xml:space="preserve"> PAGEREF _Toc5797 \h </w:instrText>
          </w:r>
          <w:r>
            <w:rPr>
              <w:rFonts w:eastAsia="宋体"/>
              <w:sz w:val="24"/>
            </w:rPr>
            <w:fldChar w:fldCharType="separate"/>
          </w:r>
          <w:r>
            <w:rPr>
              <w:rFonts w:eastAsia="宋体"/>
              <w:sz w:val="24"/>
            </w:rPr>
            <w:t>- 22 -</w:t>
          </w:r>
          <w:r>
            <w:rPr>
              <w:rFonts w:eastAsia="宋体"/>
              <w:sz w:val="24"/>
            </w:rPr>
            <w:fldChar w:fldCharType="end"/>
          </w:r>
          <w:r>
            <w:rPr>
              <w:rFonts w:hint="eastAsia" w:ascii="Times New Roman" w:hAnsi="Times New Roman" w:eastAsia="宋体"/>
              <w:sz w:val="24"/>
            </w:rPr>
            <w:fldChar w:fldCharType="end"/>
          </w:r>
        </w:p>
        <w:p w14:paraId="709D4022">
          <w:pPr>
            <w:pStyle w:val="26"/>
            <w:keepNext w:val="0"/>
            <w:keepLines w:val="0"/>
            <w:pageBreakBefore w:val="0"/>
            <w:widowControl/>
            <w:tabs>
              <w:tab w:val="right" w:leader="dot" w:pos="9065"/>
            </w:tabs>
            <w:kinsoku/>
            <w:wordWrap/>
            <w:overflowPunct/>
            <w:topLinePunct w:val="0"/>
            <w:autoSpaceDE/>
            <w:autoSpaceDN/>
            <w:bidi w:val="0"/>
            <w:adjustRightInd/>
            <w:snapToGrid/>
            <w:spacing w:after="120"/>
            <w:textAlignment w:val="auto"/>
            <w:rPr>
              <w:rFonts w:eastAsia="宋体"/>
              <w:sz w:val="24"/>
            </w:rPr>
          </w:pPr>
          <w:r>
            <w:rPr>
              <w:rFonts w:hint="eastAsia" w:ascii="Times New Roman" w:hAnsi="Times New Roman" w:eastAsia="宋体"/>
              <w:sz w:val="24"/>
            </w:rPr>
            <w:fldChar w:fldCharType="begin"/>
          </w:r>
          <w:r>
            <w:rPr>
              <w:rFonts w:hint="eastAsia" w:ascii="Times New Roman" w:hAnsi="Times New Roman" w:eastAsia="宋体"/>
              <w:sz w:val="24"/>
            </w:rPr>
            <w:instrText xml:space="preserve"> HYPERLINK \l _Toc20554 </w:instrText>
          </w:r>
          <w:r>
            <w:rPr>
              <w:rFonts w:hint="eastAsia" w:ascii="Times New Roman" w:hAnsi="Times New Roman" w:eastAsia="宋体"/>
              <w:sz w:val="24"/>
            </w:rPr>
            <w:fldChar w:fldCharType="separate"/>
          </w:r>
          <w:r>
            <w:rPr>
              <w:rFonts w:hint="eastAsia" w:ascii="黑体" w:hAnsi="黑体" w:eastAsia="宋体" w:cs="黑体"/>
              <w:bCs/>
              <w:kern w:val="0"/>
              <w:sz w:val="24"/>
            </w:rPr>
            <w:t>第十一章 经费预算分配、成本控制与财务可行性</w:t>
          </w:r>
          <w:r>
            <w:rPr>
              <w:rFonts w:eastAsia="宋体"/>
              <w:sz w:val="24"/>
            </w:rPr>
            <w:tab/>
          </w:r>
          <w:r>
            <w:rPr>
              <w:rFonts w:eastAsia="宋体"/>
              <w:sz w:val="24"/>
            </w:rPr>
            <w:fldChar w:fldCharType="begin"/>
          </w:r>
          <w:r>
            <w:rPr>
              <w:rFonts w:eastAsia="宋体"/>
              <w:sz w:val="24"/>
            </w:rPr>
            <w:instrText xml:space="preserve"> PAGEREF _Toc20554 \h </w:instrText>
          </w:r>
          <w:r>
            <w:rPr>
              <w:rFonts w:eastAsia="宋体"/>
              <w:sz w:val="24"/>
            </w:rPr>
            <w:fldChar w:fldCharType="separate"/>
          </w:r>
          <w:r>
            <w:rPr>
              <w:rFonts w:eastAsia="宋体"/>
              <w:sz w:val="24"/>
            </w:rPr>
            <w:t>- 24 -</w:t>
          </w:r>
          <w:r>
            <w:rPr>
              <w:rFonts w:eastAsia="宋体"/>
              <w:sz w:val="24"/>
            </w:rPr>
            <w:fldChar w:fldCharType="end"/>
          </w:r>
          <w:r>
            <w:rPr>
              <w:rFonts w:hint="eastAsia" w:ascii="Times New Roman" w:hAnsi="Times New Roman" w:eastAsia="宋体"/>
              <w:sz w:val="24"/>
            </w:rPr>
            <w:fldChar w:fldCharType="end"/>
          </w:r>
        </w:p>
        <w:p w14:paraId="5F1883E2">
          <w:pPr>
            <w:pStyle w:val="29"/>
            <w:keepNext w:val="0"/>
            <w:keepLines w:val="0"/>
            <w:pageBreakBefore w:val="0"/>
            <w:widowControl/>
            <w:tabs>
              <w:tab w:val="right" w:leader="dot" w:pos="9065"/>
            </w:tabs>
            <w:kinsoku/>
            <w:wordWrap/>
            <w:overflowPunct/>
            <w:topLinePunct w:val="0"/>
            <w:autoSpaceDE/>
            <w:autoSpaceDN/>
            <w:bidi w:val="0"/>
            <w:adjustRightInd/>
            <w:snapToGrid/>
            <w:spacing w:after="120"/>
            <w:textAlignment w:val="auto"/>
            <w:rPr>
              <w:rFonts w:eastAsia="宋体"/>
              <w:sz w:val="24"/>
            </w:rPr>
          </w:pPr>
          <w:r>
            <w:rPr>
              <w:rFonts w:hint="eastAsia" w:ascii="Times New Roman" w:hAnsi="Times New Roman" w:eastAsia="宋体"/>
              <w:sz w:val="24"/>
            </w:rPr>
            <w:fldChar w:fldCharType="begin"/>
          </w:r>
          <w:r>
            <w:rPr>
              <w:rFonts w:hint="eastAsia" w:ascii="Times New Roman" w:hAnsi="Times New Roman" w:eastAsia="宋体"/>
              <w:sz w:val="24"/>
            </w:rPr>
            <w:instrText xml:space="preserve"> HYPERLINK \l _Toc24799 </w:instrText>
          </w:r>
          <w:r>
            <w:rPr>
              <w:rFonts w:hint="eastAsia" w:ascii="Times New Roman" w:hAnsi="Times New Roman" w:eastAsia="宋体"/>
              <w:sz w:val="24"/>
            </w:rPr>
            <w:fldChar w:fldCharType="separate"/>
          </w:r>
          <w:r>
            <w:rPr>
              <w:rFonts w:ascii="Times New Roman" w:hAnsi="Times New Roman" w:eastAsia="宋体"/>
              <w:bCs/>
              <w:kern w:val="0"/>
              <w:sz w:val="24"/>
            </w:rPr>
            <w:t>11.1 项目经费预算细目编制表（以首期 5,000 元为例）</w:t>
          </w:r>
          <w:r>
            <w:rPr>
              <w:rFonts w:eastAsia="宋体"/>
              <w:sz w:val="24"/>
            </w:rPr>
            <w:tab/>
          </w:r>
          <w:r>
            <w:rPr>
              <w:rFonts w:eastAsia="宋体"/>
              <w:sz w:val="24"/>
            </w:rPr>
            <w:fldChar w:fldCharType="begin"/>
          </w:r>
          <w:r>
            <w:rPr>
              <w:rFonts w:eastAsia="宋体"/>
              <w:sz w:val="24"/>
            </w:rPr>
            <w:instrText xml:space="preserve"> PAGEREF _Toc24799 \h </w:instrText>
          </w:r>
          <w:r>
            <w:rPr>
              <w:rFonts w:eastAsia="宋体"/>
              <w:sz w:val="24"/>
            </w:rPr>
            <w:fldChar w:fldCharType="separate"/>
          </w:r>
          <w:r>
            <w:rPr>
              <w:rFonts w:eastAsia="宋体"/>
              <w:sz w:val="24"/>
            </w:rPr>
            <w:t>- 24 -</w:t>
          </w:r>
          <w:r>
            <w:rPr>
              <w:rFonts w:eastAsia="宋体"/>
              <w:sz w:val="24"/>
            </w:rPr>
            <w:fldChar w:fldCharType="end"/>
          </w:r>
          <w:r>
            <w:rPr>
              <w:rFonts w:hint="eastAsia" w:ascii="Times New Roman" w:hAnsi="Times New Roman" w:eastAsia="宋体"/>
              <w:sz w:val="24"/>
            </w:rPr>
            <w:fldChar w:fldCharType="end"/>
          </w:r>
        </w:p>
        <w:p w14:paraId="5D38621D">
          <w:pPr>
            <w:pStyle w:val="26"/>
            <w:keepNext w:val="0"/>
            <w:keepLines w:val="0"/>
            <w:pageBreakBefore w:val="0"/>
            <w:widowControl/>
            <w:tabs>
              <w:tab w:val="right" w:leader="dot" w:pos="9065"/>
            </w:tabs>
            <w:kinsoku/>
            <w:wordWrap/>
            <w:overflowPunct/>
            <w:topLinePunct w:val="0"/>
            <w:autoSpaceDE/>
            <w:autoSpaceDN/>
            <w:bidi w:val="0"/>
            <w:adjustRightInd/>
            <w:snapToGrid/>
            <w:spacing w:after="120"/>
            <w:textAlignment w:val="auto"/>
            <w:rPr>
              <w:rFonts w:eastAsia="宋体"/>
              <w:sz w:val="24"/>
            </w:rPr>
          </w:pPr>
          <w:r>
            <w:rPr>
              <w:rFonts w:hint="eastAsia" w:ascii="Times New Roman" w:hAnsi="Times New Roman" w:eastAsia="宋体"/>
              <w:sz w:val="24"/>
            </w:rPr>
            <w:fldChar w:fldCharType="begin"/>
          </w:r>
          <w:r>
            <w:rPr>
              <w:rFonts w:hint="eastAsia" w:ascii="Times New Roman" w:hAnsi="Times New Roman" w:eastAsia="宋体"/>
              <w:sz w:val="24"/>
            </w:rPr>
            <w:instrText xml:space="preserve"> HYPERLINK \l _Toc9030 </w:instrText>
          </w:r>
          <w:r>
            <w:rPr>
              <w:rFonts w:hint="eastAsia" w:ascii="Times New Roman" w:hAnsi="Times New Roman" w:eastAsia="宋体"/>
              <w:sz w:val="24"/>
            </w:rPr>
            <w:fldChar w:fldCharType="separate"/>
          </w:r>
          <w:r>
            <w:rPr>
              <w:rFonts w:hint="eastAsia" w:ascii="黑体" w:hAnsi="黑体" w:eastAsia="宋体" w:cs="黑体"/>
              <w:bCs/>
              <w:kern w:val="0"/>
              <w:sz w:val="24"/>
            </w:rPr>
            <w:t>第十二章 经济效益、社会效益与商业化延伸</w:t>
          </w:r>
          <w:r>
            <w:rPr>
              <w:rFonts w:eastAsia="宋体"/>
              <w:sz w:val="24"/>
            </w:rPr>
            <w:tab/>
          </w:r>
          <w:r>
            <w:rPr>
              <w:rFonts w:eastAsia="宋体"/>
              <w:sz w:val="24"/>
            </w:rPr>
            <w:fldChar w:fldCharType="begin"/>
          </w:r>
          <w:r>
            <w:rPr>
              <w:rFonts w:eastAsia="宋体"/>
              <w:sz w:val="24"/>
            </w:rPr>
            <w:instrText xml:space="preserve"> PAGEREF _Toc9030 \h </w:instrText>
          </w:r>
          <w:r>
            <w:rPr>
              <w:rFonts w:eastAsia="宋体"/>
              <w:sz w:val="24"/>
            </w:rPr>
            <w:fldChar w:fldCharType="separate"/>
          </w:r>
          <w:r>
            <w:rPr>
              <w:rFonts w:eastAsia="宋体"/>
              <w:sz w:val="24"/>
            </w:rPr>
            <w:t>- 26 -</w:t>
          </w:r>
          <w:r>
            <w:rPr>
              <w:rFonts w:eastAsia="宋体"/>
              <w:sz w:val="24"/>
            </w:rPr>
            <w:fldChar w:fldCharType="end"/>
          </w:r>
          <w:r>
            <w:rPr>
              <w:rFonts w:hint="eastAsia" w:ascii="Times New Roman" w:hAnsi="Times New Roman" w:eastAsia="宋体"/>
              <w:sz w:val="24"/>
            </w:rPr>
            <w:fldChar w:fldCharType="end"/>
          </w:r>
        </w:p>
        <w:p w14:paraId="77348BE1">
          <w:pPr>
            <w:pStyle w:val="26"/>
            <w:keepNext w:val="0"/>
            <w:keepLines w:val="0"/>
            <w:pageBreakBefore w:val="0"/>
            <w:widowControl/>
            <w:tabs>
              <w:tab w:val="right" w:leader="dot" w:pos="9065"/>
            </w:tabs>
            <w:kinsoku/>
            <w:wordWrap/>
            <w:overflowPunct/>
            <w:topLinePunct w:val="0"/>
            <w:autoSpaceDE/>
            <w:autoSpaceDN/>
            <w:bidi w:val="0"/>
            <w:adjustRightInd/>
            <w:snapToGrid/>
            <w:spacing w:after="120"/>
            <w:textAlignment w:val="auto"/>
            <w:rPr>
              <w:rFonts w:eastAsia="宋体"/>
              <w:sz w:val="24"/>
            </w:rPr>
          </w:pPr>
          <w:r>
            <w:rPr>
              <w:rFonts w:hint="eastAsia" w:ascii="Times New Roman" w:hAnsi="Times New Roman" w:eastAsia="宋体"/>
              <w:sz w:val="24"/>
            </w:rPr>
            <w:fldChar w:fldCharType="begin"/>
          </w:r>
          <w:r>
            <w:rPr>
              <w:rFonts w:hint="eastAsia" w:ascii="Times New Roman" w:hAnsi="Times New Roman" w:eastAsia="宋体"/>
              <w:sz w:val="24"/>
            </w:rPr>
            <w:instrText xml:space="preserve"> HYPERLINK \l _Toc14736 </w:instrText>
          </w:r>
          <w:r>
            <w:rPr>
              <w:rFonts w:hint="eastAsia" w:ascii="Times New Roman" w:hAnsi="Times New Roman" w:eastAsia="宋体"/>
              <w:sz w:val="24"/>
            </w:rPr>
            <w:fldChar w:fldCharType="separate"/>
          </w:r>
          <w:r>
            <w:rPr>
              <w:rFonts w:hint="eastAsia" w:ascii="黑体" w:hAnsi="黑体" w:eastAsia="宋体" w:cs="黑体"/>
              <w:bCs/>
              <w:kern w:val="0"/>
              <w:sz w:val="24"/>
            </w:rPr>
            <w:t>第十三章 项目风险评估与应对防御策略</w:t>
          </w:r>
          <w:r>
            <w:rPr>
              <w:rFonts w:eastAsia="宋体"/>
              <w:sz w:val="24"/>
            </w:rPr>
            <w:tab/>
          </w:r>
          <w:r>
            <w:rPr>
              <w:rFonts w:eastAsia="宋体"/>
              <w:sz w:val="24"/>
            </w:rPr>
            <w:fldChar w:fldCharType="begin"/>
          </w:r>
          <w:r>
            <w:rPr>
              <w:rFonts w:eastAsia="宋体"/>
              <w:sz w:val="24"/>
            </w:rPr>
            <w:instrText xml:space="preserve"> PAGEREF _Toc14736 \h </w:instrText>
          </w:r>
          <w:r>
            <w:rPr>
              <w:rFonts w:eastAsia="宋体"/>
              <w:sz w:val="24"/>
            </w:rPr>
            <w:fldChar w:fldCharType="separate"/>
          </w:r>
          <w:r>
            <w:rPr>
              <w:rFonts w:eastAsia="宋体"/>
              <w:sz w:val="24"/>
            </w:rPr>
            <w:t>- 28 -</w:t>
          </w:r>
          <w:r>
            <w:rPr>
              <w:rFonts w:eastAsia="宋体"/>
              <w:sz w:val="24"/>
            </w:rPr>
            <w:fldChar w:fldCharType="end"/>
          </w:r>
          <w:r>
            <w:rPr>
              <w:rFonts w:hint="eastAsia" w:ascii="Times New Roman" w:hAnsi="Times New Roman" w:eastAsia="宋体"/>
              <w:sz w:val="24"/>
            </w:rPr>
            <w:fldChar w:fldCharType="end"/>
          </w:r>
        </w:p>
        <w:p w14:paraId="3E59A7A5">
          <w:pPr>
            <w:pStyle w:val="26"/>
            <w:keepNext w:val="0"/>
            <w:keepLines w:val="0"/>
            <w:pageBreakBefore w:val="0"/>
            <w:widowControl/>
            <w:tabs>
              <w:tab w:val="right" w:leader="dot" w:pos="9065"/>
            </w:tabs>
            <w:kinsoku/>
            <w:wordWrap/>
            <w:overflowPunct/>
            <w:topLinePunct w:val="0"/>
            <w:autoSpaceDE/>
            <w:autoSpaceDN/>
            <w:bidi w:val="0"/>
            <w:adjustRightInd/>
            <w:snapToGrid/>
            <w:spacing w:after="120"/>
            <w:textAlignment w:val="auto"/>
            <w:rPr>
              <w:rFonts w:eastAsia="宋体"/>
              <w:sz w:val="24"/>
            </w:rPr>
          </w:pPr>
          <w:r>
            <w:rPr>
              <w:rFonts w:hint="eastAsia" w:ascii="Times New Roman" w:hAnsi="Times New Roman" w:eastAsia="宋体"/>
              <w:sz w:val="24"/>
            </w:rPr>
            <w:fldChar w:fldCharType="begin"/>
          </w:r>
          <w:r>
            <w:rPr>
              <w:rFonts w:hint="eastAsia" w:ascii="Times New Roman" w:hAnsi="Times New Roman" w:eastAsia="宋体"/>
              <w:sz w:val="24"/>
            </w:rPr>
            <w:instrText xml:space="preserve"> HYPERLINK \l _Toc28773 </w:instrText>
          </w:r>
          <w:r>
            <w:rPr>
              <w:rFonts w:hint="eastAsia" w:ascii="Times New Roman" w:hAnsi="Times New Roman" w:eastAsia="宋体"/>
              <w:sz w:val="24"/>
            </w:rPr>
            <w:fldChar w:fldCharType="separate"/>
          </w:r>
          <w:r>
            <w:rPr>
              <w:rFonts w:hint="eastAsia" w:ascii="黑体" w:hAnsi="黑体" w:eastAsia="宋体" w:cs="黑体"/>
              <w:bCs/>
              <w:kern w:val="0"/>
              <w:sz w:val="24"/>
            </w:rPr>
            <w:t>第十四章 结语与项目申报承诺</w:t>
          </w:r>
          <w:r>
            <w:rPr>
              <w:rFonts w:eastAsia="宋体"/>
              <w:sz w:val="24"/>
            </w:rPr>
            <w:tab/>
          </w:r>
          <w:r>
            <w:rPr>
              <w:rFonts w:eastAsia="宋体"/>
              <w:sz w:val="24"/>
            </w:rPr>
            <w:fldChar w:fldCharType="begin"/>
          </w:r>
          <w:r>
            <w:rPr>
              <w:rFonts w:eastAsia="宋体"/>
              <w:sz w:val="24"/>
            </w:rPr>
            <w:instrText xml:space="preserve"> PAGEREF _Toc28773 \h </w:instrText>
          </w:r>
          <w:r>
            <w:rPr>
              <w:rFonts w:eastAsia="宋体"/>
              <w:sz w:val="24"/>
            </w:rPr>
            <w:fldChar w:fldCharType="separate"/>
          </w:r>
          <w:r>
            <w:rPr>
              <w:rFonts w:eastAsia="宋体"/>
              <w:sz w:val="24"/>
            </w:rPr>
            <w:t>- 29 -</w:t>
          </w:r>
          <w:r>
            <w:rPr>
              <w:rFonts w:eastAsia="宋体"/>
              <w:sz w:val="24"/>
            </w:rPr>
            <w:fldChar w:fldCharType="end"/>
          </w:r>
          <w:r>
            <w:rPr>
              <w:rFonts w:hint="eastAsia" w:ascii="Times New Roman" w:hAnsi="Times New Roman" w:eastAsia="宋体"/>
              <w:sz w:val="24"/>
            </w:rPr>
            <w:fldChar w:fldCharType="end"/>
          </w:r>
        </w:p>
        <w:p w14:paraId="336082B4">
          <w:pPr>
            <w:keepNext w:val="0"/>
            <w:keepLines w:val="0"/>
            <w:pageBreakBefore w:val="0"/>
            <w:widowControl/>
            <w:kinsoku/>
            <w:wordWrap/>
            <w:overflowPunct/>
            <w:topLinePunct w:val="0"/>
            <w:autoSpaceDE/>
            <w:autoSpaceDN/>
            <w:bidi w:val="0"/>
            <w:adjustRightInd/>
            <w:snapToGrid/>
            <w:spacing w:after="120" w:line="240" w:lineRule="auto"/>
            <w:textAlignment w:val="auto"/>
            <w:rPr>
              <w:rFonts w:hint="eastAsia" w:asciiTheme="minorHAnsi" w:hAnsiTheme="minorHAnsi" w:eastAsiaTheme="minorEastAsia" w:cstheme="minorBidi"/>
              <w:sz w:val="22"/>
              <w:szCs w:val="22"/>
              <w:lang w:val="en-US" w:eastAsia="en-US" w:bidi="ar-SA"/>
            </w:rPr>
            <w:sectPr>
              <w:pgSz w:w="12240" w:h="15840"/>
              <w:pgMar w:top="1440" w:right="1474" w:bottom="1440" w:left="1701" w:header="720" w:footer="720" w:gutter="0"/>
              <w:pgNumType w:fmt="numberInDash"/>
              <w:cols w:space="720" w:num="1"/>
              <w:docGrid w:linePitch="360" w:charSpace="0"/>
            </w:sectPr>
          </w:pPr>
          <w:r>
            <w:rPr>
              <w:rFonts w:hint="eastAsia" w:ascii="Times New Roman" w:hAnsi="Times New Roman" w:eastAsia="宋体"/>
              <w:sz w:val="24"/>
            </w:rPr>
            <w:fldChar w:fldCharType="end"/>
          </w:r>
        </w:p>
      </w:sdtContent>
    </w:sdt>
    <w:p w14:paraId="783C384A">
      <w:pPr>
        <w:pStyle w:val="3"/>
        <w:keepNext/>
        <w:widowControl/>
        <w:suppressAutoHyphens/>
        <w:bidi w:val="0"/>
        <w:spacing w:before="0" w:after="120" w:line="360" w:lineRule="auto"/>
        <w:ind w:firstLine="482"/>
        <w:jc w:val="center"/>
        <w:rPr>
          <w:rFonts w:hint="eastAsia" w:ascii="黑体" w:hAnsi="黑体" w:eastAsia="黑体" w:cs="黑体"/>
          <w:b w:val="0"/>
          <w:bCs/>
          <w:color w:val="000000"/>
          <w:kern w:val="0"/>
          <w:sz w:val="30"/>
        </w:rPr>
      </w:pPr>
      <w:bookmarkStart w:id="4" w:name="_Toc12485"/>
      <w:r>
        <w:rPr>
          <w:rFonts w:hint="eastAsia" w:ascii="黑体" w:hAnsi="黑体" w:eastAsia="黑体" w:cs="黑体"/>
          <w:b w:val="0"/>
          <w:bCs/>
          <w:color w:val="000000"/>
          <w:kern w:val="0"/>
          <w:sz w:val="30"/>
        </w:rPr>
        <w:t>第一章 项目概述与立项宗旨</w:t>
      </w:r>
      <w:bookmarkEnd w:id="4"/>
      <w:bookmarkStart w:id="40" w:name="_GoBack"/>
      <w:bookmarkEnd w:id="40"/>
    </w:p>
    <w:p w14:paraId="329ABB20">
      <w:pPr>
        <w:pStyle w:val="4"/>
        <w:keepNext/>
        <w:widowControl/>
        <w:suppressAutoHyphens/>
        <w:bidi w:val="0"/>
        <w:spacing w:before="180" w:after="120" w:line="360" w:lineRule="auto"/>
        <w:ind w:firstLine="482"/>
        <w:jc w:val="left"/>
        <w:rPr>
          <w:rFonts w:ascii="Times New Roman" w:hAnsi="Times New Roman" w:eastAsia="黑体"/>
          <w:b w:val="0"/>
          <w:bCs/>
          <w:color w:val="000000"/>
          <w:kern w:val="0"/>
          <w:sz w:val="28"/>
        </w:rPr>
      </w:pPr>
      <w:bookmarkStart w:id="5" w:name="_Toc13062"/>
      <w:r>
        <w:rPr>
          <w:rFonts w:ascii="Times New Roman" w:hAnsi="Times New Roman" w:eastAsia="黑体"/>
          <w:b w:val="0"/>
          <w:bCs/>
          <w:color w:val="000000"/>
          <w:kern w:val="0"/>
          <w:sz w:val="28"/>
        </w:rPr>
        <w:t xml:space="preserve">1.1 </w:t>
      </w:r>
      <w:r>
        <w:rPr>
          <w:rFonts w:hint="eastAsia" w:ascii="Times New Roman" w:hAnsi="Times New Roman" w:eastAsia="黑体"/>
          <w:b w:val="0"/>
          <w:bCs/>
          <w:color w:val="000000"/>
          <w:kern w:val="0"/>
          <w:sz w:val="28"/>
        </w:rPr>
        <w:t>项目背景与时代定位</w:t>
      </w:r>
      <w:bookmarkEnd w:id="5"/>
    </w:p>
    <w:p w14:paraId="27D8818B">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ascii="Times New Roman" w:hAnsi="Times New Roman" w:eastAsia="宋体"/>
          <w:b w:val="0"/>
          <w:i w:val="0"/>
          <w:color w:val="000000"/>
          <w:kern w:val="0"/>
          <w:sz w:val="24"/>
        </w:rPr>
      </w:pPr>
      <w:r>
        <w:rPr>
          <w:rFonts w:ascii="Times New Roman" w:hAnsi="Times New Roman" w:eastAsia="宋体"/>
          <w:b w:val="0"/>
          <w:i w:val="0"/>
          <w:color w:val="000000"/>
          <w:kern w:val="0"/>
          <w:sz w:val="24"/>
        </w:rPr>
        <w:t>在“教育强国”与“教育数字化转型”国家战略指引下，高等教育正在经历从传统课堂知识讲授向以学生为中心、自主探究与终身研习能力培养的深刻变革。教育部在《教育部关于举办中国国际大学生创新大赛（2026）的通知》（教高函〔2026〕26号）中明确强调，要推动人工智能与教育教学深度融合，激发青年大学生的原始创新精神与工程实践能力。高校图书馆作为立德树人与科学研究的核心信息高地，汇聚了人类文明与前沿科技最为璀璨的文献财富。然而，长期以来，高校图书馆虽然斥巨资完成了数以百万计藏书的数字化编目，却受限于滞后的交互范式，使其在本质上依然是一座座被动的“数字藏书楼”。</w:t>
      </w:r>
    </w:p>
    <w:p w14:paraId="295F6F82">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ascii="Times New Roman" w:hAnsi="Times New Roman" w:eastAsia="宋体"/>
          <w:b w:val="0"/>
          <w:i w:val="0"/>
          <w:color w:val="000000"/>
          <w:kern w:val="0"/>
          <w:sz w:val="24"/>
        </w:rPr>
      </w:pPr>
      <w:r>
        <w:rPr>
          <w:rFonts w:ascii="Times New Roman" w:hAnsi="Times New Roman" w:eastAsia="宋体"/>
          <w:b w:val="0"/>
          <w:i w:val="0"/>
          <w:color w:val="000000"/>
          <w:kern w:val="0"/>
          <w:sz w:val="24"/>
        </w:rPr>
        <w:t>“书途智启（BookPath AI）”应运而生。本项目立足于真实的高校校园学习土壤，聚焦当前智慧图书馆在专业图书垂直领域的服务短板，以大模型（LLM）驱动的检索增强生成（RAG）与多轮智能体（Agent）技术为核心底座，打造了一套集“精准图书推荐、多轮语义对话、可解释量化匹配、三阶段进阶学习路径生成、动态画像长短期记忆自适应以及物理借阅预约闭环”于一体的全新一代智慧图书馆 AI 馆员系统。本系统以解决学生“借阅难、选书盲、串联碎、落地空”四大顽疾为目标，重塑图书资源与青年学子的连接方式。</w:t>
      </w:r>
    </w:p>
    <w:p w14:paraId="621D02BC">
      <w:pPr>
        <w:pStyle w:val="4"/>
        <w:keepNext/>
        <w:widowControl/>
        <w:suppressAutoHyphens/>
        <w:bidi w:val="0"/>
        <w:spacing w:before="180" w:after="120" w:line="360" w:lineRule="auto"/>
        <w:ind w:firstLine="482"/>
        <w:jc w:val="left"/>
        <w:rPr>
          <w:rFonts w:ascii="Times New Roman" w:hAnsi="Times New Roman" w:eastAsia="黑体"/>
          <w:b w:val="0"/>
          <w:bCs/>
          <w:color w:val="000000"/>
          <w:kern w:val="0"/>
          <w:sz w:val="28"/>
        </w:rPr>
      </w:pPr>
      <w:bookmarkStart w:id="6" w:name="_Toc14835"/>
      <w:r>
        <w:rPr>
          <w:rFonts w:ascii="Times New Roman" w:hAnsi="Times New Roman" w:eastAsia="黑体"/>
          <w:b w:val="0"/>
          <w:bCs/>
          <w:color w:val="000000"/>
          <w:kern w:val="0"/>
          <w:sz w:val="28"/>
        </w:rPr>
        <w:t xml:space="preserve">1.2 </w:t>
      </w:r>
      <w:r>
        <w:rPr>
          <w:rFonts w:hint="eastAsia" w:ascii="Times New Roman" w:hAnsi="Times New Roman" w:eastAsia="黑体" w:cs="黑体"/>
          <w:b w:val="0"/>
          <w:bCs/>
          <w:color w:val="000000"/>
          <w:kern w:val="0"/>
          <w:sz w:val="28"/>
        </w:rPr>
        <w:t>核心设计哲学：AI自然语言表达与真实馆藏事实解耦</w:t>
      </w:r>
      <w:bookmarkEnd w:id="6"/>
    </w:p>
    <w:p w14:paraId="69133136">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ascii="Times New Roman" w:hAnsi="Times New Roman" w:eastAsia="宋体"/>
          <w:b w:val="0"/>
          <w:i w:val="0"/>
          <w:color w:val="000000"/>
          <w:kern w:val="0"/>
          <w:sz w:val="24"/>
        </w:rPr>
      </w:pPr>
      <w:r>
        <w:rPr>
          <w:rFonts w:ascii="Times New Roman" w:hAnsi="Times New Roman" w:eastAsia="宋体"/>
          <w:b w:val="0"/>
          <w:i w:val="0"/>
          <w:color w:val="000000"/>
          <w:kern w:val="0"/>
          <w:sz w:val="24"/>
        </w:rPr>
        <w:t>目前市面上虽有以 ChatGPT、文心一言为代表的泛化大语言模型，亦有以豆瓣、微信读书为代表的商业化阅读社区，但在高校严肃教学科研与个性化自主研习场景下，均暴露出难以逾越的结构性缺陷。其最致命的症结在于通用生成式大模型底层固有的“学术幻觉生成（Hallucination）”痼疾——当学生向通用大语言模型咨询专业学习书单或跨学科进阶指南时，模型受限于概率采样机制，极易以极具说服力的语气凭空捏造根本不存在的虚假书名、张冠李戴地混淆中外知名学者与著作、甚至推荐本校乃至国内各高校未曾引进且无中文译本的高门槛外文绝版文献，这对于求知若渴但缺乏辨别经验的在校大学生而言造成了极大的误导与精力虚耗；与此同时，泛商业化阅读平台则与高校图书馆经过长期采购沉淀的权威物理在馆库存完全脱钩，学生通过互联网平台好不容易物色到相关参考书，却往往面临“线上好评如潮、线下书库无处借阅、商业平台还需高额付费”的严重断层。针对这两大行业顽疾，“书途智启”在工程架构设计的第一天起，便确立了具有示范性标杆意义的核心基石原则：</w:t>
      </w:r>
      <w:r>
        <w:rPr>
          <w:rFonts w:hint="default" w:ascii="Times New Roman" w:hAnsi="Times New Roman" w:eastAsia="宋体"/>
          <w:b w:val="0"/>
          <w:i w:val="0"/>
          <w:color w:val="000000"/>
          <w:kern w:val="0"/>
          <w:sz w:val="24"/>
        </w:rPr>
        <w:t>坚决将 AI 大语言模型出色的自然语言意图洞察、学术术语语义泛化重写、跨轮会话上下文归纳及通情达理的情感共鸣阐释能力，与高校图书馆经严格国际与国内机读编目（CNMARC）权威认证的真实物理馆藏事实实行严格解耦分离。在整个推荐引擎的底层运行逻辑中，一切进入召回候选池的图书核心元数据、标准 ISBN 编号、中图法物理索书号、书库藏书楼层与架位分布、以及精确到具体条形码资产级别的实时在馆/外借状态，100% 毫无例外地强行锚定在校内本地关系型数据库与稠密向量数据库中，大语言模型仅充当语义理解的“导航仪”与理由陈述的“讲解员”，在制度与代码双重权限上被彻底剥夺了向外虚构或捏造任何书目的可能，所有最终推荐呈现给读者的书籍不仅必须真实存在、内容权威，更确保即刻可查、在馆可借、指引明确，从而从底层计算范式上构筑起了无可比拟的学术严肃性与工程可信度。</w:t>
      </w:r>
    </w:p>
    <w:p w14:paraId="35FDDE43">
      <w:pPr>
        <w:pStyle w:val="4"/>
        <w:keepNext/>
        <w:widowControl/>
        <w:suppressAutoHyphens/>
        <w:bidi w:val="0"/>
        <w:spacing w:before="180" w:after="120" w:line="360" w:lineRule="auto"/>
        <w:ind w:firstLine="482"/>
        <w:jc w:val="left"/>
        <w:rPr>
          <w:rFonts w:ascii="Times New Roman" w:hAnsi="Times New Roman" w:eastAsia="黑体"/>
          <w:b w:val="0"/>
          <w:bCs/>
          <w:color w:val="000000"/>
          <w:kern w:val="0"/>
          <w:sz w:val="28"/>
        </w:rPr>
      </w:pPr>
      <w:bookmarkStart w:id="7" w:name="_Toc22090"/>
      <w:r>
        <w:rPr>
          <w:rFonts w:ascii="Times New Roman" w:hAnsi="Times New Roman" w:eastAsia="黑体"/>
          <w:b w:val="0"/>
          <w:bCs/>
          <w:color w:val="000000"/>
          <w:kern w:val="0"/>
          <w:sz w:val="28"/>
        </w:rPr>
        <w:t>1.3 核心痛点与系统价值主张对照分析</w:t>
      </w:r>
      <w:bookmarkEnd w:id="7"/>
    </w:p>
    <w:p w14:paraId="08086133">
      <w:pPr>
        <w:spacing w:after="120" w:line="324" w:lineRule="auto"/>
        <w:ind w:firstLine="420"/>
        <w:jc w:val="left"/>
        <w:rPr>
          <w:rFonts w:ascii="宋体" w:hAnsi="宋体" w:eastAsia="宋体"/>
          <w:b w:val="0"/>
          <w:i w:val="0"/>
          <w:color w:val="auto"/>
          <w:sz w:val="24"/>
          <w:szCs w:val="24"/>
        </w:rPr>
      </w:pPr>
      <w:r>
        <w:rPr>
          <w:rFonts w:ascii="宋体" w:hAnsi="宋体" w:eastAsia="宋体"/>
          <w:b w:val="0"/>
          <w:i w:val="0"/>
          <w:color w:val="auto"/>
          <w:sz w:val="24"/>
          <w:szCs w:val="24"/>
        </w:rPr>
        <w:t>为清晰展示本系统对传统图书检索体系的范式重构，下表从多个交互维度对用户痛点、传统手段与书途智启的解决方案进行了深度比对：</w:t>
      </w:r>
    </w:p>
    <w:p w14:paraId="7E22FFED">
      <w:pPr>
        <w:spacing w:after="120" w:line="324" w:lineRule="auto"/>
        <w:jc w:val="left"/>
        <w:rPr>
          <w:rFonts w:ascii="宋体" w:hAnsi="宋体" w:eastAsia="宋体"/>
          <w:b w:val="0"/>
          <w:i w:val="0"/>
          <w:color w:val="auto"/>
          <w:sz w:val="24"/>
          <w:szCs w:val="24"/>
        </w:rPr>
      </w:pPr>
      <w:r>
        <w:drawing>
          <wp:inline distT="0" distB="0" distL="114300" distR="114300">
            <wp:extent cx="6095365" cy="3404870"/>
            <wp:effectExtent l="0" t="0" r="635" b="11430"/>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7"/>
                    <a:stretch>
                      <a:fillRect/>
                    </a:stretch>
                  </pic:blipFill>
                  <pic:spPr>
                    <a:xfrm>
                      <a:off x="0" y="0"/>
                      <a:ext cx="6095365" cy="3404870"/>
                    </a:xfrm>
                    <a:prstGeom prst="rect">
                      <a:avLst/>
                    </a:prstGeom>
                    <a:noFill/>
                    <a:ln>
                      <a:noFill/>
                    </a:ln>
                  </pic:spPr>
                </pic:pic>
              </a:graphicData>
            </a:graphic>
          </wp:inline>
        </w:drawing>
      </w:r>
    </w:p>
    <w:p w14:paraId="6867C11B">
      <w:pPr>
        <w:spacing w:after="120" w:line="324" w:lineRule="auto"/>
        <w:ind w:firstLine="420"/>
        <w:jc w:val="center"/>
        <w:rPr>
          <w:rFonts w:hint="eastAsia" w:ascii="Times New Roman" w:hAnsi="Times New Roman"/>
          <w:b w:val="0"/>
          <w:i w:val="0"/>
          <w:color w:val="000000"/>
          <w:sz w:val="21"/>
          <w:lang w:val="en-US" w:eastAsia="zh-CN"/>
        </w:rPr>
      </w:pPr>
      <w:r>
        <w:rPr>
          <w:rFonts w:hint="eastAsia" w:ascii="Times New Roman" w:hAnsi="Times New Roman"/>
          <w:b w:val="0"/>
          <w:i w:val="0"/>
          <w:color w:val="000000"/>
          <w:sz w:val="21"/>
          <w:lang w:val="en-US" w:eastAsia="zh-CN"/>
        </w:rPr>
        <w:t>表1-1系统价值主观对照分析</w:t>
      </w:r>
    </w:p>
    <w:p w14:paraId="55347FCD">
      <w:pPr>
        <w:rPr>
          <w:rFonts w:hint="default" w:ascii="Times New Roman" w:hAnsi="Times New Roman"/>
          <w:b w:val="0"/>
          <w:i w:val="0"/>
          <w:color w:val="000000"/>
          <w:sz w:val="21"/>
          <w:lang w:val="en-US" w:eastAsia="zh-CN"/>
        </w:rPr>
      </w:pPr>
      <w:r>
        <w:rPr>
          <w:rFonts w:hint="eastAsia" w:ascii="Times New Roman" w:hAnsi="Times New Roman"/>
          <w:b w:val="0"/>
          <w:i w:val="0"/>
          <w:color w:val="000000"/>
          <w:sz w:val="21"/>
          <w:lang w:val="en-US" w:eastAsia="zh-CN"/>
        </w:rPr>
        <w:br w:type="page"/>
      </w:r>
    </w:p>
    <w:p w14:paraId="2395713F">
      <w:pPr>
        <w:pStyle w:val="3"/>
        <w:keepNext/>
        <w:widowControl/>
        <w:suppressAutoHyphens/>
        <w:bidi w:val="0"/>
        <w:spacing w:before="0" w:after="120" w:line="360" w:lineRule="auto"/>
        <w:ind w:firstLine="482"/>
        <w:jc w:val="center"/>
        <w:rPr>
          <w:rFonts w:hint="eastAsia" w:ascii="黑体" w:hAnsi="黑体" w:eastAsia="黑体" w:cs="黑体"/>
          <w:b w:val="0"/>
          <w:bCs/>
          <w:color w:val="000000"/>
          <w:kern w:val="0"/>
          <w:sz w:val="30"/>
        </w:rPr>
      </w:pPr>
      <w:bookmarkStart w:id="8" w:name="_Toc8030"/>
      <w:r>
        <w:rPr>
          <w:rFonts w:hint="eastAsia" w:ascii="黑体" w:hAnsi="黑体" w:eastAsia="黑体" w:cs="黑体"/>
          <w:b w:val="0"/>
          <w:bCs/>
          <w:color w:val="000000"/>
          <w:kern w:val="0"/>
          <w:sz w:val="30"/>
        </w:rPr>
        <w:t>第二章 宏观政策背景、市场需求与竞品分析</w:t>
      </w:r>
      <w:bookmarkEnd w:id="8"/>
    </w:p>
    <w:p w14:paraId="298F051E">
      <w:pPr>
        <w:pStyle w:val="4"/>
        <w:keepNext/>
        <w:widowControl/>
        <w:suppressAutoHyphens/>
        <w:bidi w:val="0"/>
        <w:spacing w:before="180" w:after="120" w:line="360" w:lineRule="auto"/>
        <w:ind w:firstLine="482"/>
        <w:jc w:val="left"/>
        <w:rPr>
          <w:rFonts w:ascii="Times New Roman" w:hAnsi="Times New Roman" w:eastAsia="黑体"/>
          <w:b w:val="0"/>
          <w:bCs/>
          <w:color w:val="000000"/>
          <w:kern w:val="0"/>
          <w:sz w:val="28"/>
        </w:rPr>
      </w:pPr>
      <w:bookmarkStart w:id="9" w:name="_Toc5516"/>
      <w:r>
        <w:rPr>
          <w:rFonts w:ascii="Times New Roman" w:hAnsi="Times New Roman" w:eastAsia="黑体"/>
          <w:b w:val="0"/>
          <w:bCs/>
          <w:color w:val="000000"/>
          <w:kern w:val="0"/>
          <w:sz w:val="28"/>
        </w:rPr>
        <w:t>2.1 国家宏观战略与高校教育数字化赋能</w:t>
      </w:r>
      <w:bookmarkEnd w:id="9"/>
    </w:p>
    <w:p w14:paraId="36FDC580">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2024至2026年，我国高等教育高质量发展迈入崭新阶段。《中国教育现代化2035》与教育部《教育数字化战略行动》重点强调要加快推进教育数字化转型，利用现代信息技术革新传统教学管理形态。特别是在高校“拔尖创新人才自主培养能力”专项工程中，强化学生的自主性学习、探究性阅读以及跨学科交叉融合能力，被列为各高校深化本科生综合改革的先导指标。</w:t>
      </w:r>
    </w:p>
    <w:p w14:paraId="144E845D">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与此同时，地方政策亦持续倾斜支持。以上海市为例，市教委明确发布促进数字校园与人工智能重点垂类应用落地的指导方案，鼓励各大高校在图书文献资源盘活、校园智能体交互等场景大胆创新，推动科研与实训成果服务于真实师生场景。在此背景下，将 AI 大语言模型、知识增强生成及自适应推荐算法引入高校图书馆业务核心，不仅具有前瞻的技术探索价值，更具备坚实的政策合规性与示范引领性。</w:t>
      </w:r>
    </w:p>
    <w:p w14:paraId="444EEB26">
      <w:pPr>
        <w:pStyle w:val="4"/>
        <w:keepNext/>
        <w:widowControl/>
        <w:suppressAutoHyphens/>
        <w:bidi w:val="0"/>
        <w:spacing w:before="180" w:after="120" w:line="360" w:lineRule="auto"/>
        <w:ind w:firstLine="482"/>
        <w:jc w:val="left"/>
        <w:rPr>
          <w:rFonts w:ascii="Times New Roman" w:hAnsi="Times New Roman" w:eastAsia="黑体"/>
          <w:b w:val="0"/>
          <w:bCs/>
          <w:color w:val="000000"/>
          <w:kern w:val="0"/>
          <w:sz w:val="28"/>
        </w:rPr>
      </w:pPr>
      <w:bookmarkStart w:id="10" w:name="_Toc31665"/>
      <w:r>
        <w:rPr>
          <w:rFonts w:ascii="Times New Roman" w:hAnsi="Times New Roman" w:eastAsia="黑体"/>
          <w:b w:val="0"/>
          <w:bCs/>
          <w:color w:val="000000"/>
          <w:kern w:val="0"/>
          <w:sz w:val="28"/>
        </w:rPr>
        <w:t>2.2 用户群体特征、借阅行为与痛点调研数据</w:t>
      </w:r>
      <w:bookmarkEnd w:id="10"/>
    </w:p>
    <w:p w14:paraId="6EFD84C0">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为确保项目研发立足于真需求、真痛点，团队在立项初期在校内展开了覆盖 200 余名本硕学子的深度问卷调研与 20 余场面对面深度焦点访谈，采集到了极具说服力的一手实证数据：</w:t>
      </w:r>
    </w:p>
    <w:p w14:paraId="4E5207D7">
      <w:pPr>
        <w:keepNext w:val="0"/>
        <w:keepLines w:val="0"/>
        <w:pageBreakBefore w:val="0"/>
        <w:widowControl/>
        <w:numPr>
          <w:ilvl w:val="0"/>
          <w:numId w:val="7"/>
        </w:numPr>
        <w:suppressAutoHyphens/>
        <w:kinsoku/>
        <w:wordWrap/>
        <w:overflowPunct/>
        <w:topLinePunct w:val="0"/>
        <w:autoSpaceDE/>
        <w:autoSpaceDN/>
        <w:bidi w:val="0"/>
        <w:adjustRightInd/>
        <w:snapToGrid/>
        <w:spacing w:before="0" w:after="0" w:line="300" w:lineRule="auto"/>
        <w:ind w:left="425" w:leftChars="0" w:hanging="425" w:firstLineChars="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选书试错成本极高：高达 82.4% 的受访学生表示曾经历过“满怀热情在图书馆借了专业书，翻开后发现理论推导晦涩艰深根本看不懂，最终只能默默还回”的挫败体验。平均每名本科生每学期会产生 1 至 2 次严重的图书错配与无效借阅。</w:t>
      </w:r>
    </w:p>
    <w:p w14:paraId="68A1E17F">
      <w:pPr>
        <w:keepNext w:val="0"/>
        <w:keepLines w:val="0"/>
        <w:pageBreakBefore w:val="0"/>
        <w:widowControl/>
        <w:numPr>
          <w:ilvl w:val="0"/>
          <w:numId w:val="7"/>
        </w:numPr>
        <w:suppressAutoHyphens/>
        <w:kinsoku/>
        <w:wordWrap/>
        <w:overflowPunct/>
        <w:topLinePunct w:val="0"/>
        <w:autoSpaceDE/>
        <w:autoSpaceDN/>
        <w:bidi w:val="0"/>
        <w:adjustRightInd/>
        <w:snapToGrid/>
        <w:spacing w:before="0" w:after="0" w:line="300" w:lineRule="auto"/>
        <w:ind w:left="425" w:leftChars="0" w:hanging="425" w:firstLineChars="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跨学科自学缺乏导航：当前计算机、人工智能、数据科学等工科技术迭代日新月异，商科、文科及艺术类学生希望跨界学习编程或前沿模型（如 LLM、数据分析），但因缺乏计算机体系结构、线性代数等底层铺垫，极易在第一本大部头教材前望而却步，迫切需要一位“由浅入深”指导选书的引路人。</w:t>
      </w:r>
    </w:p>
    <w:p w14:paraId="28227E77">
      <w:pPr>
        <w:keepNext w:val="0"/>
        <w:keepLines w:val="0"/>
        <w:pageBreakBefore w:val="0"/>
        <w:widowControl/>
        <w:numPr>
          <w:ilvl w:val="0"/>
          <w:numId w:val="7"/>
        </w:numPr>
        <w:suppressAutoHyphens/>
        <w:kinsoku/>
        <w:wordWrap/>
        <w:overflowPunct/>
        <w:topLinePunct w:val="0"/>
        <w:autoSpaceDE/>
        <w:autoSpaceDN/>
        <w:bidi w:val="0"/>
        <w:adjustRightInd/>
        <w:snapToGrid/>
        <w:spacing w:before="0" w:after="0" w:line="300" w:lineRule="auto"/>
        <w:ind w:left="425" w:leftChars="0" w:hanging="425" w:firstLineChars="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馆藏沉睡与资源错配：调研显示，高校图书馆约 75% 的专业文献在采购后的前三年内借阅频次低于 2 次，存在严重的资产闲置与纸张自然老化折旧，急需通过精准的主动推荐重焕文献生命力。</w:t>
      </w:r>
    </w:p>
    <w:p w14:paraId="15F27E34">
      <w:pPr>
        <w:pStyle w:val="4"/>
        <w:keepNext/>
        <w:widowControl/>
        <w:suppressAutoHyphens/>
        <w:bidi w:val="0"/>
        <w:spacing w:before="180" w:after="120" w:line="360" w:lineRule="auto"/>
        <w:ind w:firstLine="482"/>
        <w:jc w:val="left"/>
        <w:rPr>
          <w:rFonts w:ascii="Times New Roman" w:hAnsi="Times New Roman" w:eastAsia="黑体"/>
          <w:b w:val="0"/>
          <w:bCs/>
          <w:color w:val="000000"/>
          <w:kern w:val="0"/>
          <w:sz w:val="28"/>
        </w:rPr>
      </w:pPr>
      <w:bookmarkStart w:id="11" w:name="_Toc30816"/>
      <w:r>
        <w:rPr>
          <w:rFonts w:ascii="Times New Roman" w:hAnsi="Times New Roman" w:eastAsia="黑体"/>
          <w:b w:val="0"/>
          <w:bCs/>
          <w:color w:val="000000"/>
          <w:kern w:val="0"/>
          <w:sz w:val="28"/>
        </w:rPr>
        <w:t>2.3 深度竞品对比与市场差异化壁垒</w:t>
      </w:r>
      <w:bookmarkEnd w:id="11"/>
    </w:p>
    <w:p w14:paraId="35E23A66">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当前图书与文献服务市场呈现多元化割据态势，但面向高校特定研习场景，均存在明显的结构性短板：</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1270"/>
        <w:gridCol w:w="2131"/>
        <w:gridCol w:w="1984"/>
        <w:gridCol w:w="1984"/>
      </w:tblGrid>
      <w:tr w14:paraId="4F60F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D7D7D7" w:themeFill="background1" w:themeFillShade="D8"/>
            <w:vAlign w:val="center"/>
          </w:tcPr>
          <w:p w14:paraId="4C138D9F">
            <w:pPr>
              <w:spacing w:before="100" w:after="100"/>
              <w:jc w:val="center"/>
              <w:rPr>
                <w:color w:val="auto"/>
                <w:sz w:val="21"/>
                <w:szCs w:val="21"/>
              </w:rPr>
            </w:pPr>
            <w:r>
              <w:rPr>
                <w:rFonts w:ascii="黑体" w:hAnsi="黑体" w:eastAsia="黑体"/>
                <w:b/>
                <w:i w:val="0"/>
                <w:color w:val="auto"/>
                <w:sz w:val="21"/>
                <w:szCs w:val="21"/>
              </w:rPr>
              <w:t>系统类别</w:t>
            </w:r>
          </w:p>
        </w:tc>
        <w:tc>
          <w:tcPr>
            <w:tcW w:w="1270" w:type="dxa"/>
            <w:shd w:val="clear" w:color="auto" w:fill="D7D7D7" w:themeFill="background1" w:themeFillShade="D8"/>
            <w:vAlign w:val="center"/>
          </w:tcPr>
          <w:p w14:paraId="5DB8AE3B">
            <w:pPr>
              <w:spacing w:before="100" w:after="100"/>
              <w:jc w:val="center"/>
              <w:rPr>
                <w:color w:val="auto"/>
                <w:sz w:val="21"/>
                <w:szCs w:val="21"/>
              </w:rPr>
            </w:pPr>
            <w:r>
              <w:rPr>
                <w:rFonts w:ascii="黑体" w:hAnsi="黑体" w:eastAsia="黑体"/>
                <w:b/>
                <w:i w:val="0"/>
                <w:color w:val="auto"/>
                <w:sz w:val="21"/>
                <w:szCs w:val="21"/>
              </w:rPr>
              <w:t>代表平台</w:t>
            </w:r>
          </w:p>
        </w:tc>
        <w:tc>
          <w:tcPr>
            <w:tcW w:w="2131" w:type="dxa"/>
            <w:shd w:val="clear" w:color="auto" w:fill="D7D7D7" w:themeFill="background1" w:themeFillShade="D8"/>
            <w:vAlign w:val="center"/>
          </w:tcPr>
          <w:p w14:paraId="1A2DBA14">
            <w:pPr>
              <w:spacing w:before="100" w:after="100"/>
              <w:jc w:val="center"/>
              <w:rPr>
                <w:color w:val="auto"/>
                <w:sz w:val="21"/>
                <w:szCs w:val="21"/>
              </w:rPr>
            </w:pPr>
            <w:r>
              <w:rPr>
                <w:rFonts w:ascii="黑体" w:hAnsi="黑体" w:eastAsia="黑体"/>
                <w:b/>
                <w:i w:val="0"/>
                <w:color w:val="auto"/>
                <w:sz w:val="21"/>
                <w:szCs w:val="21"/>
              </w:rPr>
              <w:t>核心优势</w:t>
            </w:r>
          </w:p>
        </w:tc>
        <w:tc>
          <w:tcPr>
            <w:tcW w:w="1984" w:type="dxa"/>
            <w:shd w:val="clear" w:color="auto" w:fill="D7D7D7" w:themeFill="background1" w:themeFillShade="D8"/>
            <w:vAlign w:val="center"/>
          </w:tcPr>
          <w:p w14:paraId="1EA48D6A">
            <w:pPr>
              <w:spacing w:before="100" w:after="100"/>
              <w:jc w:val="center"/>
              <w:rPr>
                <w:color w:val="auto"/>
                <w:sz w:val="21"/>
                <w:szCs w:val="21"/>
              </w:rPr>
            </w:pPr>
            <w:r>
              <w:rPr>
                <w:rFonts w:ascii="黑体" w:hAnsi="黑体" w:eastAsia="黑体"/>
                <w:b/>
                <w:i w:val="0"/>
                <w:color w:val="auto"/>
                <w:sz w:val="21"/>
                <w:szCs w:val="21"/>
              </w:rPr>
              <w:t>高校学术场景短板</w:t>
            </w:r>
          </w:p>
        </w:tc>
        <w:tc>
          <w:tcPr>
            <w:tcW w:w="1984" w:type="dxa"/>
            <w:shd w:val="clear" w:color="auto" w:fill="D7D7D7" w:themeFill="background1" w:themeFillShade="D8"/>
            <w:vAlign w:val="center"/>
          </w:tcPr>
          <w:p w14:paraId="190628E1">
            <w:pPr>
              <w:spacing w:before="100" w:after="100"/>
              <w:jc w:val="center"/>
              <w:rPr>
                <w:color w:val="auto"/>
                <w:sz w:val="21"/>
                <w:szCs w:val="21"/>
              </w:rPr>
            </w:pPr>
            <w:r>
              <w:rPr>
                <w:rFonts w:ascii="黑体" w:hAnsi="黑体" w:eastAsia="黑体"/>
                <w:b/>
                <w:i w:val="0"/>
                <w:color w:val="auto"/>
                <w:sz w:val="21"/>
                <w:szCs w:val="21"/>
              </w:rPr>
              <w:t>书途智启（BookPath AI）破局点</w:t>
            </w:r>
          </w:p>
        </w:tc>
      </w:tr>
      <w:tr w14:paraId="5B0F8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FFFFF"/>
            <w:vAlign w:val="center"/>
          </w:tcPr>
          <w:p w14:paraId="6912E365">
            <w:pPr>
              <w:spacing w:before="80" w:after="80" w:line="276" w:lineRule="auto"/>
              <w:rPr>
                <w:color w:val="auto"/>
                <w:sz w:val="21"/>
                <w:szCs w:val="21"/>
              </w:rPr>
            </w:pPr>
            <w:r>
              <w:rPr>
                <w:rFonts w:ascii="宋体" w:hAnsi="宋体" w:eastAsia="宋体"/>
                <w:b/>
                <w:i w:val="0"/>
                <w:color w:val="auto"/>
                <w:sz w:val="21"/>
                <w:szCs w:val="21"/>
              </w:rPr>
              <w:t>大众图书社交</w:t>
            </w:r>
          </w:p>
        </w:tc>
        <w:tc>
          <w:tcPr>
            <w:tcW w:w="1270" w:type="dxa"/>
            <w:shd w:val="clear" w:color="auto" w:fill="FFFFFF"/>
            <w:vAlign w:val="center"/>
          </w:tcPr>
          <w:p w14:paraId="663BD147">
            <w:pPr>
              <w:spacing w:before="80" w:after="80" w:line="276" w:lineRule="auto"/>
              <w:rPr>
                <w:color w:val="auto"/>
                <w:sz w:val="21"/>
                <w:szCs w:val="21"/>
              </w:rPr>
            </w:pPr>
            <w:r>
              <w:rPr>
                <w:rFonts w:ascii="宋体" w:hAnsi="宋体" w:eastAsia="宋体"/>
                <w:b w:val="0"/>
                <w:i w:val="0"/>
                <w:color w:val="auto"/>
                <w:sz w:val="21"/>
                <w:szCs w:val="21"/>
              </w:rPr>
              <w:t>豆瓣读书</w:t>
            </w:r>
          </w:p>
        </w:tc>
        <w:tc>
          <w:tcPr>
            <w:tcW w:w="2131" w:type="dxa"/>
            <w:shd w:val="clear" w:color="auto" w:fill="FFFFFF"/>
            <w:vAlign w:val="center"/>
          </w:tcPr>
          <w:p w14:paraId="3A500823">
            <w:pPr>
              <w:spacing w:before="80" w:after="80" w:line="276" w:lineRule="auto"/>
              <w:rPr>
                <w:color w:val="auto"/>
                <w:sz w:val="21"/>
                <w:szCs w:val="21"/>
              </w:rPr>
            </w:pPr>
            <w:r>
              <w:rPr>
                <w:rFonts w:ascii="宋体" w:hAnsi="宋体" w:eastAsia="宋体"/>
                <w:b w:val="0"/>
                <w:i w:val="0"/>
                <w:color w:val="auto"/>
                <w:sz w:val="21"/>
                <w:szCs w:val="21"/>
              </w:rPr>
              <w:t>书评极其丰富，大众文艺评分基数庞大</w:t>
            </w:r>
          </w:p>
        </w:tc>
        <w:tc>
          <w:tcPr>
            <w:tcW w:w="1984" w:type="dxa"/>
            <w:shd w:val="clear" w:color="auto" w:fill="FFFFFF"/>
            <w:vAlign w:val="center"/>
          </w:tcPr>
          <w:p w14:paraId="7DFA3D5D">
            <w:pPr>
              <w:spacing w:before="80" w:after="80" w:line="276" w:lineRule="auto"/>
              <w:rPr>
                <w:color w:val="auto"/>
                <w:sz w:val="21"/>
                <w:szCs w:val="21"/>
              </w:rPr>
            </w:pPr>
            <w:r>
              <w:rPr>
                <w:rFonts w:ascii="宋体" w:hAnsi="宋体" w:eastAsia="宋体"/>
                <w:b w:val="0"/>
                <w:i w:val="0"/>
                <w:color w:val="auto"/>
                <w:sz w:val="21"/>
                <w:szCs w:val="21"/>
              </w:rPr>
              <w:t>无法同步高校馆藏，学术专著评测稀少且充斥主观情绪</w:t>
            </w:r>
          </w:p>
        </w:tc>
        <w:tc>
          <w:tcPr>
            <w:tcW w:w="1984" w:type="dxa"/>
            <w:shd w:val="clear" w:color="auto" w:fill="FFFFFF"/>
            <w:vAlign w:val="center"/>
          </w:tcPr>
          <w:p w14:paraId="2D9196CE">
            <w:pPr>
              <w:spacing w:before="80" w:after="80" w:line="276" w:lineRule="auto"/>
              <w:rPr>
                <w:color w:val="auto"/>
                <w:sz w:val="21"/>
                <w:szCs w:val="21"/>
              </w:rPr>
            </w:pPr>
            <w:r>
              <w:rPr>
                <w:rFonts w:ascii="宋体" w:hAnsi="宋体" w:eastAsia="宋体"/>
                <w:b w:val="0"/>
                <w:i w:val="0"/>
                <w:color w:val="auto"/>
                <w:sz w:val="21"/>
                <w:szCs w:val="21"/>
              </w:rPr>
              <w:t>结合真实馆藏库存，依据学术严谨度与知识图谱进行客观打分</w:t>
            </w:r>
          </w:p>
        </w:tc>
      </w:tr>
      <w:tr w14:paraId="5918E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8FAFC"/>
            <w:vAlign w:val="center"/>
          </w:tcPr>
          <w:p w14:paraId="1F1221DB">
            <w:pPr>
              <w:spacing w:before="80" w:after="80" w:line="276" w:lineRule="auto"/>
              <w:rPr>
                <w:color w:val="auto"/>
                <w:sz w:val="21"/>
                <w:szCs w:val="21"/>
              </w:rPr>
            </w:pPr>
            <w:r>
              <w:rPr>
                <w:rFonts w:ascii="宋体" w:hAnsi="宋体" w:eastAsia="宋体"/>
                <w:b/>
                <w:i w:val="0"/>
                <w:color w:val="auto"/>
                <w:sz w:val="21"/>
                <w:szCs w:val="21"/>
              </w:rPr>
              <w:t>商业电子书</w:t>
            </w:r>
          </w:p>
        </w:tc>
        <w:tc>
          <w:tcPr>
            <w:tcW w:w="1270" w:type="dxa"/>
            <w:shd w:val="clear" w:color="auto" w:fill="F8FAFC"/>
            <w:vAlign w:val="center"/>
          </w:tcPr>
          <w:p w14:paraId="1E8403DC">
            <w:pPr>
              <w:spacing w:before="80" w:after="80" w:line="276" w:lineRule="auto"/>
              <w:rPr>
                <w:color w:val="auto"/>
                <w:sz w:val="21"/>
                <w:szCs w:val="21"/>
              </w:rPr>
            </w:pPr>
            <w:r>
              <w:rPr>
                <w:rFonts w:ascii="宋体" w:hAnsi="宋体" w:eastAsia="宋体"/>
                <w:b w:val="0"/>
                <w:i w:val="0"/>
                <w:color w:val="auto"/>
                <w:sz w:val="21"/>
                <w:szCs w:val="21"/>
              </w:rPr>
              <w:t>微信读书、网易蜗牛</w:t>
            </w:r>
          </w:p>
        </w:tc>
        <w:tc>
          <w:tcPr>
            <w:tcW w:w="2131" w:type="dxa"/>
            <w:shd w:val="clear" w:color="auto" w:fill="F8FAFC"/>
            <w:vAlign w:val="center"/>
          </w:tcPr>
          <w:p w14:paraId="6DBB56BE">
            <w:pPr>
              <w:spacing w:before="80" w:after="80" w:line="276" w:lineRule="auto"/>
              <w:rPr>
                <w:color w:val="auto"/>
                <w:sz w:val="21"/>
                <w:szCs w:val="21"/>
              </w:rPr>
            </w:pPr>
            <w:r>
              <w:rPr>
                <w:rFonts w:ascii="宋体" w:hAnsi="宋体" w:eastAsia="宋体"/>
                <w:b w:val="0"/>
                <w:i w:val="0"/>
                <w:color w:val="auto"/>
                <w:sz w:val="21"/>
                <w:szCs w:val="21"/>
              </w:rPr>
              <w:t>移动端交互流畅，社交互动玩法多元</w:t>
            </w:r>
          </w:p>
        </w:tc>
        <w:tc>
          <w:tcPr>
            <w:tcW w:w="1984" w:type="dxa"/>
            <w:shd w:val="clear" w:color="auto" w:fill="F8FAFC"/>
            <w:vAlign w:val="center"/>
          </w:tcPr>
          <w:p w14:paraId="7771DDFB">
            <w:pPr>
              <w:spacing w:before="80" w:after="80" w:line="276" w:lineRule="auto"/>
              <w:rPr>
                <w:color w:val="auto"/>
                <w:sz w:val="21"/>
                <w:szCs w:val="21"/>
              </w:rPr>
            </w:pPr>
            <w:r>
              <w:rPr>
                <w:rFonts w:ascii="宋体" w:hAnsi="宋体" w:eastAsia="宋体"/>
                <w:b w:val="0"/>
                <w:i w:val="0"/>
                <w:color w:val="auto"/>
                <w:sz w:val="21"/>
                <w:szCs w:val="21"/>
              </w:rPr>
              <w:t>以畅销快餐书籍为主，高校硬核学科专著与指定教材断档</w:t>
            </w:r>
          </w:p>
        </w:tc>
        <w:tc>
          <w:tcPr>
            <w:tcW w:w="1984" w:type="dxa"/>
            <w:shd w:val="clear" w:color="auto" w:fill="F8FAFC"/>
            <w:vAlign w:val="center"/>
          </w:tcPr>
          <w:p w14:paraId="2FFA370B">
            <w:pPr>
              <w:spacing w:before="80" w:after="80" w:line="276" w:lineRule="auto"/>
              <w:rPr>
                <w:color w:val="auto"/>
                <w:sz w:val="21"/>
                <w:szCs w:val="21"/>
              </w:rPr>
            </w:pPr>
            <w:r>
              <w:rPr>
                <w:rFonts w:ascii="宋体" w:hAnsi="宋体" w:eastAsia="宋体"/>
                <w:b w:val="0"/>
                <w:i w:val="0"/>
                <w:color w:val="auto"/>
                <w:sz w:val="21"/>
                <w:szCs w:val="21"/>
              </w:rPr>
              <w:t>深耕高校专业学科书目，直通高校物理借阅柜与闭架书库</w:t>
            </w:r>
          </w:p>
        </w:tc>
      </w:tr>
      <w:tr w14:paraId="3B587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FFFFF"/>
            <w:vAlign w:val="center"/>
          </w:tcPr>
          <w:p w14:paraId="34AF9D8F">
            <w:pPr>
              <w:spacing w:before="80" w:after="80" w:line="276" w:lineRule="auto"/>
              <w:rPr>
                <w:color w:val="auto"/>
                <w:sz w:val="21"/>
                <w:szCs w:val="21"/>
              </w:rPr>
            </w:pPr>
            <w:r>
              <w:rPr>
                <w:rFonts w:ascii="宋体" w:hAnsi="宋体" w:eastAsia="宋体"/>
                <w:b/>
                <w:i w:val="0"/>
                <w:color w:val="auto"/>
                <w:sz w:val="21"/>
                <w:szCs w:val="21"/>
              </w:rPr>
              <w:t>文献检索引擎</w:t>
            </w:r>
          </w:p>
        </w:tc>
        <w:tc>
          <w:tcPr>
            <w:tcW w:w="1270" w:type="dxa"/>
            <w:shd w:val="clear" w:color="auto" w:fill="FFFFFF"/>
            <w:vAlign w:val="center"/>
          </w:tcPr>
          <w:p w14:paraId="498D95B6">
            <w:pPr>
              <w:spacing w:before="80" w:after="80" w:line="276" w:lineRule="auto"/>
              <w:rPr>
                <w:color w:val="auto"/>
                <w:sz w:val="21"/>
                <w:szCs w:val="21"/>
              </w:rPr>
            </w:pPr>
            <w:r>
              <w:rPr>
                <w:rFonts w:ascii="宋体" w:hAnsi="宋体" w:eastAsia="宋体"/>
                <w:b w:val="0"/>
                <w:i w:val="0"/>
                <w:color w:val="auto"/>
                <w:sz w:val="21"/>
                <w:szCs w:val="21"/>
              </w:rPr>
              <w:t>中国知网（CNKI）、万方</w:t>
            </w:r>
          </w:p>
        </w:tc>
        <w:tc>
          <w:tcPr>
            <w:tcW w:w="2131" w:type="dxa"/>
            <w:shd w:val="clear" w:color="auto" w:fill="FFFFFF"/>
            <w:vAlign w:val="center"/>
          </w:tcPr>
          <w:p w14:paraId="230CEF38">
            <w:pPr>
              <w:spacing w:before="80" w:after="80" w:line="276" w:lineRule="auto"/>
              <w:rPr>
                <w:color w:val="auto"/>
                <w:sz w:val="21"/>
                <w:szCs w:val="21"/>
              </w:rPr>
            </w:pPr>
            <w:r>
              <w:rPr>
                <w:rFonts w:ascii="宋体" w:hAnsi="宋体" w:eastAsia="宋体"/>
                <w:b w:val="0"/>
                <w:i w:val="0"/>
                <w:color w:val="auto"/>
                <w:sz w:val="21"/>
                <w:szCs w:val="21"/>
              </w:rPr>
              <w:t>前沿学术论文与期刊覆盖全面、更新快</w:t>
            </w:r>
          </w:p>
        </w:tc>
        <w:tc>
          <w:tcPr>
            <w:tcW w:w="1984" w:type="dxa"/>
            <w:shd w:val="clear" w:color="auto" w:fill="FFFFFF"/>
            <w:vAlign w:val="center"/>
          </w:tcPr>
          <w:p w14:paraId="2B41E4F3">
            <w:pPr>
              <w:spacing w:before="80" w:after="80" w:line="276" w:lineRule="auto"/>
              <w:rPr>
                <w:color w:val="auto"/>
                <w:sz w:val="21"/>
                <w:szCs w:val="21"/>
              </w:rPr>
            </w:pPr>
            <w:r>
              <w:rPr>
                <w:rFonts w:ascii="宋体" w:hAnsi="宋体" w:eastAsia="宋体"/>
                <w:b w:val="0"/>
                <w:i w:val="0"/>
                <w:color w:val="auto"/>
                <w:sz w:val="21"/>
                <w:szCs w:val="21"/>
              </w:rPr>
              <w:t>侧重单篇学术成果检索，无法引导初学者建立结构化学科技能树</w:t>
            </w:r>
          </w:p>
        </w:tc>
        <w:tc>
          <w:tcPr>
            <w:tcW w:w="1984" w:type="dxa"/>
            <w:shd w:val="clear" w:color="auto" w:fill="FFFFFF"/>
            <w:vAlign w:val="center"/>
          </w:tcPr>
          <w:p w14:paraId="2D94F8DB">
            <w:pPr>
              <w:spacing w:before="80" w:after="80" w:line="276" w:lineRule="auto"/>
              <w:rPr>
                <w:color w:val="auto"/>
                <w:sz w:val="21"/>
                <w:szCs w:val="21"/>
              </w:rPr>
            </w:pPr>
            <w:r>
              <w:rPr>
                <w:rFonts w:ascii="宋体" w:hAnsi="宋体" w:eastAsia="宋体"/>
                <w:b w:val="0"/>
                <w:i w:val="0"/>
                <w:color w:val="auto"/>
                <w:sz w:val="21"/>
                <w:szCs w:val="21"/>
              </w:rPr>
              <w:t>推荐即路径，以三阶段经典专著为纲，论文为辅，培养系统体系</w:t>
            </w:r>
          </w:p>
        </w:tc>
      </w:tr>
      <w:tr w14:paraId="017DA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8FAFC"/>
            <w:vAlign w:val="center"/>
          </w:tcPr>
          <w:p w14:paraId="1A1BBFEE">
            <w:pPr>
              <w:spacing w:before="80" w:after="80" w:line="276" w:lineRule="auto"/>
              <w:rPr>
                <w:color w:val="auto"/>
                <w:sz w:val="21"/>
                <w:szCs w:val="21"/>
              </w:rPr>
            </w:pPr>
            <w:r>
              <w:rPr>
                <w:rFonts w:ascii="宋体" w:hAnsi="宋体" w:eastAsia="宋体"/>
                <w:b/>
                <w:i w:val="0"/>
                <w:color w:val="auto"/>
                <w:sz w:val="21"/>
                <w:szCs w:val="21"/>
              </w:rPr>
              <w:t>传统图书馆系统</w:t>
            </w:r>
          </w:p>
        </w:tc>
        <w:tc>
          <w:tcPr>
            <w:tcW w:w="1270" w:type="dxa"/>
            <w:shd w:val="clear" w:color="auto" w:fill="F8FAFC"/>
            <w:vAlign w:val="center"/>
          </w:tcPr>
          <w:p w14:paraId="0D738250">
            <w:pPr>
              <w:spacing w:before="80" w:after="80" w:line="276" w:lineRule="auto"/>
              <w:rPr>
                <w:color w:val="auto"/>
                <w:sz w:val="21"/>
                <w:szCs w:val="21"/>
              </w:rPr>
            </w:pPr>
            <w:r>
              <w:rPr>
                <w:rFonts w:ascii="宋体" w:hAnsi="宋体" w:eastAsia="宋体"/>
                <w:b w:val="0"/>
                <w:i w:val="0"/>
                <w:color w:val="auto"/>
                <w:sz w:val="21"/>
                <w:szCs w:val="21"/>
              </w:rPr>
              <w:t>汇文、金盘 OPAC</w:t>
            </w:r>
          </w:p>
        </w:tc>
        <w:tc>
          <w:tcPr>
            <w:tcW w:w="2131" w:type="dxa"/>
            <w:shd w:val="clear" w:color="auto" w:fill="F8FAFC"/>
            <w:vAlign w:val="center"/>
          </w:tcPr>
          <w:p w14:paraId="12C653BD">
            <w:pPr>
              <w:spacing w:before="80" w:after="80" w:line="276" w:lineRule="auto"/>
              <w:rPr>
                <w:color w:val="auto"/>
                <w:sz w:val="21"/>
                <w:szCs w:val="21"/>
              </w:rPr>
            </w:pPr>
            <w:r>
              <w:rPr>
                <w:rFonts w:ascii="宋体" w:hAnsi="宋体" w:eastAsia="宋体"/>
                <w:b w:val="0"/>
                <w:i w:val="0"/>
                <w:color w:val="auto"/>
                <w:sz w:val="21"/>
                <w:szCs w:val="21"/>
              </w:rPr>
              <w:t>馆藏数据权威完整，借还业务流程成熟</w:t>
            </w:r>
          </w:p>
        </w:tc>
        <w:tc>
          <w:tcPr>
            <w:tcW w:w="1984" w:type="dxa"/>
            <w:shd w:val="clear" w:color="auto" w:fill="F8FAFC"/>
            <w:vAlign w:val="center"/>
          </w:tcPr>
          <w:p w14:paraId="4B39A5E1">
            <w:pPr>
              <w:spacing w:before="80" w:after="80" w:line="276" w:lineRule="auto"/>
              <w:rPr>
                <w:color w:val="auto"/>
                <w:sz w:val="21"/>
                <w:szCs w:val="21"/>
              </w:rPr>
            </w:pPr>
            <w:r>
              <w:rPr>
                <w:rFonts w:ascii="宋体" w:hAnsi="宋体" w:eastAsia="宋体"/>
                <w:b w:val="0"/>
                <w:i w:val="0"/>
                <w:color w:val="auto"/>
                <w:sz w:val="21"/>
                <w:szCs w:val="21"/>
              </w:rPr>
              <w:t>交互陈旧机械，仅支持精确搜索，无个性化推荐与智能交互</w:t>
            </w:r>
          </w:p>
        </w:tc>
        <w:tc>
          <w:tcPr>
            <w:tcW w:w="1984" w:type="dxa"/>
            <w:shd w:val="clear" w:color="auto" w:fill="F8FAFC"/>
            <w:vAlign w:val="center"/>
          </w:tcPr>
          <w:p w14:paraId="70C45D28">
            <w:pPr>
              <w:spacing w:before="80" w:after="80" w:line="276" w:lineRule="auto"/>
              <w:rPr>
                <w:color w:val="auto"/>
                <w:sz w:val="21"/>
                <w:szCs w:val="21"/>
              </w:rPr>
            </w:pPr>
            <w:r>
              <w:rPr>
                <w:rFonts w:ascii="宋体" w:hAnsi="宋体" w:eastAsia="宋体"/>
                <w:b w:val="0"/>
                <w:i w:val="0"/>
                <w:color w:val="auto"/>
                <w:sz w:val="21"/>
                <w:szCs w:val="21"/>
              </w:rPr>
              <w:t>轻量化挂载在现有 OPAC 之上，赋能老旧系统焕发全新 AI 生命力</w:t>
            </w:r>
          </w:p>
        </w:tc>
      </w:tr>
    </w:tbl>
    <w:p w14:paraId="596A0DBF">
      <w:pPr>
        <w:keepNext w:val="0"/>
        <w:keepLines w:val="0"/>
        <w:pageBreakBefore w:val="0"/>
        <w:widowControl/>
        <w:kinsoku/>
        <w:wordWrap/>
        <w:overflowPunct/>
        <w:topLinePunct w:val="0"/>
        <w:autoSpaceDE/>
        <w:autoSpaceDN/>
        <w:bidi w:val="0"/>
        <w:adjustRightInd/>
        <w:snapToGrid/>
        <w:spacing w:before="361" w:beforeLines="100" w:after="120" w:line="324" w:lineRule="auto"/>
        <w:ind w:firstLine="0"/>
        <w:jc w:val="center"/>
        <w:textAlignment w:val="auto"/>
        <w:rPr>
          <w:rFonts w:hint="eastAsia" w:ascii="Times New Roman" w:hAnsi="Times New Roman"/>
          <w:b w:val="0"/>
          <w:i w:val="0"/>
          <w:color w:val="000000"/>
          <w:sz w:val="21"/>
          <w:lang w:val="en-US" w:eastAsia="zh-CN"/>
        </w:rPr>
      </w:pPr>
      <w:r>
        <w:rPr>
          <w:rFonts w:hint="eastAsia" w:ascii="Times New Roman" w:hAnsi="Times New Roman"/>
          <w:b w:val="0"/>
          <w:i w:val="0"/>
          <w:color w:val="000000"/>
          <w:sz w:val="21"/>
          <w:lang w:val="en-US" w:eastAsia="zh-CN"/>
        </w:rPr>
        <w:t>表2-1 与市场差异的深度对比</w:t>
      </w:r>
    </w:p>
    <w:p w14:paraId="126040BA">
      <w:pPr>
        <w:keepNext w:val="0"/>
        <w:keepLines w:val="0"/>
        <w:pageBreakBefore w:val="0"/>
        <w:widowControl/>
        <w:kinsoku/>
        <w:wordWrap/>
        <w:overflowPunct/>
        <w:topLinePunct w:val="0"/>
        <w:autoSpaceDE/>
        <w:autoSpaceDN/>
        <w:bidi w:val="0"/>
        <w:adjustRightInd/>
        <w:snapToGrid/>
        <w:spacing w:before="361" w:beforeLines="100" w:after="120" w:line="324" w:lineRule="auto"/>
        <w:ind w:firstLine="0"/>
        <w:jc w:val="center"/>
        <w:textAlignment w:val="auto"/>
        <w:rPr>
          <w:rFonts w:hint="eastAsia" w:ascii="Times New Roman" w:hAnsi="Times New Roman"/>
          <w:b w:val="0"/>
          <w:i w:val="0"/>
          <w:color w:val="000000"/>
          <w:sz w:val="21"/>
          <w:lang w:val="en-US" w:eastAsia="zh-CN"/>
        </w:rPr>
      </w:pPr>
    </w:p>
    <w:p w14:paraId="7FF1C712">
      <w:pPr>
        <w:rPr>
          <w:rFonts w:hint="eastAsia"/>
        </w:rPr>
      </w:pPr>
      <w:r>
        <w:rPr>
          <w:rFonts w:hint="eastAsia"/>
        </w:rPr>
        <w:br w:type="page"/>
      </w:r>
    </w:p>
    <w:p w14:paraId="213438AF">
      <w:pPr>
        <w:pStyle w:val="3"/>
        <w:keepNext/>
        <w:widowControl/>
        <w:suppressAutoHyphens/>
        <w:bidi w:val="0"/>
        <w:spacing w:before="0" w:after="120" w:line="360" w:lineRule="auto"/>
        <w:ind w:firstLine="482"/>
        <w:jc w:val="center"/>
        <w:rPr>
          <w:rFonts w:hint="eastAsia" w:ascii="黑体" w:hAnsi="黑体" w:eastAsia="黑体" w:cs="黑体"/>
          <w:b w:val="0"/>
          <w:bCs/>
          <w:color w:val="000000"/>
          <w:kern w:val="0"/>
          <w:sz w:val="30"/>
        </w:rPr>
      </w:pPr>
      <w:bookmarkStart w:id="12" w:name="_Toc6504"/>
      <w:r>
        <w:rPr>
          <w:rFonts w:hint="eastAsia" w:ascii="黑体" w:hAnsi="黑体" w:eastAsia="黑体" w:cs="黑体"/>
          <w:b w:val="0"/>
          <w:bCs/>
          <w:color w:val="000000"/>
          <w:kern w:val="0"/>
          <w:sz w:val="30"/>
        </w:rPr>
        <w:t>第三章 系统总体架构与技术选型</w:t>
      </w:r>
      <w:bookmarkEnd w:id="12"/>
    </w:p>
    <w:p w14:paraId="27759A0F">
      <w:pPr>
        <w:pStyle w:val="4"/>
        <w:keepNext/>
        <w:widowControl/>
        <w:suppressAutoHyphens/>
        <w:bidi w:val="0"/>
        <w:spacing w:before="180" w:after="120" w:line="360" w:lineRule="auto"/>
        <w:ind w:firstLine="482"/>
        <w:jc w:val="left"/>
        <w:rPr>
          <w:rFonts w:ascii="Times New Roman" w:hAnsi="Times New Roman" w:eastAsia="黑体"/>
          <w:b w:val="0"/>
          <w:bCs/>
          <w:color w:val="000000"/>
          <w:kern w:val="0"/>
          <w:sz w:val="28"/>
        </w:rPr>
      </w:pPr>
      <w:bookmarkStart w:id="13" w:name="_Toc17346"/>
      <w:r>
        <w:rPr>
          <w:rFonts w:ascii="Times New Roman" w:hAnsi="Times New Roman" w:eastAsia="黑体"/>
          <w:b w:val="0"/>
          <w:bCs/>
          <w:color w:val="000000"/>
          <w:kern w:val="0"/>
          <w:sz w:val="28"/>
        </w:rPr>
        <w:t>3.1 四层分层解耦架构设计</w:t>
      </w:r>
      <w:bookmarkEnd w:id="13"/>
    </w:p>
    <w:p w14:paraId="5D109C0F">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书途智启遵循现代高可用微服务架构理念与云原生设计规范，整体构建为纵向四层分工明确、横向高内聚低耦合的分布式软件系统：</w:t>
      </w:r>
    </w:p>
    <w:p w14:paraId="10C4BE06">
      <w:pPr>
        <w:spacing w:before="160" w:after="80"/>
        <w:jc w:val="center"/>
        <w:rPr>
          <w:rFonts w:hint="eastAsia" w:eastAsia="宋体"/>
          <w:color w:val="auto"/>
          <w:lang w:eastAsia="zh-CN"/>
        </w:rPr>
      </w:pPr>
      <w:r>
        <w:rPr>
          <w:rFonts w:hint="eastAsia" w:eastAsia="宋体"/>
          <w:color w:val="auto"/>
          <w:lang w:eastAsia="zh-CN"/>
        </w:rPr>
        <w:drawing>
          <wp:inline distT="0" distB="0" distL="114300" distR="114300">
            <wp:extent cx="5754370" cy="3211830"/>
            <wp:effectExtent l="0" t="0" r="11430" b="1270"/>
            <wp:docPr id="10" name="图片 10" descr="Gemini_Generated_Image_x5rd36x5rd36x5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Gemini_Generated_Image_x5rd36x5rd36x5rd"/>
                    <pic:cNvPicPr>
                      <a:picLocks noChangeAspect="1"/>
                    </pic:cNvPicPr>
                  </pic:nvPicPr>
                  <pic:blipFill>
                    <a:blip r:embed="rId8"/>
                    <a:stretch>
                      <a:fillRect/>
                    </a:stretch>
                  </pic:blipFill>
                  <pic:spPr>
                    <a:xfrm>
                      <a:off x="0" y="0"/>
                      <a:ext cx="5754370" cy="3211830"/>
                    </a:xfrm>
                    <a:prstGeom prst="rect">
                      <a:avLst/>
                    </a:prstGeom>
                  </pic:spPr>
                </pic:pic>
              </a:graphicData>
            </a:graphic>
          </wp:inline>
        </w:drawing>
      </w:r>
    </w:p>
    <w:p w14:paraId="145EC534">
      <w:pPr>
        <w:spacing w:after="120" w:line="324" w:lineRule="auto"/>
        <w:ind w:firstLine="420"/>
        <w:jc w:val="center"/>
        <w:rPr>
          <w:rFonts w:hint="eastAsia" w:ascii="Times New Roman" w:hAnsi="Times New Roman"/>
          <w:b w:val="0"/>
          <w:i w:val="0"/>
          <w:color w:val="000000"/>
          <w:sz w:val="21"/>
          <w:lang w:val="en-US" w:eastAsia="zh-CN"/>
        </w:rPr>
      </w:pPr>
      <w:r>
        <w:rPr>
          <w:rFonts w:hint="eastAsia" w:ascii="Times New Roman" w:hAnsi="Times New Roman"/>
          <w:b w:val="0"/>
          <w:i w:val="0"/>
          <w:color w:val="000000"/>
          <w:sz w:val="21"/>
          <w:lang w:val="en-US" w:eastAsia="zh-CN"/>
        </w:rPr>
        <w:t>图 3-1  书途智启系统四层架构全景图</w:t>
      </w:r>
    </w:p>
    <w:p w14:paraId="7F9361E7">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如架构图所示，系统的四层职责界定极其分明：</w:t>
      </w:r>
    </w:p>
    <w:p w14:paraId="40803550">
      <w:pPr>
        <w:keepNext w:val="0"/>
        <w:keepLines w:val="0"/>
        <w:pageBreakBefore w:val="0"/>
        <w:widowControl/>
        <w:numPr>
          <w:ilvl w:val="0"/>
          <w:numId w:val="8"/>
        </w:numPr>
        <w:suppressAutoHyphens/>
        <w:kinsoku/>
        <w:wordWrap/>
        <w:overflowPunct/>
        <w:topLinePunct w:val="0"/>
        <w:autoSpaceDE/>
        <w:autoSpaceDN/>
        <w:bidi w:val="0"/>
        <w:adjustRightInd/>
        <w:snapToGrid/>
        <w:spacing w:before="0" w:after="0" w:line="300" w:lineRule="auto"/>
        <w:ind w:left="425" w:leftChars="0" w:hanging="425" w:firstLineChars="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用户交互呈现层（User Layer）：基于 Vue 3 结合 TypeScript 构建企业级单页前端应用（SPA）。前端界面划分为两大核心控制台：其一是面向全体读者的沉浸式学生工作台，集成多轮拟人化流式对话区、动态自适应推荐书卡、六维雷达可视化分析板、可交互式三阶段学习路径甘特图以及馆藏副本模拟预约弹窗；其二是面向图书馆采编与管理员团队的管理运营中台，提供全流程 Excel 导入清洗流水线、AI 多标签生成与人工协同审核中台、Chroma 向量索引全量/增量构建器、以及实时运营数据分析大屏。通过 Tailwind CSS 注入深邃典雅的现代学术美学。</w:t>
      </w:r>
    </w:p>
    <w:p w14:paraId="1B517B3E">
      <w:pPr>
        <w:keepNext w:val="0"/>
        <w:keepLines w:val="0"/>
        <w:pageBreakBefore w:val="0"/>
        <w:widowControl/>
        <w:numPr>
          <w:ilvl w:val="0"/>
          <w:numId w:val="8"/>
        </w:numPr>
        <w:suppressAutoHyphens/>
        <w:kinsoku/>
        <w:wordWrap/>
        <w:overflowPunct/>
        <w:topLinePunct w:val="0"/>
        <w:autoSpaceDE/>
        <w:autoSpaceDN/>
        <w:bidi w:val="0"/>
        <w:adjustRightInd/>
        <w:snapToGrid/>
        <w:spacing w:before="0" w:after="0" w:line="300" w:lineRule="auto"/>
        <w:ind w:left="425" w:leftChars="0" w:hanging="425" w:firstLineChars="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接口网关与安全控制层（FastAPI Gateway Layer）：采用当前业界性能最卓越的 Python 异步网关框架 FastAPI，底层由 Uvicorn 异步事件循环支撑。网关层集中挂载了安全防火墙拦截器：基于 Argon2id 的密码学防护、基于 JWT HS256 标准的无状态令牌鉴权守卫、基于 RBAC（基于角色的访问控制）的双角色权限隔离体系、针对高并发与暴力破解的滑动窗口动态限流算法、严格的域名跨域（CORS）白名单拦截、以及用于推荐结果实时逐字推流的 Server-Sent Events（SSE）通道。</w:t>
      </w:r>
    </w:p>
    <w:p w14:paraId="3AE342CD">
      <w:pPr>
        <w:keepNext w:val="0"/>
        <w:keepLines w:val="0"/>
        <w:pageBreakBefore w:val="0"/>
        <w:widowControl/>
        <w:numPr>
          <w:ilvl w:val="0"/>
          <w:numId w:val="8"/>
        </w:numPr>
        <w:suppressAutoHyphens/>
        <w:kinsoku/>
        <w:wordWrap/>
        <w:overflowPunct/>
        <w:topLinePunct w:val="0"/>
        <w:autoSpaceDE/>
        <w:autoSpaceDN/>
        <w:bidi w:val="0"/>
        <w:adjustRightInd/>
        <w:snapToGrid/>
        <w:spacing w:before="0" w:after="0" w:line="300" w:lineRule="auto"/>
        <w:ind w:left="425" w:leftChars="0" w:hanging="425" w:firstLineChars="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核心业务服务与 AI 集成层（Business Service &amp; AI Layer）：作为系统的“大脑中枢”，封装了 17 个专业微服务组件。核心包括：编排七步推荐流水线的 RecommendationService、基于认知心理学最近发展区理论构建的三阶段进阶学习规划器 LearningPathService、支撑自适应个性化进化的动态画像记忆长短期中枢 ProfileMemoryService、负责馆藏副本状态校验与 72 小时倒计时提醒的 ReservationService、以及多维匿名评测汇总器 EvaluationService。在侧翼，通过统一的 AI 集成适配器屏蔽了底层 DeepSeek、通义千问、BGE 等不同模型提供商的底层通信协议差异。</w:t>
      </w:r>
    </w:p>
    <w:p w14:paraId="142D8D54">
      <w:pPr>
        <w:keepNext w:val="0"/>
        <w:keepLines w:val="0"/>
        <w:pageBreakBefore w:val="0"/>
        <w:widowControl/>
        <w:numPr>
          <w:ilvl w:val="0"/>
          <w:numId w:val="8"/>
        </w:numPr>
        <w:suppressAutoHyphens/>
        <w:kinsoku/>
        <w:wordWrap/>
        <w:overflowPunct/>
        <w:topLinePunct w:val="0"/>
        <w:autoSpaceDE/>
        <w:autoSpaceDN/>
        <w:bidi w:val="0"/>
        <w:adjustRightInd/>
        <w:snapToGrid/>
        <w:spacing w:before="0" w:after="0" w:line="300" w:lineRule="auto"/>
        <w:ind w:left="425" w:leftChars="0" w:hanging="425" w:firstLineChars="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数据持久化与知识基石层（Persistence Layer）：采用关系型数据库与向量数据库协同的双轨架构。关系端选用生产级严谨的 PostgreSQL 16，辅以 SQLAlchemy 2 异步 ORM 及 Alembic 数据迁移套件，负责严格管理具备强 ACID 事务一致性要求的用户画像、对话上下文记录、馆藏实体书目、条形码物理副本、借阅状态、学习路径以及评测数据；向量端选用高性能轻量化嵌入式向量数据库 Chroma，负责存储版本化的图书稠密语义向量索引，支持毫秒级的近邻余弦相似度极速检索。</w:t>
      </w:r>
    </w:p>
    <w:p w14:paraId="7470D110">
      <w:pPr>
        <w:pStyle w:val="4"/>
        <w:keepNext/>
        <w:widowControl/>
        <w:suppressAutoHyphens/>
        <w:bidi w:val="0"/>
        <w:spacing w:before="180" w:after="120" w:line="360" w:lineRule="auto"/>
        <w:ind w:firstLine="482"/>
        <w:jc w:val="left"/>
        <w:rPr>
          <w:rFonts w:ascii="Times New Roman" w:hAnsi="Times New Roman" w:eastAsia="黑体"/>
          <w:b w:val="0"/>
          <w:bCs/>
          <w:color w:val="000000"/>
          <w:kern w:val="0"/>
          <w:sz w:val="28"/>
        </w:rPr>
      </w:pPr>
      <w:bookmarkStart w:id="14" w:name="_Toc25681"/>
      <w:r>
        <w:rPr>
          <w:rFonts w:ascii="Times New Roman" w:hAnsi="Times New Roman" w:eastAsia="黑体"/>
          <w:b w:val="0"/>
          <w:bCs/>
          <w:color w:val="000000"/>
          <w:kern w:val="0"/>
          <w:sz w:val="28"/>
        </w:rPr>
        <w:t>3.2 关键技术选型深度论证与权衡</w:t>
      </w:r>
      <w:bookmarkEnd w:id="14"/>
    </w:p>
    <w:p w14:paraId="0ECEF0C9">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在技术选型决策过程中，项目团队深度兼顾了系统性能、研发效率、学术合规性及高校本地化部署的低成本诉求：</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2154"/>
        <w:gridCol w:w="1134"/>
        <w:gridCol w:w="4169"/>
      </w:tblGrid>
      <w:tr w14:paraId="443C0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Borders>
              <w:bottom w:val="single" w:color="auto" w:sz="4" w:space="0"/>
            </w:tcBorders>
            <w:shd w:val="clear" w:color="auto" w:fill="D7D7D7" w:themeFill="background1" w:themeFillShade="D8"/>
            <w:vAlign w:val="center"/>
          </w:tcPr>
          <w:p w14:paraId="72C677BD">
            <w:pPr>
              <w:spacing w:before="100" w:after="100"/>
              <w:jc w:val="center"/>
              <w:rPr>
                <w:rFonts w:hint="eastAsia" w:ascii="黑体" w:hAnsi="黑体" w:eastAsia="黑体"/>
                <w:b/>
                <w:i w:val="0"/>
                <w:color w:val="auto"/>
                <w:sz w:val="21"/>
                <w:szCs w:val="21"/>
              </w:rPr>
            </w:pPr>
            <w:r>
              <w:rPr>
                <w:rFonts w:hint="eastAsia" w:ascii="黑体" w:hAnsi="黑体" w:eastAsia="黑体"/>
                <w:b/>
                <w:i w:val="0"/>
                <w:color w:val="auto"/>
                <w:sz w:val="21"/>
                <w:szCs w:val="21"/>
              </w:rPr>
              <w:t>模块层次</w:t>
            </w:r>
          </w:p>
        </w:tc>
        <w:tc>
          <w:tcPr>
            <w:tcW w:w="2154" w:type="dxa"/>
            <w:tcBorders>
              <w:bottom w:val="single" w:color="auto" w:sz="4" w:space="0"/>
            </w:tcBorders>
            <w:shd w:val="clear" w:color="auto" w:fill="D7D7D7" w:themeFill="background1" w:themeFillShade="D8"/>
            <w:vAlign w:val="center"/>
          </w:tcPr>
          <w:p w14:paraId="087488FF">
            <w:pPr>
              <w:spacing w:before="100" w:after="100"/>
              <w:jc w:val="center"/>
              <w:rPr>
                <w:rFonts w:hint="eastAsia" w:ascii="黑体" w:hAnsi="黑体" w:eastAsia="黑体"/>
                <w:b/>
                <w:i w:val="0"/>
                <w:color w:val="auto"/>
                <w:sz w:val="21"/>
                <w:szCs w:val="21"/>
              </w:rPr>
            </w:pPr>
            <w:r>
              <w:rPr>
                <w:rFonts w:hint="eastAsia" w:ascii="黑体" w:hAnsi="黑体" w:eastAsia="黑体"/>
                <w:b/>
                <w:i w:val="0"/>
                <w:color w:val="auto"/>
                <w:sz w:val="21"/>
                <w:szCs w:val="21"/>
              </w:rPr>
              <w:t>选型技术 / 组件</w:t>
            </w:r>
          </w:p>
        </w:tc>
        <w:tc>
          <w:tcPr>
            <w:tcW w:w="1134" w:type="dxa"/>
            <w:tcBorders>
              <w:bottom w:val="single" w:color="auto" w:sz="4" w:space="0"/>
            </w:tcBorders>
            <w:shd w:val="clear" w:color="auto" w:fill="D7D7D7" w:themeFill="background1" w:themeFillShade="D8"/>
            <w:vAlign w:val="center"/>
          </w:tcPr>
          <w:p w14:paraId="3D7C7DDD">
            <w:pPr>
              <w:spacing w:before="100" w:after="100"/>
              <w:jc w:val="center"/>
              <w:rPr>
                <w:rFonts w:hint="eastAsia" w:ascii="黑体" w:hAnsi="黑体" w:eastAsia="黑体"/>
                <w:b/>
                <w:i w:val="0"/>
                <w:color w:val="auto"/>
                <w:sz w:val="21"/>
                <w:szCs w:val="21"/>
              </w:rPr>
            </w:pPr>
            <w:r>
              <w:rPr>
                <w:rFonts w:hint="eastAsia" w:ascii="黑体" w:hAnsi="黑体" w:eastAsia="黑体"/>
                <w:b/>
                <w:i w:val="0"/>
                <w:color w:val="auto"/>
                <w:sz w:val="21"/>
                <w:szCs w:val="21"/>
              </w:rPr>
              <w:t>版本要求</w:t>
            </w:r>
          </w:p>
        </w:tc>
        <w:tc>
          <w:tcPr>
            <w:tcW w:w="4169" w:type="dxa"/>
            <w:tcBorders>
              <w:bottom w:val="single" w:color="auto" w:sz="4" w:space="0"/>
            </w:tcBorders>
            <w:shd w:val="clear" w:color="auto" w:fill="D7D7D7" w:themeFill="background1" w:themeFillShade="D8"/>
            <w:vAlign w:val="center"/>
          </w:tcPr>
          <w:p w14:paraId="38912786">
            <w:pPr>
              <w:spacing w:before="100" w:after="100"/>
              <w:jc w:val="center"/>
              <w:rPr>
                <w:rFonts w:hint="eastAsia" w:ascii="黑体" w:hAnsi="黑体" w:eastAsia="黑体"/>
                <w:b/>
                <w:i w:val="0"/>
                <w:color w:val="auto"/>
                <w:sz w:val="21"/>
                <w:szCs w:val="21"/>
              </w:rPr>
            </w:pPr>
            <w:r>
              <w:rPr>
                <w:rFonts w:hint="eastAsia" w:ascii="黑体" w:hAnsi="黑体" w:eastAsia="黑体"/>
                <w:b/>
                <w:i w:val="0"/>
                <w:color w:val="auto"/>
                <w:sz w:val="21"/>
                <w:szCs w:val="21"/>
              </w:rPr>
              <w:t>核心考量与工程权衡优势</w:t>
            </w:r>
          </w:p>
        </w:tc>
      </w:tr>
      <w:tr w14:paraId="5FCD2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6" w:hRule="atLeast"/>
          <w:jc w:val="center"/>
        </w:trPr>
        <w:tc>
          <w:tcPr>
            <w:tcW w:w="1474" w:type="dxa"/>
            <w:tcBorders>
              <w:top w:val="single" w:color="auto" w:sz="4" w:space="0"/>
              <w:left w:val="single" w:color="auto" w:sz="4" w:space="0"/>
              <w:bottom w:val="single" w:color="auto" w:sz="4" w:space="0"/>
              <w:right w:val="single" w:color="auto" w:sz="4" w:space="0"/>
            </w:tcBorders>
            <w:shd w:val="clear" w:color="auto" w:fill="FFFFFF"/>
            <w:vAlign w:val="center"/>
          </w:tcPr>
          <w:p w14:paraId="2970B186">
            <w:pPr>
              <w:spacing w:before="80" w:after="80" w:line="276" w:lineRule="auto"/>
              <w:rPr>
                <w:rFonts w:hint="eastAsia" w:ascii="宋体" w:hAnsi="宋体" w:eastAsia="宋体"/>
                <w:b w:val="0"/>
                <w:i w:val="0"/>
                <w:color w:val="auto"/>
                <w:sz w:val="21"/>
                <w:szCs w:val="21"/>
              </w:rPr>
            </w:pPr>
            <w:r>
              <w:rPr>
                <w:rFonts w:hint="eastAsia" w:ascii="宋体" w:hAnsi="宋体" w:eastAsia="宋体"/>
                <w:b w:val="0"/>
                <w:i w:val="0"/>
                <w:color w:val="auto"/>
                <w:sz w:val="21"/>
                <w:szCs w:val="21"/>
              </w:rPr>
              <w:t>前端交互框架</w:t>
            </w:r>
          </w:p>
        </w:tc>
        <w:tc>
          <w:tcPr>
            <w:tcW w:w="2154" w:type="dxa"/>
            <w:tcBorders>
              <w:top w:val="single" w:color="auto" w:sz="4" w:space="0"/>
              <w:left w:val="single" w:color="auto" w:sz="4" w:space="0"/>
              <w:bottom w:val="single" w:color="auto" w:sz="4" w:space="0"/>
              <w:right w:val="single" w:color="auto" w:sz="4" w:space="0"/>
            </w:tcBorders>
            <w:shd w:val="clear" w:color="auto" w:fill="FFFFFF"/>
            <w:vAlign w:val="center"/>
          </w:tcPr>
          <w:p w14:paraId="69478F71">
            <w:pPr>
              <w:spacing w:before="80" w:after="80" w:line="276" w:lineRule="auto"/>
              <w:rPr>
                <w:rFonts w:hint="eastAsia" w:ascii="宋体" w:hAnsi="宋体" w:eastAsia="宋体"/>
                <w:b w:val="0"/>
                <w:i w:val="0"/>
                <w:color w:val="auto"/>
                <w:sz w:val="21"/>
                <w:szCs w:val="21"/>
              </w:rPr>
            </w:pPr>
            <w:r>
              <w:rPr>
                <w:rFonts w:hint="eastAsia" w:ascii="宋体" w:hAnsi="宋体" w:eastAsia="宋体"/>
                <w:b w:val="0"/>
                <w:i w:val="0"/>
                <w:color w:val="auto"/>
                <w:sz w:val="21"/>
                <w:szCs w:val="21"/>
              </w:rPr>
              <w:t>Vue 3 + TypeScript</w:t>
            </w:r>
          </w:p>
        </w:tc>
        <w:tc>
          <w:tcPr>
            <w:tcW w:w="1134" w:type="dxa"/>
            <w:tcBorders>
              <w:top w:val="single" w:color="auto" w:sz="4" w:space="0"/>
              <w:left w:val="single" w:color="auto" w:sz="4" w:space="0"/>
              <w:bottom w:val="single" w:color="auto" w:sz="4" w:space="0"/>
              <w:right w:val="single" w:color="auto" w:sz="4" w:space="0"/>
            </w:tcBorders>
            <w:shd w:val="clear" w:color="auto" w:fill="FFFFFF"/>
            <w:vAlign w:val="center"/>
          </w:tcPr>
          <w:p w14:paraId="1C3F997D">
            <w:pPr>
              <w:spacing w:before="80" w:after="80" w:line="276" w:lineRule="auto"/>
              <w:rPr>
                <w:rFonts w:hint="eastAsia" w:ascii="宋体" w:hAnsi="宋体" w:eastAsia="宋体"/>
                <w:b w:val="0"/>
                <w:i w:val="0"/>
                <w:color w:val="auto"/>
                <w:sz w:val="21"/>
                <w:szCs w:val="21"/>
              </w:rPr>
            </w:pPr>
            <w:r>
              <w:rPr>
                <w:rFonts w:hint="eastAsia" w:ascii="宋体" w:hAnsi="宋体" w:eastAsia="宋体"/>
                <w:b w:val="0"/>
                <w:i w:val="0"/>
                <w:color w:val="auto"/>
                <w:sz w:val="21"/>
                <w:szCs w:val="21"/>
              </w:rPr>
              <w:t>≥ 3.4.0</w:t>
            </w:r>
          </w:p>
        </w:tc>
        <w:tc>
          <w:tcPr>
            <w:tcW w:w="4169" w:type="dxa"/>
            <w:tcBorders>
              <w:top w:val="single" w:color="auto" w:sz="4" w:space="0"/>
              <w:left w:val="single" w:color="auto" w:sz="4" w:space="0"/>
              <w:bottom w:val="single" w:color="auto" w:sz="4" w:space="0"/>
              <w:right w:val="single" w:color="auto" w:sz="4" w:space="0"/>
            </w:tcBorders>
            <w:shd w:val="clear" w:color="auto" w:fill="FFFFFF"/>
            <w:vAlign w:val="center"/>
          </w:tcPr>
          <w:p w14:paraId="72FAD8DA">
            <w:pPr>
              <w:spacing w:before="80" w:after="80" w:line="276" w:lineRule="auto"/>
              <w:rPr>
                <w:rFonts w:hint="eastAsia" w:ascii="宋体" w:hAnsi="宋体" w:eastAsia="宋体"/>
                <w:b w:val="0"/>
                <w:i w:val="0"/>
                <w:color w:val="auto"/>
                <w:sz w:val="21"/>
                <w:szCs w:val="21"/>
              </w:rPr>
            </w:pPr>
            <w:r>
              <w:rPr>
                <w:rFonts w:hint="eastAsia" w:ascii="宋体" w:hAnsi="宋体" w:eastAsia="宋体"/>
                <w:b w:val="0"/>
                <w:i w:val="0"/>
                <w:color w:val="auto"/>
                <w:sz w:val="21"/>
                <w:szCs w:val="21"/>
              </w:rPr>
              <w:t>采用 Composition API 实现复杂逻辑的高内聚封装，TS 在编译期杜绝类型隐患</w:t>
            </w:r>
          </w:p>
        </w:tc>
      </w:tr>
      <w:tr w14:paraId="11029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6" w:hRule="atLeast"/>
          <w:jc w:val="center"/>
        </w:trPr>
        <w:tc>
          <w:tcPr>
            <w:tcW w:w="1474" w:type="dxa"/>
            <w:tcBorders>
              <w:top w:val="single" w:color="auto" w:sz="4" w:space="0"/>
              <w:left w:val="single" w:color="auto" w:sz="4" w:space="0"/>
              <w:bottom w:val="single" w:color="auto" w:sz="4" w:space="0"/>
              <w:right w:val="single" w:color="auto" w:sz="4" w:space="0"/>
            </w:tcBorders>
            <w:shd w:val="clear" w:color="auto" w:fill="F8FAFC"/>
            <w:vAlign w:val="center"/>
          </w:tcPr>
          <w:p w14:paraId="20C14FC7">
            <w:pPr>
              <w:spacing w:before="80" w:after="80" w:line="276" w:lineRule="auto"/>
              <w:rPr>
                <w:rFonts w:hint="eastAsia" w:ascii="宋体" w:hAnsi="宋体" w:eastAsia="宋体"/>
                <w:b w:val="0"/>
                <w:i w:val="0"/>
                <w:color w:val="auto"/>
                <w:sz w:val="21"/>
                <w:szCs w:val="21"/>
              </w:rPr>
            </w:pPr>
            <w:r>
              <w:rPr>
                <w:rFonts w:hint="eastAsia" w:ascii="宋体" w:hAnsi="宋体" w:eastAsia="宋体"/>
                <w:b w:val="0"/>
                <w:i w:val="0"/>
                <w:color w:val="auto"/>
                <w:sz w:val="21"/>
                <w:szCs w:val="21"/>
              </w:rPr>
              <w:t>状态与路由</w:t>
            </w:r>
          </w:p>
        </w:tc>
        <w:tc>
          <w:tcPr>
            <w:tcW w:w="2154" w:type="dxa"/>
            <w:tcBorders>
              <w:top w:val="single" w:color="auto" w:sz="4" w:space="0"/>
              <w:left w:val="single" w:color="auto" w:sz="4" w:space="0"/>
              <w:bottom w:val="single" w:color="auto" w:sz="4" w:space="0"/>
              <w:right w:val="single" w:color="auto" w:sz="4" w:space="0"/>
            </w:tcBorders>
            <w:shd w:val="clear" w:color="auto" w:fill="F8FAFC"/>
            <w:vAlign w:val="center"/>
          </w:tcPr>
          <w:p w14:paraId="235FB8D2">
            <w:pPr>
              <w:spacing w:before="80" w:after="80" w:line="276" w:lineRule="auto"/>
              <w:rPr>
                <w:rFonts w:hint="eastAsia" w:ascii="宋体" w:hAnsi="宋体" w:eastAsia="宋体"/>
                <w:b w:val="0"/>
                <w:i w:val="0"/>
                <w:color w:val="auto"/>
                <w:sz w:val="21"/>
                <w:szCs w:val="21"/>
              </w:rPr>
            </w:pPr>
            <w:r>
              <w:rPr>
                <w:rFonts w:hint="eastAsia" w:ascii="宋体" w:hAnsi="宋体" w:eastAsia="宋体"/>
                <w:b w:val="0"/>
                <w:i w:val="0"/>
                <w:color w:val="auto"/>
                <w:sz w:val="21"/>
                <w:szCs w:val="21"/>
              </w:rPr>
              <w:t>Pinia + Vue Router</w:t>
            </w:r>
          </w:p>
        </w:tc>
        <w:tc>
          <w:tcPr>
            <w:tcW w:w="1134" w:type="dxa"/>
            <w:tcBorders>
              <w:top w:val="single" w:color="auto" w:sz="4" w:space="0"/>
              <w:left w:val="single" w:color="auto" w:sz="4" w:space="0"/>
              <w:bottom w:val="single" w:color="auto" w:sz="4" w:space="0"/>
              <w:right w:val="single" w:color="auto" w:sz="4" w:space="0"/>
            </w:tcBorders>
            <w:shd w:val="clear" w:color="auto" w:fill="F8FAFC"/>
            <w:vAlign w:val="center"/>
          </w:tcPr>
          <w:p w14:paraId="595261DB">
            <w:pPr>
              <w:spacing w:before="80" w:after="80" w:line="276" w:lineRule="auto"/>
              <w:rPr>
                <w:rFonts w:hint="eastAsia" w:ascii="宋体" w:hAnsi="宋体" w:eastAsia="宋体"/>
                <w:b w:val="0"/>
                <w:i w:val="0"/>
                <w:color w:val="auto"/>
                <w:sz w:val="21"/>
                <w:szCs w:val="21"/>
              </w:rPr>
            </w:pPr>
            <w:r>
              <w:rPr>
                <w:rFonts w:hint="eastAsia" w:ascii="宋体" w:hAnsi="宋体" w:eastAsia="宋体"/>
                <w:b w:val="0"/>
                <w:i w:val="0"/>
                <w:color w:val="auto"/>
                <w:sz w:val="21"/>
                <w:szCs w:val="21"/>
              </w:rPr>
              <w:t>≥ 2.1.0</w:t>
            </w:r>
          </w:p>
        </w:tc>
        <w:tc>
          <w:tcPr>
            <w:tcW w:w="4169" w:type="dxa"/>
            <w:tcBorders>
              <w:top w:val="single" w:color="auto" w:sz="4" w:space="0"/>
              <w:left w:val="single" w:color="auto" w:sz="4" w:space="0"/>
              <w:bottom w:val="single" w:color="auto" w:sz="4" w:space="0"/>
              <w:right w:val="single" w:color="auto" w:sz="4" w:space="0"/>
            </w:tcBorders>
            <w:shd w:val="clear" w:color="auto" w:fill="F8FAFC"/>
            <w:vAlign w:val="center"/>
          </w:tcPr>
          <w:p w14:paraId="76779F21">
            <w:pPr>
              <w:spacing w:before="80" w:after="80" w:line="276" w:lineRule="auto"/>
              <w:rPr>
                <w:rFonts w:hint="eastAsia" w:ascii="宋体" w:hAnsi="宋体" w:eastAsia="宋体"/>
                <w:b w:val="0"/>
                <w:i w:val="0"/>
                <w:color w:val="auto"/>
                <w:sz w:val="21"/>
                <w:szCs w:val="21"/>
              </w:rPr>
            </w:pPr>
            <w:r>
              <w:rPr>
                <w:rFonts w:hint="eastAsia" w:ascii="宋体" w:hAnsi="宋体" w:eastAsia="宋体"/>
                <w:b w:val="0"/>
                <w:i w:val="0"/>
                <w:color w:val="auto"/>
                <w:sz w:val="21"/>
                <w:szCs w:val="21"/>
              </w:rPr>
              <w:t>比 Vuex 更轻量优雅，提供极佳的跨组件响应式状态共享与路由守卫控制</w:t>
            </w:r>
          </w:p>
        </w:tc>
      </w:tr>
      <w:tr w14:paraId="19D62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3" w:hRule="atLeast"/>
          <w:jc w:val="center"/>
        </w:trPr>
        <w:tc>
          <w:tcPr>
            <w:tcW w:w="1474" w:type="dxa"/>
            <w:tcBorders>
              <w:top w:val="single" w:color="auto" w:sz="4" w:space="0"/>
              <w:left w:val="single" w:color="auto" w:sz="4" w:space="0"/>
              <w:bottom w:val="single" w:color="auto" w:sz="4" w:space="0"/>
              <w:right w:val="single" w:color="auto" w:sz="4" w:space="0"/>
            </w:tcBorders>
            <w:shd w:val="clear" w:color="auto" w:fill="FFFFFF"/>
            <w:vAlign w:val="center"/>
          </w:tcPr>
          <w:p w14:paraId="26742F05">
            <w:pPr>
              <w:spacing w:before="80" w:after="80" w:line="276" w:lineRule="auto"/>
              <w:rPr>
                <w:rFonts w:hint="eastAsia" w:ascii="宋体" w:hAnsi="宋体" w:eastAsia="宋体"/>
                <w:b w:val="0"/>
                <w:i w:val="0"/>
                <w:color w:val="auto"/>
                <w:sz w:val="21"/>
                <w:szCs w:val="21"/>
              </w:rPr>
            </w:pPr>
            <w:r>
              <w:rPr>
                <w:rFonts w:hint="eastAsia" w:ascii="宋体" w:hAnsi="宋体" w:eastAsia="宋体"/>
                <w:b w:val="0"/>
                <w:i w:val="0"/>
                <w:color w:val="auto"/>
                <w:sz w:val="21"/>
                <w:szCs w:val="21"/>
              </w:rPr>
              <w:t>前端样式引擎</w:t>
            </w:r>
          </w:p>
        </w:tc>
        <w:tc>
          <w:tcPr>
            <w:tcW w:w="2154" w:type="dxa"/>
            <w:tcBorders>
              <w:top w:val="single" w:color="auto" w:sz="4" w:space="0"/>
              <w:left w:val="single" w:color="auto" w:sz="4" w:space="0"/>
              <w:bottom w:val="single" w:color="auto" w:sz="4" w:space="0"/>
              <w:right w:val="single" w:color="auto" w:sz="4" w:space="0"/>
            </w:tcBorders>
            <w:shd w:val="clear" w:color="auto" w:fill="FFFFFF"/>
            <w:vAlign w:val="center"/>
          </w:tcPr>
          <w:p w14:paraId="1AC67502">
            <w:pPr>
              <w:spacing w:before="80" w:after="80" w:line="276" w:lineRule="auto"/>
              <w:rPr>
                <w:rFonts w:hint="eastAsia" w:ascii="宋体" w:hAnsi="宋体" w:eastAsia="宋体"/>
                <w:b w:val="0"/>
                <w:i w:val="0"/>
                <w:color w:val="auto"/>
                <w:sz w:val="21"/>
                <w:szCs w:val="21"/>
              </w:rPr>
            </w:pPr>
            <w:r>
              <w:rPr>
                <w:rFonts w:hint="eastAsia" w:ascii="宋体" w:hAnsi="宋体" w:eastAsia="宋体"/>
                <w:b w:val="0"/>
                <w:i w:val="0"/>
                <w:color w:val="auto"/>
                <w:sz w:val="21"/>
                <w:szCs w:val="21"/>
              </w:rPr>
              <w:t>Tailwind CSS</w:t>
            </w:r>
          </w:p>
        </w:tc>
        <w:tc>
          <w:tcPr>
            <w:tcW w:w="1134" w:type="dxa"/>
            <w:tcBorders>
              <w:top w:val="single" w:color="auto" w:sz="4" w:space="0"/>
              <w:left w:val="single" w:color="auto" w:sz="4" w:space="0"/>
              <w:bottom w:val="single" w:color="auto" w:sz="4" w:space="0"/>
              <w:right w:val="single" w:color="auto" w:sz="4" w:space="0"/>
            </w:tcBorders>
            <w:shd w:val="clear" w:color="auto" w:fill="FFFFFF"/>
            <w:vAlign w:val="center"/>
          </w:tcPr>
          <w:p w14:paraId="34FCED81">
            <w:pPr>
              <w:spacing w:before="80" w:after="80" w:line="276" w:lineRule="auto"/>
              <w:rPr>
                <w:rFonts w:hint="eastAsia" w:ascii="宋体" w:hAnsi="宋体" w:eastAsia="宋体"/>
                <w:b w:val="0"/>
                <w:i w:val="0"/>
                <w:color w:val="auto"/>
                <w:sz w:val="21"/>
                <w:szCs w:val="21"/>
              </w:rPr>
            </w:pPr>
            <w:r>
              <w:rPr>
                <w:rFonts w:hint="eastAsia" w:ascii="宋体" w:hAnsi="宋体" w:eastAsia="宋体"/>
                <w:b w:val="0"/>
                <w:i w:val="0"/>
                <w:color w:val="auto"/>
                <w:sz w:val="21"/>
                <w:szCs w:val="21"/>
              </w:rPr>
              <w:t>≥ 3.4.0</w:t>
            </w:r>
          </w:p>
        </w:tc>
        <w:tc>
          <w:tcPr>
            <w:tcW w:w="4169" w:type="dxa"/>
            <w:tcBorders>
              <w:top w:val="single" w:color="auto" w:sz="4" w:space="0"/>
              <w:left w:val="single" w:color="auto" w:sz="4" w:space="0"/>
              <w:bottom w:val="single" w:color="auto" w:sz="4" w:space="0"/>
              <w:right w:val="single" w:color="auto" w:sz="4" w:space="0"/>
            </w:tcBorders>
            <w:shd w:val="clear" w:color="auto" w:fill="FFFFFF"/>
            <w:vAlign w:val="center"/>
          </w:tcPr>
          <w:p w14:paraId="752D85FC">
            <w:pPr>
              <w:spacing w:before="80" w:after="80" w:line="276" w:lineRule="auto"/>
              <w:rPr>
                <w:rFonts w:hint="eastAsia" w:ascii="宋体" w:hAnsi="宋体" w:eastAsia="宋体"/>
                <w:b w:val="0"/>
                <w:i w:val="0"/>
                <w:color w:val="auto"/>
                <w:sz w:val="21"/>
                <w:szCs w:val="21"/>
              </w:rPr>
            </w:pPr>
            <w:r>
              <w:rPr>
                <w:rFonts w:hint="eastAsia" w:ascii="宋体" w:hAnsi="宋体" w:eastAsia="宋体"/>
                <w:b w:val="0"/>
                <w:i w:val="0"/>
                <w:color w:val="auto"/>
                <w:sz w:val="21"/>
                <w:szCs w:val="21"/>
              </w:rPr>
              <w:t>原子化 CSS 方案，零运行时开销，便于快速构建高雅统一的学术交互界面</w:t>
            </w:r>
          </w:p>
        </w:tc>
      </w:tr>
      <w:tr w14:paraId="1C667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74" w:type="dxa"/>
            <w:tcBorders>
              <w:top w:val="single" w:color="auto" w:sz="4" w:space="0"/>
              <w:left w:val="single" w:color="auto" w:sz="4" w:space="0"/>
              <w:bottom w:val="single" w:color="auto" w:sz="4" w:space="0"/>
              <w:right w:val="single" w:color="auto" w:sz="4" w:space="0"/>
            </w:tcBorders>
            <w:shd w:val="clear" w:color="auto" w:fill="F8FAFC"/>
            <w:vAlign w:val="center"/>
          </w:tcPr>
          <w:p w14:paraId="60E70E8D">
            <w:pPr>
              <w:spacing w:before="80" w:after="80" w:line="276" w:lineRule="auto"/>
              <w:rPr>
                <w:rFonts w:hint="eastAsia" w:ascii="宋体" w:hAnsi="宋体" w:eastAsia="宋体"/>
                <w:b w:val="0"/>
                <w:i w:val="0"/>
                <w:color w:val="auto"/>
                <w:sz w:val="21"/>
                <w:szCs w:val="21"/>
              </w:rPr>
            </w:pPr>
            <w:r>
              <w:rPr>
                <w:rFonts w:hint="eastAsia" w:ascii="宋体" w:hAnsi="宋体" w:eastAsia="宋体"/>
                <w:b w:val="0"/>
                <w:i w:val="0"/>
                <w:color w:val="auto"/>
                <w:sz w:val="21"/>
                <w:szCs w:val="21"/>
              </w:rPr>
              <w:t>后端异步核心</w:t>
            </w:r>
          </w:p>
        </w:tc>
        <w:tc>
          <w:tcPr>
            <w:tcW w:w="2154" w:type="dxa"/>
            <w:tcBorders>
              <w:top w:val="single" w:color="auto" w:sz="4" w:space="0"/>
              <w:left w:val="single" w:color="auto" w:sz="4" w:space="0"/>
              <w:bottom w:val="single" w:color="auto" w:sz="4" w:space="0"/>
              <w:right w:val="single" w:color="auto" w:sz="4" w:space="0"/>
            </w:tcBorders>
            <w:shd w:val="clear" w:color="auto" w:fill="F8FAFC"/>
            <w:vAlign w:val="center"/>
          </w:tcPr>
          <w:p w14:paraId="64DBC12C">
            <w:pPr>
              <w:spacing w:before="80" w:after="80" w:line="276" w:lineRule="auto"/>
              <w:rPr>
                <w:rFonts w:hint="eastAsia" w:ascii="宋体" w:hAnsi="宋体" w:eastAsia="宋体"/>
                <w:b w:val="0"/>
                <w:i w:val="0"/>
                <w:color w:val="auto"/>
                <w:sz w:val="21"/>
                <w:szCs w:val="21"/>
              </w:rPr>
            </w:pPr>
            <w:r>
              <w:rPr>
                <w:rFonts w:hint="eastAsia" w:ascii="宋体" w:hAnsi="宋体" w:eastAsia="宋体"/>
                <w:b w:val="0"/>
                <w:i w:val="0"/>
                <w:color w:val="auto"/>
                <w:sz w:val="21"/>
                <w:szCs w:val="21"/>
              </w:rPr>
              <w:t>FastAPI + Uvicorn</w:t>
            </w:r>
          </w:p>
        </w:tc>
        <w:tc>
          <w:tcPr>
            <w:tcW w:w="1134" w:type="dxa"/>
            <w:tcBorders>
              <w:top w:val="single" w:color="auto" w:sz="4" w:space="0"/>
              <w:left w:val="single" w:color="auto" w:sz="4" w:space="0"/>
              <w:bottom w:val="single" w:color="auto" w:sz="4" w:space="0"/>
              <w:right w:val="single" w:color="auto" w:sz="4" w:space="0"/>
            </w:tcBorders>
            <w:shd w:val="clear" w:color="auto" w:fill="F8FAFC"/>
            <w:vAlign w:val="center"/>
          </w:tcPr>
          <w:p w14:paraId="72ACBC57">
            <w:pPr>
              <w:spacing w:before="80" w:after="80" w:line="276" w:lineRule="auto"/>
              <w:rPr>
                <w:rFonts w:hint="eastAsia" w:ascii="宋体" w:hAnsi="宋体" w:eastAsia="宋体"/>
                <w:b w:val="0"/>
                <w:i w:val="0"/>
                <w:color w:val="auto"/>
                <w:sz w:val="21"/>
                <w:szCs w:val="21"/>
              </w:rPr>
            </w:pPr>
            <w:r>
              <w:rPr>
                <w:rFonts w:hint="eastAsia" w:ascii="宋体" w:hAnsi="宋体" w:eastAsia="宋体"/>
                <w:b w:val="0"/>
                <w:i w:val="0"/>
                <w:color w:val="auto"/>
                <w:sz w:val="21"/>
                <w:szCs w:val="21"/>
              </w:rPr>
              <w:t>≥ 0.110</w:t>
            </w:r>
          </w:p>
        </w:tc>
        <w:tc>
          <w:tcPr>
            <w:tcW w:w="4169" w:type="dxa"/>
            <w:tcBorders>
              <w:top w:val="single" w:color="auto" w:sz="4" w:space="0"/>
              <w:left w:val="single" w:color="auto" w:sz="4" w:space="0"/>
              <w:bottom w:val="single" w:color="auto" w:sz="4" w:space="0"/>
              <w:right w:val="single" w:color="auto" w:sz="4" w:space="0"/>
            </w:tcBorders>
            <w:shd w:val="clear" w:color="auto" w:fill="F8FAFC"/>
            <w:vAlign w:val="center"/>
          </w:tcPr>
          <w:p w14:paraId="3B726B56">
            <w:pPr>
              <w:spacing w:before="80" w:after="80" w:line="276" w:lineRule="auto"/>
              <w:rPr>
                <w:rFonts w:hint="eastAsia" w:ascii="宋体" w:hAnsi="宋体" w:eastAsia="宋体"/>
                <w:b w:val="0"/>
                <w:i w:val="0"/>
                <w:color w:val="auto"/>
                <w:sz w:val="21"/>
                <w:szCs w:val="21"/>
              </w:rPr>
            </w:pPr>
            <w:r>
              <w:rPr>
                <w:rFonts w:hint="eastAsia" w:ascii="宋体" w:hAnsi="宋体" w:eastAsia="宋体"/>
                <w:b w:val="0"/>
                <w:i w:val="0"/>
                <w:color w:val="auto"/>
                <w:sz w:val="21"/>
                <w:szCs w:val="21"/>
              </w:rPr>
              <w:t>原生支持异步协程编程，性能比传统 Django/Flask 高数倍，原生支持 SSE 长连接</w:t>
            </w:r>
          </w:p>
        </w:tc>
      </w:tr>
      <w:tr w14:paraId="44AFD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3475378C">
            <w:pPr>
              <w:spacing w:before="100" w:after="100"/>
              <w:jc w:val="center"/>
              <w:rPr>
                <w:rFonts w:hint="eastAsia" w:ascii="宋体" w:hAnsi="宋体" w:eastAsia="宋体"/>
                <w:b w:val="0"/>
                <w:i w:val="0"/>
                <w:color w:val="auto"/>
                <w:sz w:val="21"/>
                <w:szCs w:val="21"/>
              </w:rPr>
            </w:pPr>
            <w:r>
              <w:rPr>
                <w:rFonts w:hint="eastAsia" w:ascii="黑体" w:hAnsi="黑体" w:eastAsia="黑体"/>
                <w:b/>
                <w:i w:val="0"/>
                <w:color w:val="auto"/>
                <w:sz w:val="21"/>
                <w:szCs w:val="21"/>
              </w:rPr>
              <w:t>模块层次</w:t>
            </w:r>
          </w:p>
        </w:tc>
        <w:tc>
          <w:tcPr>
            <w:tcW w:w="2154" w:type="dxa"/>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2C150F88">
            <w:pPr>
              <w:spacing w:before="100" w:after="100"/>
              <w:jc w:val="center"/>
              <w:rPr>
                <w:rFonts w:hint="eastAsia" w:ascii="宋体" w:hAnsi="宋体" w:eastAsia="宋体"/>
                <w:b w:val="0"/>
                <w:i w:val="0"/>
                <w:color w:val="auto"/>
                <w:sz w:val="21"/>
                <w:szCs w:val="21"/>
              </w:rPr>
            </w:pPr>
            <w:r>
              <w:rPr>
                <w:rFonts w:hint="eastAsia" w:ascii="黑体" w:hAnsi="黑体" w:eastAsia="黑体"/>
                <w:b/>
                <w:i w:val="0"/>
                <w:color w:val="auto"/>
                <w:sz w:val="21"/>
                <w:szCs w:val="21"/>
              </w:rPr>
              <w:t>选型技术 / 组件</w:t>
            </w:r>
          </w:p>
        </w:tc>
        <w:tc>
          <w:tcPr>
            <w:tcW w:w="1134" w:type="dxa"/>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5CAE86BB">
            <w:pPr>
              <w:spacing w:before="100" w:after="100"/>
              <w:jc w:val="center"/>
              <w:rPr>
                <w:rFonts w:hint="eastAsia" w:ascii="宋体" w:hAnsi="宋体" w:eastAsia="宋体"/>
                <w:b w:val="0"/>
                <w:i w:val="0"/>
                <w:color w:val="auto"/>
                <w:sz w:val="21"/>
                <w:szCs w:val="21"/>
              </w:rPr>
            </w:pPr>
            <w:r>
              <w:rPr>
                <w:rFonts w:hint="eastAsia" w:ascii="黑体" w:hAnsi="黑体" w:eastAsia="黑体"/>
                <w:b/>
                <w:i w:val="0"/>
                <w:color w:val="auto"/>
                <w:sz w:val="21"/>
                <w:szCs w:val="21"/>
              </w:rPr>
              <w:t>版本要求</w:t>
            </w:r>
          </w:p>
        </w:tc>
        <w:tc>
          <w:tcPr>
            <w:tcW w:w="4169" w:type="dxa"/>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50F64296">
            <w:pPr>
              <w:spacing w:before="100" w:after="100"/>
              <w:jc w:val="center"/>
              <w:rPr>
                <w:rFonts w:hint="eastAsia" w:ascii="宋体" w:hAnsi="宋体" w:eastAsia="宋体"/>
                <w:b w:val="0"/>
                <w:i w:val="0"/>
                <w:color w:val="auto"/>
                <w:sz w:val="21"/>
                <w:szCs w:val="21"/>
              </w:rPr>
            </w:pPr>
            <w:r>
              <w:rPr>
                <w:rFonts w:hint="eastAsia" w:ascii="黑体" w:hAnsi="黑体" w:eastAsia="黑体"/>
                <w:b/>
                <w:i w:val="0"/>
                <w:color w:val="auto"/>
                <w:sz w:val="21"/>
                <w:szCs w:val="21"/>
              </w:rPr>
              <w:t>核心考量与工程权衡优势</w:t>
            </w:r>
          </w:p>
        </w:tc>
      </w:tr>
      <w:tr w14:paraId="56273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Borders>
              <w:top w:val="single" w:color="auto" w:sz="4" w:space="0"/>
              <w:left w:val="single" w:color="auto" w:sz="4" w:space="0"/>
              <w:bottom w:val="single" w:color="auto" w:sz="4" w:space="0"/>
              <w:right w:val="single" w:color="auto" w:sz="4" w:space="0"/>
            </w:tcBorders>
            <w:shd w:val="clear" w:color="auto" w:fill="FFFFFF"/>
            <w:vAlign w:val="center"/>
          </w:tcPr>
          <w:p w14:paraId="27B0D388">
            <w:pPr>
              <w:spacing w:before="80" w:after="80" w:line="276" w:lineRule="auto"/>
              <w:rPr>
                <w:rFonts w:hint="eastAsia" w:ascii="宋体" w:hAnsi="宋体" w:eastAsia="宋体"/>
                <w:b w:val="0"/>
                <w:i w:val="0"/>
                <w:color w:val="auto"/>
                <w:sz w:val="21"/>
                <w:szCs w:val="21"/>
              </w:rPr>
            </w:pPr>
            <w:r>
              <w:rPr>
                <w:rFonts w:hint="eastAsia" w:ascii="宋体" w:hAnsi="宋体" w:eastAsia="宋体"/>
                <w:b w:val="0"/>
                <w:i w:val="0"/>
                <w:color w:val="auto"/>
                <w:sz w:val="21"/>
                <w:szCs w:val="21"/>
              </w:rPr>
              <w:t>数据建模校验</w:t>
            </w:r>
          </w:p>
        </w:tc>
        <w:tc>
          <w:tcPr>
            <w:tcW w:w="2154" w:type="dxa"/>
            <w:tcBorders>
              <w:top w:val="single" w:color="auto" w:sz="4" w:space="0"/>
              <w:left w:val="single" w:color="auto" w:sz="4" w:space="0"/>
              <w:bottom w:val="single" w:color="auto" w:sz="4" w:space="0"/>
              <w:right w:val="single" w:color="auto" w:sz="4" w:space="0"/>
            </w:tcBorders>
            <w:shd w:val="clear" w:color="auto" w:fill="FFFFFF"/>
            <w:vAlign w:val="center"/>
          </w:tcPr>
          <w:p w14:paraId="7803B8A0">
            <w:pPr>
              <w:spacing w:before="80" w:after="80" w:line="276" w:lineRule="auto"/>
              <w:rPr>
                <w:rFonts w:hint="eastAsia" w:ascii="宋体" w:hAnsi="宋体" w:eastAsia="宋体"/>
                <w:b w:val="0"/>
                <w:i w:val="0"/>
                <w:color w:val="auto"/>
                <w:sz w:val="21"/>
                <w:szCs w:val="21"/>
              </w:rPr>
            </w:pPr>
            <w:r>
              <w:rPr>
                <w:rFonts w:hint="eastAsia" w:ascii="宋体" w:hAnsi="宋体" w:eastAsia="宋体"/>
                <w:b w:val="0"/>
                <w:i w:val="0"/>
                <w:color w:val="auto"/>
                <w:sz w:val="21"/>
                <w:szCs w:val="21"/>
              </w:rPr>
              <w:t>Pydantic v2</w:t>
            </w:r>
          </w:p>
        </w:tc>
        <w:tc>
          <w:tcPr>
            <w:tcW w:w="1134" w:type="dxa"/>
            <w:tcBorders>
              <w:top w:val="single" w:color="auto" w:sz="4" w:space="0"/>
              <w:left w:val="single" w:color="auto" w:sz="4" w:space="0"/>
              <w:bottom w:val="single" w:color="auto" w:sz="4" w:space="0"/>
              <w:right w:val="single" w:color="auto" w:sz="4" w:space="0"/>
            </w:tcBorders>
            <w:shd w:val="clear" w:color="auto" w:fill="FFFFFF"/>
            <w:vAlign w:val="center"/>
          </w:tcPr>
          <w:p w14:paraId="35B2F714">
            <w:pPr>
              <w:spacing w:before="80" w:after="80" w:line="276" w:lineRule="auto"/>
              <w:rPr>
                <w:rFonts w:hint="eastAsia" w:ascii="宋体" w:hAnsi="宋体" w:eastAsia="宋体"/>
                <w:b w:val="0"/>
                <w:i w:val="0"/>
                <w:color w:val="auto"/>
                <w:sz w:val="21"/>
                <w:szCs w:val="21"/>
              </w:rPr>
            </w:pPr>
            <w:r>
              <w:rPr>
                <w:rFonts w:hint="eastAsia" w:ascii="宋体" w:hAnsi="宋体" w:eastAsia="宋体"/>
                <w:b w:val="0"/>
                <w:i w:val="0"/>
                <w:color w:val="auto"/>
                <w:sz w:val="21"/>
                <w:szCs w:val="21"/>
              </w:rPr>
              <w:t>≥ 2.6.0</w:t>
            </w:r>
          </w:p>
        </w:tc>
        <w:tc>
          <w:tcPr>
            <w:tcW w:w="4169" w:type="dxa"/>
            <w:tcBorders>
              <w:top w:val="single" w:color="auto" w:sz="4" w:space="0"/>
              <w:left w:val="single" w:color="auto" w:sz="4" w:space="0"/>
              <w:bottom w:val="single" w:color="auto" w:sz="4" w:space="0"/>
              <w:right w:val="single" w:color="auto" w:sz="4" w:space="0"/>
            </w:tcBorders>
            <w:shd w:val="clear" w:color="auto" w:fill="FFFFFF"/>
            <w:vAlign w:val="center"/>
          </w:tcPr>
          <w:p w14:paraId="7EE387D9">
            <w:pPr>
              <w:spacing w:before="80" w:after="80" w:line="276" w:lineRule="auto"/>
              <w:rPr>
                <w:rFonts w:hint="eastAsia" w:ascii="宋体" w:hAnsi="宋体" w:eastAsia="宋体"/>
                <w:b w:val="0"/>
                <w:i w:val="0"/>
                <w:color w:val="auto"/>
                <w:sz w:val="21"/>
                <w:szCs w:val="21"/>
              </w:rPr>
            </w:pPr>
            <w:r>
              <w:rPr>
                <w:rFonts w:hint="eastAsia" w:ascii="宋体" w:hAnsi="宋体" w:eastAsia="宋体"/>
                <w:b w:val="0"/>
                <w:i w:val="0"/>
                <w:color w:val="auto"/>
                <w:sz w:val="21"/>
                <w:szCs w:val="21"/>
              </w:rPr>
              <w:t>采用 Rust 核心重构，数据验证与 JSON 序列化性能提升 5 至 10 倍</w:t>
            </w:r>
          </w:p>
        </w:tc>
      </w:tr>
      <w:tr w14:paraId="6A921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Borders>
              <w:top w:val="single" w:color="auto" w:sz="4" w:space="0"/>
              <w:left w:val="single" w:color="auto" w:sz="4" w:space="0"/>
              <w:bottom w:val="single" w:color="auto" w:sz="4" w:space="0"/>
              <w:right w:val="single" w:color="auto" w:sz="4" w:space="0"/>
            </w:tcBorders>
            <w:shd w:val="clear" w:color="auto" w:fill="F8FAFC"/>
            <w:vAlign w:val="center"/>
          </w:tcPr>
          <w:p w14:paraId="512A07BD">
            <w:pPr>
              <w:spacing w:before="80" w:after="80" w:line="276" w:lineRule="auto"/>
              <w:rPr>
                <w:rFonts w:hint="eastAsia" w:ascii="宋体" w:hAnsi="宋体" w:eastAsia="宋体"/>
                <w:b w:val="0"/>
                <w:i w:val="0"/>
                <w:color w:val="auto"/>
                <w:sz w:val="21"/>
                <w:szCs w:val="21"/>
              </w:rPr>
            </w:pPr>
            <w:r>
              <w:rPr>
                <w:rFonts w:hint="eastAsia" w:ascii="宋体" w:hAnsi="宋体" w:eastAsia="宋体"/>
                <w:b w:val="0"/>
                <w:i w:val="0"/>
                <w:color w:val="auto"/>
                <w:sz w:val="21"/>
                <w:szCs w:val="21"/>
              </w:rPr>
              <w:t>数据库与迁移</w:t>
            </w:r>
          </w:p>
        </w:tc>
        <w:tc>
          <w:tcPr>
            <w:tcW w:w="2154" w:type="dxa"/>
            <w:tcBorders>
              <w:top w:val="single" w:color="auto" w:sz="4" w:space="0"/>
              <w:left w:val="single" w:color="auto" w:sz="4" w:space="0"/>
              <w:bottom w:val="single" w:color="auto" w:sz="4" w:space="0"/>
              <w:right w:val="single" w:color="auto" w:sz="4" w:space="0"/>
            </w:tcBorders>
            <w:shd w:val="clear" w:color="auto" w:fill="F8FAFC"/>
            <w:vAlign w:val="center"/>
          </w:tcPr>
          <w:p w14:paraId="189FBD18">
            <w:pPr>
              <w:spacing w:before="80" w:after="80" w:line="276" w:lineRule="auto"/>
              <w:rPr>
                <w:rFonts w:hint="eastAsia" w:ascii="宋体" w:hAnsi="宋体" w:eastAsia="宋体"/>
                <w:b w:val="0"/>
                <w:i w:val="0"/>
                <w:color w:val="auto"/>
                <w:sz w:val="21"/>
                <w:szCs w:val="21"/>
              </w:rPr>
            </w:pPr>
            <w:r>
              <w:rPr>
                <w:rFonts w:hint="eastAsia" w:ascii="宋体" w:hAnsi="宋体" w:eastAsia="宋体"/>
                <w:b w:val="0"/>
                <w:i w:val="0"/>
                <w:color w:val="auto"/>
                <w:sz w:val="21"/>
                <w:szCs w:val="21"/>
              </w:rPr>
              <w:t>PostgreSQL 16 + Alembic</w:t>
            </w:r>
          </w:p>
        </w:tc>
        <w:tc>
          <w:tcPr>
            <w:tcW w:w="1134" w:type="dxa"/>
            <w:tcBorders>
              <w:top w:val="single" w:color="auto" w:sz="4" w:space="0"/>
              <w:left w:val="single" w:color="auto" w:sz="4" w:space="0"/>
              <w:bottom w:val="single" w:color="auto" w:sz="4" w:space="0"/>
              <w:right w:val="single" w:color="auto" w:sz="4" w:space="0"/>
            </w:tcBorders>
            <w:shd w:val="clear" w:color="auto" w:fill="F8FAFC"/>
            <w:vAlign w:val="center"/>
          </w:tcPr>
          <w:p w14:paraId="01B9B37F">
            <w:pPr>
              <w:spacing w:before="80" w:after="80" w:line="276" w:lineRule="auto"/>
              <w:rPr>
                <w:rFonts w:hint="eastAsia" w:ascii="宋体" w:hAnsi="宋体" w:eastAsia="宋体"/>
                <w:b w:val="0"/>
                <w:i w:val="0"/>
                <w:color w:val="auto"/>
                <w:sz w:val="21"/>
                <w:szCs w:val="21"/>
              </w:rPr>
            </w:pPr>
            <w:r>
              <w:rPr>
                <w:rFonts w:hint="eastAsia" w:ascii="宋体" w:hAnsi="宋体" w:eastAsia="宋体"/>
                <w:b w:val="0"/>
                <w:i w:val="0"/>
                <w:color w:val="auto"/>
                <w:sz w:val="21"/>
                <w:szCs w:val="21"/>
              </w:rPr>
              <w:t>≥ 16.0</w:t>
            </w:r>
          </w:p>
        </w:tc>
        <w:tc>
          <w:tcPr>
            <w:tcW w:w="4169" w:type="dxa"/>
            <w:tcBorders>
              <w:top w:val="single" w:color="auto" w:sz="4" w:space="0"/>
              <w:left w:val="single" w:color="auto" w:sz="4" w:space="0"/>
              <w:bottom w:val="single" w:color="auto" w:sz="4" w:space="0"/>
              <w:right w:val="single" w:color="auto" w:sz="4" w:space="0"/>
            </w:tcBorders>
            <w:shd w:val="clear" w:color="auto" w:fill="F8FAFC"/>
            <w:vAlign w:val="center"/>
          </w:tcPr>
          <w:p w14:paraId="08100B0B">
            <w:pPr>
              <w:spacing w:before="80" w:after="80" w:line="276" w:lineRule="auto"/>
              <w:rPr>
                <w:rFonts w:hint="eastAsia" w:ascii="宋体" w:hAnsi="宋体" w:eastAsia="宋体"/>
                <w:b w:val="0"/>
                <w:i w:val="0"/>
                <w:color w:val="auto"/>
                <w:sz w:val="21"/>
                <w:szCs w:val="21"/>
              </w:rPr>
            </w:pPr>
            <w:r>
              <w:rPr>
                <w:rFonts w:hint="eastAsia" w:ascii="宋体" w:hAnsi="宋体" w:eastAsia="宋体"/>
                <w:b w:val="0"/>
                <w:i w:val="0"/>
                <w:color w:val="auto"/>
                <w:sz w:val="21"/>
                <w:szCs w:val="21"/>
              </w:rPr>
              <w:t>开源界最先进的关系型数据库，拥有严密的 JSONB 支持与高并发事务行锁机制</w:t>
            </w:r>
          </w:p>
        </w:tc>
      </w:tr>
      <w:tr w14:paraId="59513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Borders>
              <w:top w:val="single" w:color="auto" w:sz="4" w:space="0"/>
              <w:left w:val="single" w:color="auto" w:sz="4" w:space="0"/>
              <w:bottom w:val="single" w:color="auto" w:sz="4" w:space="0"/>
              <w:right w:val="single" w:color="auto" w:sz="4" w:space="0"/>
            </w:tcBorders>
            <w:shd w:val="clear" w:color="auto" w:fill="FFFFFF"/>
            <w:vAlign w:val="center"/>
          </w:tcPr>
          <w:p w14:paraId="0ADA278D">
            <w:pPr>
              <w:spacing w:before="80" w:after="80" w:line="276" w:lineRule="auto"/>
              <w:rPr>
                <w:rFonts w:hint="eastAsia" w:ascii="宋体" w:hAnsi="宋体" w:eastAsia="宋体"/>
                <w:b w:val="0"/>
                <w:i w:val="0"/>
                <w:color w:val="auto"/>
                <w:sz w:val="21"/>
                <w:szCs w:val="21"/>
              </w:rPr>
            </w:pPr>
            <w:r>
              <w:rPr>
                <w:rFonts w:hint="eastAsia" w:ascii="宋体" w:hAnsi="宋体" w:eastAsia="宋体"/>
                <w:b w:val="0"/>
                <w:i w:val="0"/>
                <w:color w:val="auto"/>
                <w:sz w:val="21"/>
                <w:szCs w:val="21"/>
              </w:rPr>
              <w:t>数据持久层 ORM</w:t>
            </w:r>
          </w:p>
        </w:tc>
        <w:tc>
          <w:tcPr>
            <w:tcW w:w="2154" w:type="dxa"/>
            <w:tcBorders>
              <w:top w:val="single" w:color="auto" w:sz="4" w:space="0"/>
              <w:left w:val="single" w:color="auto" w:sz="4" w:space="0"/>
              <w:bottom w:val="single" w:color="auto" w:sz="4" w:space="0"/>
              <w:right w:val="single" w:color="auto" w:sz="4" w:space="0"/>
            </w:tcBorders>
            <w:shd w:val="clear" w:color="auto" w:fill="FFFFFF"/>
            <w:vAlign w:val="center"/>
          </w:tcPr>
          <w:p w14:paraId="4D86F0F0">
            <w:pPr>
              <w:spacing w:before="80" w:after="80" w:line="276" w:lineRule="auto"/>
              <w:rPr>
                <w:rFonts w:hint="eastAsia" w:ascii="宋体" w:hAnsi="宋体" w:eastAsia="宋体"/>
                <w:b w:val="0"/>
                <w:i w:val="0"/>
                <w:color w:val="auto"/>
                <w:sz w:val="21"/>
                <w:szCs w:val="21"/>
              </w:rPr>
            </w:pPr>
            <w:r>
              <w:rPr>
                <w:rFonts w:hint="eastAsia" w:ascii="宋体" w:hAnsi="宋体" w:eastAsia="宋体"/>
                <w:b w:val="0"/>
                <w:i w:val="0"/>
                <w:color w:val="auto"/>
                <w:sz w:val="21"/>
                <w:szCs w:val="21"/>
              </w:rPr>
              <w:t>SQLAlchemy 2 (Async)</w:t>
            </w:r>
          </w:p>
        </w:tc>
        <w:tc>
          <w:tcPr>
            <w:tcW w:w="1134" w:type="dxa"/>
            <w:tcBorders>
              <w:top w:val="single" w:color="auto" w:sz="4" w:space="0"/>
              <w:left w:val="single" w:color="auto" w:sz="4" w:space="0"/>
              <w:bottom w:val="single" w:color="auto" w:sz="4" w:space="0"/>
              <w:right w:val="single" w:color="auto" w:sz="4" w:space="0"/>
            </w:tcBorders>
            <w:shd w:val="clear" w:color="auto" w:fill="FFFFFF"/>
            <w:vAlign w:val="center"/>
          </w:tcPr>
          <w:p w14:paraId="2813A479">
            <w:pPr>
              <w:spacing w:before="80" w:after="80" w:line="276" w:lineRule="auto"/>
              <w:rPr>
                <w:rFonts w:hint="eastAsia" w:ascii="宋体" w:hAnsi="宋体" w:eastAsia="宋体"/>
                <w:b w:val="0"/>
                <w:i w:val="0"/>
                <w:color w:val="auto"/>
                <w:sz w:val="21"/>
                <w:szCs w:val="21"/>
              </w:rPr>
            </w:pPr>
            <w:r>
              <w:rPr>
                <w:rFonts w:hint="eastAsia" w:ascii="宋体" w:hAnsi="宋体" w:eastAsia="宋体"/>
                <w:b w:val="0"/>
                <w:i w:val="0"/>
                <w:color w:val="auto"/>
                <w:sz w:val="21"/>
                <w:szCs w:val="21"/>
              </w:rPr>
              <w:t>≥ 2.0.30</w:t>
            </w:r>
          </w:p>
        </w:tc>
        <w:tc>
          <w:tcPr>
            <w:tcW w:w="4169" w:type="dxa"/>
            <w:tcBorders>
              <w:top w:val="single" w:color="auto" w:sz="4" w:space="0"/>
              <w:left w:val="single" w:color="auto" w:sz="4" w:space="0"/>
              <w:bottom w:val="single" w:color="auto" w:sz="4" w:space="0"/>
              <w:right w:val="single" w:color="auto" w:sz="4" w:space="0"/>
            </w:tcBorders>
            <w:shd w:val="clear" w:color="auto" w:fill="FFFFFF"/>
            <w:vAlign w:val="center"/>
          </w:tcPr>
          <w:p w14:paraId="6DF01A34">
            <w:pPr>
              <w:spacing w:before="80" w:after="80" w:line="276" w:lineRule="auto"/>
              <w:rPr>
                <w:rFonts w:hint="eastAsia" w:ascii="宋体" w:hAnsi="宋体" w:eastAsia="宋体"/>
                <w:b w:val="0"/>
                <w:i w:val="0"/>
                <w:color w:val="auto"/>
                <w:sz w:val="21"/>
                <w:szCs w:val="21"/>
              </w:rPr>
            </w:pPr>
            <w:r>
              <w:rPr>
                <w:rFonts w:hint="eastAsia" w:ascii="宋体" w:hAnsi="宋体" w:eastAsia="宋体"/>
                <w:b w:val="0"/>
                <w:i w:val="0"/>
                <w:color w:val="auto"/>
                <w:sz w:val="21"/>
                <w:szCs w:val="21"/>
              </w:rPr>
              <w:t>全新 2.0 语法全量支持异步 async/await，提供优雅的安全参数化查询防 SQL 注入</w:t>
            </w:r>
          </w:p>
        </w:tc>
      </w:tr>
      <w:tr w14:paraId="36CFB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Borders>
              <w:top w:val="single" w:color="auto" w:sz="4" w:space="0"/>
              <w:left w:val="single" w:color="auto" w:sz="4" w:space="0"/>
              <w:bottom w:val="single" w:color="auto" w:sz="4" w:space="0"/>
              <w:right w:val="single" w:color="auto" w:sz="4" w:space="0"/>
            </w:tcBorders>
            <w:shd w:val="clear" w:color="auto" w:fill="F8FAFC"/>
            <w:vAlign w:val="center"/>
          </w:tcPr>
          <w:p w14:paraId="29747312">
            <w:pPr>
              <w:spacing w:before="80" w:after="80" w:line="276" w:lineRule="auto"/>
              <w:rPr>
                <w:rFonts w:hint="eastAsia" w:ascii="宋体" w:hAnsi="宋体" w:eastAsia="宋体"/>
                <w:b w:val="0"/>
                <w:i w:val="0"/>
                <w:color w:val="auto"/>
                <w:sz w:val="21"/>
                <w:szCs w:val="21"/>
              </w:rPr>
            </w:pPr>
            <w:r>
              <w:rPr>
                <w:rFonts w:hint="eastAsia" w:ascii="宋体" w:hAnsi="宋体" w:eastAsia="宋体"/>
                <w:b w:val="0"/>
                <w:i w:val="0"/>
                <w:color w:val="auto"/>
                <w:sz w:val="21"/>
                <w:szCs w:val="21"/>
              </w:rPr>
              <w:t>大语言模型</w:t>
            </w:r>
          </w:p>
        </w:tc>
        <w:tc>
          <w:tcPr>
            <w:tcW w:w="2154" w:type="dxa"/>
            <w:tcBorders>
              <w:top w:val="single" w:color="auto" w:sz="4" w:space="0"/>
              <w:left w:val="single" w:color="auto" w:sz="4" w:space="0"/>
              <w:bottom w:val="single" w:color="auto" w:sz="4" w:space="0"/>
              <w:right w:val="single" w:color="auto" w:sz="4" w:space="0"/>
            </w:tcBorders>
            <w:shd w:val="clear" w:color="auto" w:fill="F8FAFC"/>
            <w:vAlign w:val="center"/>
          </w:tcPr>
          <w:p w14:paraId="176E2C89">
            <w:pPr>
              <w:spacing w:before="80" w:after="80" w:line="276" w:lineRule="auto"/>
              <w:rPr>
                <w:rFonts w:hint="eastAsia" w:ascii="宋体" w:hAnsi="宋体" w:eastAsia="宋体"/>
                <w:b w:val="0"/>
                <w:i w:val="0"/>
                <w:color w:val="auto"/>
                <w:sz w:val="21"/>
                <w:szCs w:val="21"/>
              </w:rPr>
            </w:pPr>
            <w:r>
              <w:rPr>
                <w:rFonts w:hint="eastAsia" w:ascii="宋体" w:hAnsi="宋体" w:eastAsia="宋体"/>
                <w:b w:val="0"/>
                <w:i w:val="0"/>
                <w:color w:val="auto"/>
                <w:sz w:val="21"/>
                <w:szCs w:val="21"/>
              </w:rPr>
              <w:t>DeepSeek (Flash / Pro)</w:t>
            </w:r>
          </w:p>
        </w:tc>
        <w:tc>
          <w:tcPr>
            <w:tcW w:w="1134" w:type="dxa"/>
            <w:tcBorders>
              <w:top w:val="single" w:color="auto" w:sz="4" w:space="0"/>
              <w:left w:val="single" w:color="auto" w:sz="4" w:space="0"/>
              <w:bottom w:val="single" w:color="auto" w:sz="4" w:space="0"/>
              <w:right w:val="single" w:color="auto" w:sz="4" w:space="0"/>
            </w:tcBorders>
            <w:shd w:val="clear" w:color="auto" w:fill="F8FAFC"/>
            <w:vAlign w:val="center"/>
          </w:tcPr>
          <w:p w14:paraId="21878986">
            <w:pPr>
              <w:spacing w:before="80" w:after="80" w:line="276" w:lineRule="auto"/>
              <w:rPr>
                <w:rFonts w:hint="eastAsia" w:ascii="宋体" w:hAnsi="宋体" w:eastAsia="宋体"/>
                <w:b w:val="0"/>
                <w:i w:val="0"/>
                <w:color w:val="auto"/>
                <w:sz w:val="21"/>
                <w:szCs w:val="21"/>
              </w:rPr>
            </w:pPr>
            <w:r>
              <w:rPr>
                <w:rFonts w:hint="eastAsia" w:ascii="宋体" w:hAnsi="宋体" w:eastAsia="宋体"/>
                <w:b w:val="0"/>
                <w:i w:val="0"/>
                <w:color w:val="auto"/>
                <w:sz w:val="21"/>
                <w:szCs w:val="21"/>
              </w:rPr>
              <w:t>OpenAI 兼容</w:t>
            </w:r>
          </w:p>
        </w:tc>
        <w:tc>
          <w:tcPr>
            <w:tcW w:w="4169" w:type="dxa"/>
            <w:tcBorders>
              <w:top w:val="single" w:color="auto" w:sz="4" w:space="0"/>
              <w:left w:val="single" w:color="auto" w:sz="4" w:space="0"/>
              <w:bottom w:val="single" w:color="auto" w:sz="4" w:space="0"/>
              <w:right w:val="single" w:color="auto" w:sz="4" w:space="0"/>
            </w:tcBorders>
            <w:shd w:val="clear" w:color="auto" w:fill="F8FAFC"/>
            <w:vAlign w:val="center"/>
          </w:tcPr>
          <w:p w14:paraId="02A9BE4B">
            <w:pPr>
              <w:spacing w:before="80" w:after="80" w:line="276" w:lineRule="auto"/>
              <w:rPr>
                <w:rFonts w:hint="eastAsia" w:ascii="宋体" w:hAnsi="宋体" w:eastAsia="宋体"/>
                <w:b w:val="0"/>
                <w:i w:val="0"/>
                <w:color w:val="auto"/>
                <w:sz w:val="21"/>
                <w:szCs w:val="21"/>
              </w:rPr>
            </w:pPr>
            <w:r>
              <w:rPr>
                <w:rFonts w:hint="eastAsia" w:ascii="宋体" w:hAnsi="宋体" w:eastAsia="宋体"/>
                <w:b w:val="0"/>
                <w:i w:val="0"/>
                <w:color w:val="auto"/>
                <w:sz w:val="21"/>
                <w:szCs w:val="21"/>
              </w:rPr>
              <w:t>中文推理能力顶尖，日常任务使用 flash 兼顾成本，深度精排使用 pro 确保质量</w:t>
            </w:r>
          </w:p>
        </w:tc>
      </w:tr>
      <w:tr w14:paraId="420B2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Borders>
              <w:top w:val="single" w:color="auto" w:sz="4" w:space="0"/>
              <w:left w:val="single" w:color="auto" w:sz="4" w:space="0"/>
              <w:bottom w:val="single" w:color="auto" w:sz="4" w:space="0"/>
              <w:right w:val="single" w:color="auto" w:sz="4" w:space="0"/>
            </w:tcBorders>
            <w:shd w:val="clear" w:color="auto" w:fill="FFFFFF"/>
            <w:vAlign w:val="center"/>
          </w:tcPr>
          <w:p w14:paraId="3F32DA2D">
            <w:pPr>
              <w:spacing w:before="80" w:after="80" w:line="276" w:lineRule="auto"/>
              <w:rPr>
                <w:rFonts w:hint="eastAsia" w:ascii="宋体" w:hAnsi="宋体" w:eastAsia="宋体"/>
                <w:b w:val="0"/>
                <w:i w:val="0"/>
                <w:color w:val="auto"/>
                <w:sz w:val="21"/>
                <w:szCs w:val="21"/>
              </w:rPr>
            </w:pPr>
            <w:r>
              <w:rPr>
                <w:rFonts w:hint="eastAsia" w:ascii="宋体" w:hAnsi="宋体" w:eastAsia="宋体"/>
                <w:b w:val="0"/>
                <w:i w:val="0"/>
                <w:color w:val="auto"/>
                <w:sz w:val="21"/>
                <w:szCs w:val="21"/>
              </w:rPr>
              <w:t>中文向量嵌入</w:t>
            </w:r>
          </w:p>
        </w:tc>
        <w:tc>
          <w:tcPr>
            <w:tcW w:w="2154" w:type="dxa"/>
            <w:tcBorders>
              <w:top w:val="single" w:color="auto" w:sz="4" w:space="0"/>
              <w:left w:val="single" w:color="auto" w:sz="4" w:space="0"/>
              <w:bottom w:val="single" w:color="auto" w:sz="4" w:space="0"/>
              <w:right w:val="single" w:color="auto" w:sz="4" w:space="0"/>
            </w:tcBorders>
            <w:shd w:val="clear" w:color="auto" w:fill="FFFFFF"/>
            <w:vAlign w:val="center"/>
          </w:tcPr>
          <w:p w14:paraId="2A5EB7AB">
            <w:pPr>
              <w:spacing w:before="80" w:after="80" w:line="276" w:lineRule="auto"/>
              <w:rPr>
                <w:rFonts w:hint="eastAsia" w:ascii="宋体" w:hAnsi="宋体" w:eastAsia="宋体"/>
                <w:b w:val="0"/>
                <w:i w:val="0"/>
                <w:color w:val="auto"/>
                <w:sz w:val="21"/>
                <w:szCs w:val="21"/>
              </w:rPr>
            </w:pPr>
            <w:r>
              <w:rPr>
                <w:rFonts w:hint="eastAsia" w:ascii="宋体" w:hAnsi="宋体" w:eastAsia="宋体"/>
                <w:b w:val="0"/>
                <w:i w:val="0"/>
                <w:color w:val="auto"/>
                <w:sz w:val="21"/>
                <w:szCs w:val="21"/>
              </w:rPr>
              <w:t>BAAI/bge-small-zh-v1.5</w:t>
            </w:r>
          </w:p>
        </w:tc>
        <w:tc>
          <w:tcPr>
            <w:tcW w:w="1134" w:type="dxa"/>
            <w:tcBorders>
              <w:top w:val="single" w:color="auto" w:sz="4" w:space="0"/>
              <w:left w:val="single" w:color="auto" w:sz="4" w:space="0"/>
              <w:bottom w:val="single" w:color="auto" w:sz="4" w:space="0"/>
              <w:right w:val="single" w:color="auto" w:sz="4" w:space="0"/>
            </w:tcBorders>
            <w:shd w:val="clear" w:color="auto" w:fill="FFFFFF"/>
            <w:vAlign w:val="center"/>
          </w:tcPr>
          <w:p w14:paraId="1C8A2734">
            <w:pPr>
              <w:spacing w:before="80" w:after="80" w:line="276" w:lineRule="auto"/>
              <w:rPr>
                <w:rFonts w:hint="eastAsia" w:ascii="宋体" w:hAnsi="宋体" w:eastAsia="宋体"/>
                <w:b w:val="0"/>
                <w:i w:val="0"/>
                <w:color w:val="auto"/>
                <w:sz w:val="21"/>
                <w:szCs w:val="21"/>
              </w:rPr>
            </w:pPr>
            <w:r>
              <w:rPr>
                <w:rFonts w:hint="eastAsia" w:ascii="宋体" w:hAnsi="宋体" w:eastAsia="宋体"/>
                <w:b w:val="0"/>
                <w:i w:val="0"/>
                <w:color w:val="auto"/>
                <w:sz w:val="21"/>
                <w:szCs w:val="21"/>
              </w:rPr>
              <w:t>512维稠密向量</w:t>
            </w:r>
          </w:p>
        </w:tc>
        <w:tc>
          <w:tcPr>
            <w:tcW w:w="4169" w:type="dxa"/>
            <w:tcBorders>
              <w:top w:val="single" w:color="auto" w:sz="4" w:space="0"/>
              <w:left w:val="single" w:color="auto" w:sz="4" w:space="0"/>
              <w:bottom w:val="single" w:color="auto" w:sz="4" w:space="0"/>
              <w:right w:val="single" w:color="auto" w:sz="4" w:space="0"/>
            </w:tcBorders>
            <w:shd w:val="clear" w:color="auto" w:fill="FFFFFF"/>
            <w:vAlign w:val="center"/>
          </w:tcPr>
          <w:p w14:paraId="17FBD1C8">
            <w:pPr>
              <w:spacing w:before="80" w:after="80" w:line="276" w:lineRule="auto"/>
              <w:rPr>
                <w:rFonts w:hint="eastAsia" w:ascii="宋体" w:hAnsi="宋体" w:eastAsia="宋体"/>
                <w:b w:val="0"/>
                <w:i w:val="0"/>
                <w:color w:val="auto"/>
                <w:sz w:val="21"/>
                <w:szCs w:val="21"/>
              </w:rPr>
            </w:pPr>
            <w:r>
              <w:rPr>
                <w:rFonts w:hint="eastAsia" w:ascii="宋体" w:hAnsi="宋体" w:eastAsia="宋体"/>
                <w:b w:val="0"/>
                <w:i w:val="0"/>
                <w:color w:val="auto"/>
                <w:sz w:val="21"/>
                <w:szCs w:val="21"/>
              </w:rPr>
              <w:t>北京智源专为中文检索优化的轻量嵌入模型，语义表征精准，单 CPU 即可高频推理</w:t>
            </w:r>
          </w:p>
        </w:tc>
      </w:tr>
      <w:tr w14:paraId="06AB9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Borders>
              <w:top w:val="single" w:color="auto" w:sz="4" w:space="0"/>
              <w:left w:val="single" w:color="auto" w:sz="4" w:space="0"/>
              <w:bottom w:val="single" w:color="auto" w:sz="4" w:space="0"/>
              <w:right w:val="single" w:color="auto" w:sz="4" w:space="0"/>
            </w:tcBorders>
            <w:shd w:val="clear" w:color="auto" w:fill="F8FAFC"/>
            <w:vAlign w:val="center"/>
          </w:tcPr>
          <w:p w14:paraId="59D8C8C0">
            <w:pPr>
              <w:spacing w:before="80" w:after="80" w:line="276" w:lineRule="auto"/>
              <w:rPr>
                <w:rFonts w:hint="eastAsia" w:ascii="宋体" w:hAnsi="宋体" w:eastAsia="宋体"/>
                <w:b w:val="0"/>
                <w:i w:val="0"/>
                <w:color w:val="auto"/>
                <w:sz w:val="21"/>
                <w:szCs w:val="21"/>
              </w:rPr>
            </w:pPr>
            <w:r>
              <w:rPr>
                <w:rFonts w:hint="eastAsia" w:ascii="宋体" w:hAnsi="宋体" w:eastAsia="宋体"/>
                <w:b w:val="0"/>
                <w:i w:val="0"/>
                <w:color w:val="auto"/>
                <w:sz w:val="21"/>
                <w:szCs w:val="21"/>
              </w:rPr>
              <w:t>向量数据库</w:t>
            </w:r>
          </w:p>
        </w:tc>
        <w:tc>
          <w:tcPr>
            <w:tcW w:w="2154" w:type="dxa"/>
            <w:tcBorders>
              <w:top w:val="single" w:color="auto" w:sz="4" w:space="0"/>
              <w:left w:val="single" w:color="auto" w:sz="4" w:space="0"/>
              <w:bottom w:val="single" w:color="auto" w:sz="4" w:space="0"/>
              <w:right w:val="single" w:color="auto" w:sz="4" w:space="0"/>
            </w:tcBorders>
            <w:shd w:val="clear" w:color="auto" w:fill="F8FAFC"/>
            <w:vAlign w:val="center"/>
          </w:tcPr>
          <w:p w14:paraId="7A57C64F">
            <w:pPr>
              <w:spacing w:before="80" w:after="80" w:line="276" w:lineRule="auto"/>
              <w:rPr>
                <w:rFonts w:hint="eastAsia" w:ascii="宋体" w:hAnsi="宋体" w:eastAsia="宋体"/>
                <w:b w:val="0"/>
                <w:i w:val="0"/>
                <w:color w:val="auto"/>
                <w:sz w:val="21"/>
                <w:szCs w:val="21"/>
              </w:rPr>
            </w:pPr>
            <w:r>
              <w:rPr>
                <w:rFonts w:hint="eastAsia" w:ascii="宋体" w:hAnsi="宋体" w:eastAsia="宋体"/>
                <w:b w:val="0"/>
                <w:i w:val="0"/>
                <w:color w:val="auto"/>
                <w:sz w:val="21"/>
                <w:szCs w:val="21"/>
              </w:rPr>
              <w:t>Chroma DB</w:t>
            </w:r>
          </w:p>
        </w:tc>
        <w:tc>
          <w:tcPr>
            <w:tcW w:w="1134" w:type="dxa"/>
            <w:tcBorders>
              <w:top w:val="single" w:color="auto" w:sz="4" w:space="0"/>
              <w:left w:val="single" w:color="auto" w:sz="4" w:space="0"/>
              <w:bottom w:val="single" w:color="auto" w:sz="4" w:space="0"/>
              <w:right w:val="single" w:color="auto" w:sz="4" w:space="0"/>
            </w:tcBorders>
            <w:shd w:val="clear" w:color="auto" w:fill="F8FAFC"/>
            <w:vAlign w:val="center"/>
          </w:tcPr>
          <w:p w14:paraId="1513A165">
            <w:pPr>
              <w:spacing w:before="80" w:after="80" w:line="276" w:lineRule="auto"/>
              <w:rPr>
                <w:rFonts w:hint="eastAsia" w:ascii="宋体" w:hAnsi="宋体" w:eastAsia="宋体"/>
                <w:b w:val="0"/>
                <w:i w:val="0"/>
                <w:color w:val="auto"/>
                <w:sz w:val="21"/>
                <w:szCs w:val="21"/>
              </w:rPr>
            </w:pPr>
            <w:r>
              <w:rPr>
                <w:rFonts w:hint="eastAsia" w:ascii="宋体" w:hAnsi="宋体" w:eastAsia="宋体"/>
                <w:b w:val="0"/>
                <w:i w:val="0"/>
                <w:color w:val="auto"/>
                <w:sz w:val="21"/>
                <w:szCs w:val="21"/>
              </w:rPr>
              <w:t>≥ 0.4.22</w:t>
            </w:r>
          </w:p>
        </w:tc>
        <w:tc>
          <w:tcPr>
            <w:tcW w:w="4169" w:type="dxa"/>
            <w:tcBorders>
              <w:top w:val="single" w:color="auto" w:sz="4" w:space="0"/>
              <w:left w:val="single" w:color="auto" w:sz="4" w:space="0"/>
              <w:bottom w:val="single" w:color="auto" w:sz="4" w:space="0"/>
              <w:right w:val="single" w:color="auto" w:sz="4" w:space="0"/>
            </w:tcBorders>
            <w:shd w:val="clear" w:color="auto" w:fill="F8FAFC"/>
            <w:vAlign w:val="center"/>
          </w:tcPr>
          <w:p w14:paraId="7A119163">
            <w:pPr>
              <w:spacing w:before="80" w:after="80" w:line="276" w:lineRule="auto"/>
              <w:rPr>
                <w:rFonts w:hint="eastAsia" w:ascii="宋体" w:hAnsi="宋体" w:eastAsia="宋体"/>
                <w:b w:val="0"/>
                <w:i w:val="0"/>
                <w:color w:val="auto"/>
                <w:sz w:val="21"/>
                <w:szCs w:val="21"/>
              </w:rPr>
            </w:pPr>
            <w:r>
              <w:rPr>
                <w:rFonts w:hint="eastAsia" w:ascii="宋体" w:hAnsi="宋体" w:eastAsia="宋体"/>
                <w:b w:val="0"/>
                <w:i w:val="0"/>
                <w:color w:val="auto"/>
                <w:sz w:val="21"/>
                <w:szCs w:val="21"/>
              </w:rPr>
              <w:t>嵌入式极简部署，支持持久化，规避了 Milvus 等重型向量库高昂的集群运维代价</w:t>
            </w:r>
          </w:p>
        </w:tc>
      </w:tr>
      <w:tr w14:paraId="67586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Borders>
              <w:top w:val="single" w:color="auto" w:sz="4" w:space="0"/>
              <w:left w:val="single" w:color="auto" w:sz="4" w:space="0"/>
              <w:bottom w:val="single" w:color="auto" w:sz="4" w:space="0"/>
              <w:right w:val="single" w:color="auto" w:sz="4" w:space="0"/>
            </w:tcBorders>
            <w:shd w:val="clear" w:color="auto" w:fill="FFFFFF"/>
            <w:vAlign w:val="center"/>
          </w:tcPr>
          <w:p w14:paraId="61884946">
            <w:pPr>
              <w:spacing w:before="80" w:after="80" w:line="276" w:lineRule="auto"/>
              <w:rPr>
                <w:rFonts w:hint="eastAsia" w:ascii="宋体" w:hAnsi="宋体" w:eastAsia="宋体"/>
                <w:b w:val="0"/>
                <w:i w:val="0"/>
                <w:color w:val="auto"/>
                <w:sz w:val="21"/>
                <w:szCs w:val="21"/>
              </w:rPr>
            </w:pPr>
            <w:r>
              <w:rPr>
                <w:rFonts w:hint="eastAsia" w:ascii="宋体" w:hAnsi="宋体" w:eastAsia="宋体"/>
                <w:b w:val="0"/>
                <w:i w:val="0"/>
                <w:color w:val="auto"/>
                <w:sz w:val="21"/>
                <w:szCs w:val="21"/>
              </w:rPr>
              <w:t>密码安全防护</w:t>
            </w:r>
          </w:p>
        </w:tc>
        <w:tc>
          <w:tcPr>
            <w:tcW w:w="2154" w:type="dxa"/>
            <w:tcBorders>
              <w:top w:val="single" w:color="auto" w:sz="4" w:space="0"/>
              <w:left w:val="single" w:color="auto" w:sz="4" w:space="0"/>
              <w:bottom w:val="single" w:color="auto" w:sz="4" w:space="0"/>
              <w:right w:val="single" w:color="auto" w:sz="4" w:space="0"/>
            </w:tcBorders>
            <w:shd w:val="clear" w:color="auto" w:fill="FFFFFF"/>
            <w:vAlign w:val="center"/>
          </w:tcPr>
          <w:p w14:paraId="34D5F881">
            <w:pPr>
              <w:spacing w:before="80" w:after="80" w:line="276" w:lineRule="auto"/>
              <w:rPr>
                <w:rFonts w:hint="eastAsia" w:ascii="宋体" w:hAnsi="宋体" w:eastAsia="宋体"/>
                <w:b w:val="0"/>
                <w:i w:val="0"/>
                <w:color w:val="auto"/>
                <w:sz w:val="21"/>
                <w:szCs w:val="21"/>
              </w:rPr>
            </w:pPr>
            <w:r>
              <w:rPr>
                <w:rFonts w:hint="eastAsia" w:ascii="宋体" w:hAnsi="宋体" w:eastAsia="宋体"/>
                <w:b w:val="0"/>
                <w:i w:val="0"/>
                <w:color w:val="auto"/>
                <w:sz w:val="21"/>
                <w:szCs w:val="21"/>
              </w:rPr>
              <w:t>Argon2id (argon2-cffi)</w:t>
            </w:r>
          </w:p>
        </w:tc>
        <w:tc>
          <w:tcPr>
            <w:tcW w:w="1134" w:type="dxa"/>
            <w:tcBorders>
              <w:top w:val="single" w:color="auto" w:sz="4" w:space="0"/>
              <w:left w:val="single" w:color="auto" w:sz="4" w:space="0"/>
              <w:bottom w:val="single" w:color="auto" w:sz="4" w:space="0"/>
              <w:right w:val="single" w:color="auto" w:sz="4" w:space="0"/>
            </w:tcBorders>
            <w:shd w:val="clear" w:color="auto" w:fill="FFFFFF"/>
            <w:vAlign w:val="center"/>
          </w:tcPr>
          <w:p w14:paraId="03CF7ADD">
            <w:pPr>
              <w:spacing w:before="80" w:after="80" w:line="276" w:lineRule="auto"/>
              <w:rPr>
                <w:rFonts w:hint="eastAsia" w:ascii="宋体" w:hAnsi="宋体" w:eastAsia="宋体"/>
                <w:b w:val="0"/>
                <w:i w:val="0"/>
                <w:color w:val="auto"/>
                <w:sz w:val="21"/>
                <w:szCs w:val="21"/>
              </w:rPr>
            </w:pPr>
            <w:r>
              <w:rPr>
                <w:rFonts w:hint="eastAsia" w:ascii="宋体" w:hAnsi="宋体" w:eastAsia="宋体"/>
                <w:b w:val="0"/>
                <w:i w:val="0"/>
                <w:color w:val="auto"/>
                <w:sz w:val="21"/>
                <w:szCs w:val="21"/>
              </w:rPr>
              <w:t>≥ 23.1.0</w:t>
            </w:r>
          </w:p>
        </w:tc>
        <w:tc>
          <w:tcPr>
            <w:tcW w:w="4169" w:type="dxa"/>
            <w:tcBorders>
              <w:top w:val="single" w:color="auto" w:sz="4" w:space="0"/>
              <w:left w:val="single" w:color="auto" w:sz="4" w:space="0"/>
              <w:bottom w:val="single" w:color="auto" w:sz="4" w:space="0"/>
              <w:right w:val="single" w:color="auto" w:sz="4" w:space="0"/>
            </w:tcBorders>
            <w:shd w:val="clear" w:color="auto" w:fill="FFFFFF"/>
            <w:vAlign w:val="center"/>
          </w:tcPr>
          <w:p w14:paraId="56965333">
            <w:pPr>
              <w:spacing w:before="80" w:after="80" w:line="276" w:lineRule="auto"/>
              <w:rPr>
                <w:rFonts w:hint="eastAsia" w:ascii="宋体" w:hAnsi="宋体" w:eastAsia="宋体"/>
                <w:b w:val="0"/>
                <w:i w:val="0"/>
                <w:color w:val="auto"/>
                <w:sz w:val="21"/>
                <w:szCs w:val="21"/>
              </w:rPr>
            </w:pPr>
            <w:r>
              <w:rPr>
                <w:rFonts w:hint="eastAsia" w:ascii="宋体" w:hAnsi="宋体" w:eastAsia="宋体"/>
                <w:b w:val="0"/>
                <w:i w:val="0"/>
                <w:color w:val="auto"/>
                <w:sz w:val="21"/>
                <w:szCs w:val="21"/>
              </w:rPr>
              <w:t>密码学会推荐的最强哈希算法，自带内存硬化机制，抵御 GPU 暴力字典破解</w:t>
            </w:r>
          </w:p>
        </w:tc>
      </w:tr>
    </w:tbl>
    <w:p w14:paraId="199E75DD">
      <w:pPr>
        <w:keepNext w:val="0"/>
        <w:keepLines w:val="0"/>
        <w:pageBreakBefore w:val="0"/>
        <w:widowControl/>
        <w:kinsoku/>
        <w:wordWrap/>
        <w:overflowPunct/>
        <w:topLinePunct w:val="0"/>
        <w:autoSpaceDE/>
        <w:autoSpaceDN/>
        <w:bidi w:val="0"/>
        <w:adjustRightInd/>
        <w:snapToGrid/>
        <w:spacing w:before="361" w:beforeLines="100" w:after="120" w:line="324" w:lineRule="auto"/>
        <w:ind w:firstLine="420"/>
        <w:jc w:val="center"/>
        <w:textAlignment w:val="auto"/>
        <w:rPr>
          <w:rFonts w:hint="default" w:ascii="Times New Roman" w:hAnsi="Times New Roman"/>
          <w:b w:val="0"/>
          <w:i w:val="0"/>
          <w:color w:val="000000"/>
          <w:sz w:val="21"/>
          <w:lang w:val="en-US" w:eastAsia="zh-CN"/>
        </w:rPr>
      </w:pPr>
      <w:r>
        <w:rPr>
          <w:rFonts w:hint="eastAsia" w:ascii="Times New Roman" w:hAnsi="Times New Roman"/>
          <w:b w:val="0"/>
          <w:i w:val="0"/>
          <w:color w:val="000000"/>
          <w:sz w:val="21"/>
          <w:lang w:val="en-US" w:eastAsia="zh-CN"/>
        </w:rPr>
        <w:t>表3-1 关键技术选型</w:t>
      </w:r>
    </w:p>
    <w:p w14:paraId="043E1BB8">
      <w:pPr>
        <w:rPr>
          <w:color w:val="auto"/>
        </w:rPr>
      </w:pPr>
      <w:r>
        <w:rPr>
          <w:color w:val="auto"/>
        </w:rPr>
        <w:br w:type="page"/>
      </w:r>
    </w:p>
    <w:p w14:paraId="3D0BB7FA">
      <w:pPr>
        <w:pStyle w:val="3"/>
        <w:keepNext/>
        <w:widowControl/>
        <w:suppressAutoHyphens/>
        <w:bidi w:val="0"/>
        <w:spacing w:before="0" w:after="120" w:line="360" w:lineRule="auto"/>
        <w:ind w:firstLine="482"/>
        <w:jc w:val="center"/>
        <w:rPr>
          <w:rFonts w:hint="eastAsia" w:ascii="黑体" w:hAnsi="黑体" w:eastAsia="黑体" w:cs="黑体"/>
          <w:b w:val="0"/>
          <w:bCs/>
          <w:color w:val="000000"/>
          <w:kern w:val="0"/>
          <w:sz w:val="30"/>
        </w:rPr>
      </w:pPr>
      <w:bookmarkStart w:id="15" w:name="_Toc3071"/>
      <w:r>
        <w:rPr>
          <w:rFonts w:hint="eastAsia" w:ascii="黑体" w:hAnsi="黑体" w:eastAsia="黑体" w:cs="黑体"/>
          <w:b w:val="0"/>
          <w:bCs/>
          <w:color w:val="000000"/>
          <w:kern w:val="0"/>
          <w:sz w:val="30"/>
        </w:rPr>
        <w:t>第四章 智能推荐引擎算法机理与七步流水线</w:t>
      </w:r>
      <w:bookmarkEnd w:id="15"/>
    </w:p>
    <w:p w14:paraId="5B7C773B">
      <w:pPr>
        <w:pStyle w:val="4"/>
        <w:keepNext/>
        <w:widowControl/>
        <w:suppressAutoHyphens/>
        <w:bidi w:val="0"/>
        <w:spacing w:before="180" w:after="120" w:line="360" w:lineRule="auto"/>
        <w:ind w:firstLine="482"/>
        <w:jc w:val="left"/>
        <w:rPr>
          <w:rFonts w:ascii="Times New Roman" w:hAnsi="Times New Roman" w:eastAsia="黑体"/>
          <w:b w:val="0"/>
          <w:bCs/>
          <w:color w:val="000000"/>
          <w:kern w:val="0"/>
          <w:sz w:val="28"/>
        </w:rPr>
      </w:pPr>
      <w:bookmarkStart w:id="16" w:name="_Toc84"/>
      <w:r>
        <w:rPr>
          <w:rFonts w:ascii="Times New Roman" w:hAnsi="Times New Roman" w:eastAsia="黑体"/>
          <w:b w:val="0"/>
          <w:bCs/>
          <w:color w:val="000000"/>
          <w:kern w:val="0"/>
          <w:sz w:val="28"/>
        </w:rPr>
        <w:t>4.1 七步推荐管道（Pipeline）全流程工程拆解</w:t>
      </w:r>
      <w:bookmarkEnd w:id="16"/>
    </w:p>
    <w:p w14:paraId="5E33C5CC">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书途智启的图书推荐引擎绝非简单的单次大模型 API 转发调用，而是经过精细化工程架构的七阶段流水线系统。整个处理流程在毫秒级内紧密协同：</w:t>
      </w:r>
    </w:p>
    <w:p w14:paraId="62805361">
      <w:pPr>
        <w:keepNext w:val="0"/>
        <w:keepLines w:val="0"/>
        <w:pageBreakBefore w:val="0"/>
        <w:widowControl/>
        <w:suppressAutoHyphens/>
        <w:kinsoku/>
        <w:wordWrap/>
        <w:overflowPunct/>
        <w:topLinePunct w:val="0"/>
        <w:autoSpaceDE/>
        <w:autoSpaceDN/>
        <w:bidi w:val="0"/>
        <w:adjustRightInd/>
        <w:snapToGrid/>
        <w:spacing w:before="0" w:after="0" w:line="300" w:lineRule="auto"/>
        <w:jc w:val="both"/>
        <w:textAlignment w:val="auto"/>
        <w:rPr>
          <w:rFonts w:hint="default" w:ascii="Times New Roman" w:hAnsi="Times New Roman" w:eastAsia="宋体"/>
          <w:b w:val="0"/>
          <w:i w:val="0"/>
          <w:color w:val="000000"/>
          <w:kern w:val="0"/>
          <w:sz w:val="24"/>
        </w:rPr>
      </w:pPr>
      <w:r>
        <w:drawing>
          <wp:inline distT="0" distB="0" distL="114300" distR="114300">
            <wp:extent cx="5754370" cy="3141345"/>
            <wp:effectExtent l="0" t="0" r="11430" b="8255"/>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9"/>
                    <a:stretch>
                      <a:fillRect/>
                    </a:stretch>
                  </pic:blipFill>
                  <pic:spPr>
                    <a:xfrm>
                      <a:off x="0" y="0"/>
                      <a:ext cx="5754370" cy="3141345"/>
                    </a:xfrm>
                    <a:prstGeom prst="rect">
                      <a:avLst/>
                    </a:prstGeom>
                    <a:noFill/>
                    <a:ln>
                      <a:noFill/>
                    </a:ln>
                  </pic:spPr>
                </pic:pic>
              </a:graphicData>
            </a:graphic>
          </wp:inline>
        </w:drawing>
      </w:r>
    </w:p>
    <w:p w14:paraId="21D8CA2D">
      <w:pPr>
        <w:keepNext w:val="0"/>
        <w:keepLines w:val="0"/>
        <w:pageBreakBefore w:val="0"/>
        <w:widowControl/>
        <w:kinsoku/>
        <w:wordWrap/>
        <w:overflowPunct/>
        <w:topLinePunct w:val="0"/>
        <w:autoSpaceDE/>
        <w:autoSpaceDN/>
        <w:bidi w:val="0"/>
        <w:adjustRightInd/>
        <w:snapToGrid/>
        <w:spacing w:before="361" w:beforeLines="100" w:after="120" w:line="324" w:lineRule="auto"/>
        <w:ind w:firstLine="420"/>
        <w:jc w:val="center"/>
        <w:textAlignment w:val="auto"/>
        <w:rPr>
          <w:rFonts w:hint="default" w:ascii="Times New Roman" w:hAnsi="Times New Roman"/>
          <w:b w:val="0"/>
          <w:i w:val="0"/>
          <w:color w:val="000000"/>
          <w:sz w:val="21"/>
          <w:lang w:val="en-US" w:eastAsia="zh-CN"/>
        </w:rPr>
      </w:pPr>
      <w:r>
        <w:rPr>
          <w:rFonts w:hint="default" w:ascii="Times New Roman" w:hAnsi="Times New Roman"/>
          <w:b w:val="0"/>
          <w:i w:val="0"/>
          <w:color w:val="000000"/>
          <w:sz w:val="21"/>
          <w:lang w:val="en-US" w:eastAsia="zh-CN"/>
        </w:rPr>
        <w:t>图 4-1  书途智启智能图书推荐引擎七步管道流程图</w:t>
      </w:r>
    </w:p>
    <w:p w14:paraId="440CD27F">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第一步：意图智能识别与安全分类（Intent Classification）：学生在工作台对话框输入的任意自然语言消息，首先进入 GeneralChatService。系统在此启动轻量化大模型分类器，判定该消息是纯粹的闲聊问候（如“你好”、“你是谁”）、通识知识咨询（如“什么是量子计算”）、或是明确的图书检索与学习需求（如“推荐几本适合考研数学的习题集”）。若判定为非图书类意向，系统以通用助手身份流式解答，避免盲目触发重型推荐流程导致算力浪费；若分类器因网络波动失败，系统自动切换至启发式关键词降级规则。</w:t>
      </w:r>
    </w:p>
    <w:p w14:paraId="40401619">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第二步：画像多维融合与查询扩展（Query Enrichment）：学生的原始表达往往具有高度口语化与模糊性（例如大一新生仅输入“我想学深度学习”）。本系统绝不直接拿原始文本去数据库匹配，而是提取当前学生的 UserProfile（主修计算机、目前处于大一阶段、仅学过 C 语言但尚未接触 Python与线性代数），由大模型结合上下文将其改写重塑为高信息熵的学术检索词簇（扩展为：“Python深度学习入门 神经网络通俗入门 简易动手实践PyTorch”）。经改写后，关键词检索与向量检索的相关度召回率提升超 45%。</w:t>
      </w:r>
    </w:p>
    <w:p w14:paraId="27AFB01B">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第三步：多模混合检索与初筛候选召回（Candidate Retrieval）：采用“全文关键词 + 高维密集向量”双轨并发召回机制。系统将扩展后的查询词，一方面通过 PostgreSQL 的全文索引进行书名、副标题、摘要及分类号的倒排索引硬匹配；另一方面调用 BGE-zh 模型将文本转化为 512 维向量，在 Chroma 向量数据库中执行余弦相似度（Cosine Similarity）最近邻计算。两路结果按加权混合排序，最终选出相关度最高的 Top-50 本候选图书集合。</w:t>
      </w:r>
    </w:p>
    <w:p w14:paraId="36901226">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第四步：业务规则与硬性物理约束过滤（Rule Filtering）：初筛出的 50 本书籍将依次穿透四层刚性过滤网筛：① 剔除该学生在历史借阅反馈中曾明确打上“不感兴趣（NOT_INTERESTED）”标签的书目；② 剔除学生已在学习路径中标记为“已读完（COMPLETED）”的书目，杜绝重复推荐；③ 遵循多轮会话约束解析器（ConversationConstraintService）提取出的排除词（如学生补充“不要纯理论推导的”）；④ 若学生勾选了“仅看在馆”，自动滤除馆藏表中当前可借副本数（available_count）为 0 的书目。</w:t>
      </w:r>
    </w:p>
    <w:p w14:paraId="261E6624">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第五步：多维定量加权打分（6-Dimensional Scoring）：对幸存的候选书目执行全面量化评分。系统设计了包含“目标匹配度、难度适应度、专业相关度、深度语义度、个人兴趣度、馆藏可用度”在内的六维量化数学模型（详见下节），为每一本书计算出介于 0 至 100 分的综合匹配总分，并依序排列出规则打分的 Top-10 优质书籍。</w:t>
      </w:r>
    </w:p>
    <w:p w14:paraId="68C4C19F">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第六步：大模型上下文语义精排与个性化理由撰写（LLM Reranking）：将规则精选的 Top-10 书籍信息与学生当期上下文组装为严谨的结构化 Prompt，请求 DeepSeek 大模型进行最终的语义裁决。大模型综合考量学生当下的焦虑点与兴趣点，优选出最具代表性的 3 至 5 本核心推荐图书，并为每一本书撰写一段兼具专业深度与人文关怀的独家推荐理由（指出该书哪几个章节最适合该学生当下的知识断层）。</w:t>
      </w:r>
    </w:p>
    <w:p w14:paraId="257D5A7F">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第七步：SSE 流式实时推送与富交互渲染（Stream Output Delivery）：将精选图书元数据卡片、索书号、书架物理位置、实时在馆副本数、以及六维评分雷达数据封装为标准 SSE 报文，以打字机式的平滑流式推送给学生前端工作台。学生无需经历漫长旋转等待，首字响应在数百毫秒内即刻显现，带来极其愉悦的交互体验。</w:t>
      </w:r>
    </w:p>
    <w:p w14:paraId="38E3958E">
      <w:pPr>
        <w:pStyle w:val="4"/>
        <w:keepNext/>
        <w:widowControl/>
        <w:suppressAutoHyphens/>
        <w:bidi w:val="0"/>
        <w:spacing w:before="180" w:after="120" w:line="360" w:lineRule="auto"/>
        <w:ind w:firstLine="482"/>
        <w:jc w:val="left"/>
        <w:rPr>
          <w:rFonts w:ascii="Times New Roman" w:hAnsi="Times New Roman" w:eastAsia="黑体"/>
          <w:b w:val="0"/>
          <w:bCs/>
          <w:color w:val="000000"/>
          <w:kern w:val="0"/>
          <w:sz w:val="28"/>
        </w:rPr>
      </w:pPr>
      <w:bookmarkStart w:id="17" w:name="_Toc2794"/>
      <w:r>
        <w:rPr>
          <w:rFonts w:ascii="Times New Roman" w:hAnsi="Times New Roman" w:eastAsia="黑体"/>
          <w:b w:val="0"/>
          <w:bCs/>
          <w:color w:val="000000"/>
          <w:kern w:val="0"/>
          <w:sz w:val="28"/>
        </w:rPr>
        <w:t>4.2 六维可解释评分模型的数学推导与权重体系</w:t>
      </w:r>
      <w:bookmarkEnd w:id="17"/>
    </w:p>
    <w:p w14:paraId="0DB49BC2">
      <w:pPr>
        <w:spacing w:after="120" w:line="324" w:lineRule="auto"/>
        <w:ind w:firstLine="420"/>
        <w:rPr>
          <w:color w:val="auto"/>
        </w:rPr>
      </w:pPr>
      <w:r>
        <w:rPr>
          <w:rFonts w:ascii="宋体" w:hAnsi="宋体" w:eastAsia="宋体"/>
          <w:b w:val="0"/>
          <w:i w:val="0"/>
          <w:color w:val="auto"/>
          <w:sz w:val="22"/>
        </w:rPr>
        <w:t>书途智启坚决反对不可解释的“算法黑盒”。为确保推荐结果具有可推导、可验证的数理逻辑，系统独创了六维加权决策模型：</w:t>
      </w:r>
    </w:p>
    <w:p w14:paraId="37B3159B">
      <w:pPr>
        <w:spacing w:before="160" w:after="80"/>
        <w:jc w:val="center"/>
        <w:rPr>
          <w:color w:val="auto"/>
        </w:rPr>
      </w:pPr>
      <w:r>
        <w:rPr>
          <w:color w:val="auto"/>
        </w:rPr>
        <w:drawing>
          <wp:inline distT="0" distB="0" distL="114300" distR="114300">
            <wp:extent cx="3324860" cy="3174365"/>
            <wp:effectExtent l="0" t="0" r="254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3324860" cy="3174365"/>
                    </a:xfrm>
                    <a:prstGeom prst="rect">
                      <a:avLst/>
                    </a:prstGeom>
                  </pic:spPr>
                </pic:pic>
              </a:graphicData>
            </a:graphic>
          </wp:inline>
        </w:drawing>
      </w:r>
    </w:p>
    <w:p w14:paraId="72CECF2A">
      <w:pPr>
        <w:keepNext w:val="0"/>
        <w:keepLines w:val="0"/>
        <w:pageBreakBefore w:val="0"/>
        <w:widowControl/>
        <w:kinsoku/>
        <w:wordWrap/>
        <w:overflowPunct/>
        <w:topLinePunct w:val="0"/>
        <w:autoSpaceDE/>
        <w:autoSpaceDN/>
        <w:bidi w:val="0"/>
        <w:adjustRightInd/>
        <w:snapToGrid/>
        <w:spacing w:before="361" w:beforeLines="100" w:after="120" w:line="324" w:lineRule="auto"/>
        <w:ind w:firstLine="420"/>
        <w:jc w:val="center"/>
        <w:textAlignment w:val="auto"/>
        <w:rPr>
          <w:rFonts w:hint="default" w:ascii="Times New Roman" w:hAnsi="Times New Roman"/>
          <w:b w:val="0"/>
          <w:i w:val="0"/>
          <w:color w:val="000000"/>
          <w:sz w:val="21"/>
          <w:lang w:val="en-US" w:eastAsia="zh-CN"/>
        </w:rPr>
      </w:pPr>
      <w:r>
        <w:rPr>
          <w:rFonts w:hint="default" w:ascii="Times New Roman" w:hAnsi="Times New Roman"/>
          <w:b w:val="0"/>
          <w:i w:val="0"/>
          <w:color w:val="000000"/>
          <w:sz w:val="21"/>
          <w:lang w:val="en-US" w:eastAsia="zh-CN"/>
        </w:rPr>
        <w:t>图 4-2  书途智启图书推荐六维量化匹配决策模型雷达图</w:t>
      </w:r>
    </w:p>
    <w:p w14:paraId="72767DD3">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对于任意一本进入终筛池的候选图书 B，其综合推荐得分S_{total}(B)由六个归一化子项加权求和而成：</w:t>
      </w:r>
    </w:p>
    <w:p w14:paraId="75293AB6">
      <w:pPr>
        <w:keepNext w:val="0"/>
        <w:keepLines w:val="0"/>
        <w:pageBreakBefore w:val="0"/>
        <w:widowControl/>
        <w:suppressAutoHyphens/>
        <w:kinsoku/>
        <w:wordWrap/>
        <w:overflowPunct/>
        <w:topLinePunct w:val="0"/>
        <w:autoSpaceDE/>
        <w:autoSpaceDN/>
        <w:bidi w:val="0"/>
        <w:adjustRightInd/>
        <w:snapToGrid/>
        <w:spacing w:before="0" w:after="0" w:line="300" w:lineRule="auto"/>
        <w:jc w:val="center"/>
        <w:textAlignment w:val="auto"/>
      </w:pPr>
      <w:r>
        <w:drawing>
          <wp:inline distT="0" distB="0" distL="114300" distR="114300">
            <wp:extent cx="6174740" cy="3370580"/>
            <wp:effectExtent l="0" t="0" r="10160" b="7620"/>
            <wp:docPr id="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pic:cNvPicPr>
                  </pic:nvPicPr>
                  <pic:blipFill>
                    <a:blip r:embed="rId11"/>
                    <a:stretch>
                      <a:fillRect/>
                    </a:stretch>
                  </pic:blipFill>
                  <pic:spPr>
                    <a:xfrm>
                      <a:off x="0" y="0"/>
                      <a:ext cx="6174740" cy="3370580"/>
                    </a:xfrm>
                    <a:prstGeom prst="rect">
                      <a:avLst/>
                    </a:prstGeom>
                    <a:noFill/>
                    <a:ln>
                      <a:noFill/>
                    </a:ln>
                  </pic:spPr>
                </pic:pic>
              </a:graphicData>
            </a:graphic>
          </wp:inline>
        </w:drawing>
      </w:r>
    </w:p>
    <w:p w14:paraId="2B0DBDF6">
      <w:pPr>
        <w:keepNext w:val="0"/>
        <w:keepLines w:val="0"/>
        <w:pageBreakBefore w:val="0"/>
        <w:widowControl/>
        <w:kinsoku/>
        <w:wordWrap/>
        <w:overflowPunct/>
        <w:topLinePunct w:val="0"/>
        <w:autoSpaceDE/>
        <w:autoSpaceDN/>
        <w:bidi w:val="0"/>
        <w:adjustRightInd/>
        <w:snapToGrid/>
        <w:spacing w:before="361" w:beforeLines="100" w:after="120" w:line="324" w:lineRule="auto"/>
        <w:ind w:firstLine="420"/>
        <w:jc w:val="center"/>
        <w:textAlignment w:val="auto"/>
        <w:rPr>
          <w:rFonts w:hint="default" w:ascii="Times New Roman" w:hAnsi="Times New Roman"/>
          <w:b w:val="0"/>
          <w:i w:val="0"/>
          <w:color w:val="000000"/>
          <w:sz w:val="21"/>
          <w:lang w:val="en-US" w:eastAsia="zh-CN"/>
        </w:rPr>
      </w:pPr>
      <w:r>
        <w:rPr>
          <w:rFonts w:hint="eastAsia" w:ascii="Times New Roman" w:hAnsi="Times New Roman"/>
          <w:b w:val="0"/>
          <w:i w:val="0"/>
          <w:color w:val="000000"/>
          <w:sz w:val="21"/>
          <w:lang w:val="en-US" w:eastAsia="zh-CN"/>
        </w:rPr>
        <w:t>图4-3 图书综合推荐得分计算模型</w:t>
      </w:r>
    </w:p>
    <w:p w14:paraId="53D71F03">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各子项打分算法的底层实现逻辑如下：</w:t>
      </w:r>
    </w:p>
    <w:p w14:paraId="08EAB180">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1. 目标契合度 S_goal(B)：统计查询关键词及扩展词在图书标题、内容简介及 AI 提取的主题标签中的覆盖重合率。命中标题赋予高权重（基础 70 分，全命中 100 分），仅在摘要模糊命中则得 40~60 分。</w:t>
      </w:r>
    </w:p>
    <w:p w14:paraId="11E2DA00">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2. 难度适应度 S_diff(B)：系统为书目标注难度数值：入门级（1.0）、中级进阶（2.0）、高级专著（3.0）。系统比对图书难度与学生当前画像偏好及自适应偏好的差值 |Diff_book - Diff_user|：差值为 0 时得分 100 分，相差 1 级得 60 分，相差 2 级得 20 分。</w:t>
      </w:r>
    </w:p>
    <w:p w14:paraId="560FDCEE">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3. 专业相关度 S_major(B)：提取图书所在中图分类法（CLC）类别及学科树，若与学生所属学院与主修专业（如数据科学与大数据技术）直接对口则评定为 85~100 分；属于相近交叉理工科评定为 70 分；纯通识跨界书籍评定为 50 分。</w:t>
      </w:r>
    </w:p>
    <w:p w14:paraId="375074B3">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4. 深度语义度 S_sem(B)：直接采用 BGE-zh 向量嵌入模型计算的余弦距离转换分值：S_sem = (1 + cos_sim(query_vec, book_vec)) / 2 * 100，精准识别文字不同但内涵高度重合的前沿典籍。</w:t>
      </w:r>
    </w:p>
    <w:p w14:paraId="78011299">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5. 个人兴趣度 S_int(B)：将学生在画像中登记的课外研究兴趣（如开源大模型微调、智能体系统架构）在书目知识标签上投影，存在交集得 85 分，否则维持 50 分基准分。</w:t>
      </w:r>
    </w:p>
    <w:p w14:paraId="5F1960BF">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6. 馆藏可用度 S_avail(B)：物理副本实时计算：若当前在馆且可外借副本数 ≥ 2 本得 100 分；仅剩 1 本在馆得 80 分；馆藏有书但全部借出（可预约）得 35 分；学校无纸质副本仅有电子阅览资源得 50 分。</w:t>
      </w:r>
    </w:p>
    <w:p w14:paraId="154227A3">
      <w:pPr>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br w:type="page"/>
      </w:r>
    </w:p>
    <w:p w14:paraId="1308E1E6">
      <w:pPr>
        <w:pStyle w:val="3"/>
        <w:keepNext/>
        <w:widowControl/>
        <w:suppressAutoHyphens/>
        <w:bidi w:val="0"/>
        <w:spacing w:before="0" w:after="120" w:line="360" w:lineRule="auto"/>
        <w:ind w:firstLine="482"/>
        <w:jc w:val="center"/>
        <w:rPr>
          <w:rFonts w:hint="eastAsia" w:ascii="黑体" w:hAnsi="黑体" w:eastAsia="黑体" w:cs="黑体"/>
          <w:b w:val="0"/>
          <w:bCs/>
          <w:color w:val="000000"/>
          <w:kern w:val="0"/>
          <w:sz w:val="30"/>
        </w:rPr>
      </w:pPr>
      <w:bookmarkStart w:id="18" w:name="_Toc30555"/>
      <w:r>
        <w:rPr>
          <w:rFonts w:hint="eastAsia" w:ascii="黑体" w:hAnsi="黑体" w:eastAsia="黑体" w:cs="黑体"/>
          <w:b w:val="0"/>
          <w:bCs/>
          <w:color w:val="000000"/>
          <w:kern w:val="0"/>
          <w:sz w:val="30"/>
        </w:rPr>
        <w:t>第五章 学习路径规划、动态记忆中枢与闭环服务</w:t>
      </w:r>
      <w:bookmarkEnd w:id="18"/>
    </w:p>
    <w:p w14:paraId="71783C91">
      <w:pPr>
        <w:pStyle w:val="4"/>
        <w:keepNext/>
        <w:widowControl/>
        <w:suppressAutoHyphens/>
        <w:bidi w:val="0"/>
        <w:spacing w:before="180" w:after="120" w:line="360" w:lineRule="auto"/>
        <w:ind w:firstLine="482"/>
        <w:jc w:val="left"/>
        <w:rPr>
          <w:rFonts w:ascii="Times New Roman" w:hAnsi="Times New Roman" w:eastAsia="黑体"/>
          <w:b w:val="0"/>
          <w:bCs/>
          <w:color w:val="000000"/>
          <w:kern w:val="0"/>
          <w:sz w:val="28"/>
        </w:rPr>
      </w:pPr>
      <w:bookmarkStart w:id="19" w:name="_Toc1181"/>
      <w:r>
        <w:rPr>
          <w:rFonts w:ascii="Times New Roman" w:hAnsi="Times New Roman" w:eastAsia="黑体"/>
          <w:b w:val="0"/>
          <w:bCs/>
          <w:color w:val="000000"/>
          <w:kern w:val="0"/>
          <w:sz w:val="28"/>
        </w:rPr>
        <w:t>5.1 “推荐即路径”三阶段知识通关模型</w:t>
      </w:r>
      <w:bookmarkEnd w:id="19"/>
    </w:p>
    <w:p w14:paraId="3E6B1E61">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书途智启最耀眼的产品创新之一，是将传统孤立的“图书借阅”升级重塑为成体系的“成长通关规划”。当学生在对话中表达出系统自学诉求（例如跨考、备战科创竞赛或突击新课程）并对推荐结果满意后，只需点击“生成学习路径”，后台的 LearningPathService 会自动将其转化为三阶递进研习蓝图：</w:t>
      </w:r>
    </w:p>
    <w:p w14:paraId="408581D6">
      <w:pPr>
        <w:keepNext w:val="0"/>
        <w:keepLines w:val="0"/>
        <w:pageBreakBefore w:val="0"/>
        <w:widowControl/>
        <w:suppressAutoHyphens/>
        <w:kinsoku/>
        <w:wordWrap/>
        <w:overflowPunct/>
        <w:topLinePunct w:val="0"/>
        <w:autoSpaceDE/>
        <w:autoSpaceDN/>
        <w:bidi w:val="0"/>
        <w:adjustRightInd/>
        <w:snapToGrid/>
        <w:spacing w:before="0" w:after="0" w:line="300" w:lineRule="auto"/>
        <w:jc w:val="both"/>
        <w:textAlignment w:val="auto"/>
        <w:rPr>
          <w:rFonts w:hint="eastAsia" w:ascii="Times New Roman" w:hAnsi="Times New Roman" w:eastAsia="宋体"/>
          <w:b w:val="0"/>
          <w:i w:val="0"/>
          <w:color w:val="000000"/>
          <w:kern w:val="0"/>
          <w:sz w:val="24"/>
          <w:lang w:eastAsia="zh-CN"/>
        </w:rPr>
      </w:pPr>
      <w:r>
        <w:rPr>
          <w:rFonts w:hint="eastAsia" w:ascii="Times New Roman" w:hAnsi="Times New Roman" w:eastAsia="宋体"/>
          <w:b w:val="0"/>
          <w:i w:val="0"/>
          <w:color w:val="000000"/>
          <w:kern w:val="0"/>
          <w:sz w:val="24"/>
          <w:lang w:eastAsia="zh-CN"/>
        </w:rPr>
        <w:drawing>
          <wp:inline distT="0" distB="0" distL="114300" distR="114300">
            <wp:extent cx="5956300" cy="3249295"/>
            <wp:effectExtent l="0" t="0" r="0" b="1905"/>
            <wp:docPr id="14" name="图片 14" descr="Gemini_Generated_Image_nf28alnf28alnf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Gemini_Generated_Image_nf28alnf28alnf28"/>
                    <pic:cNvPicPr>
                      <a:picLocks noChangeAspect="1"/>
                    </pic:cNvPicPr>
                  </pic:nvPicPr>
                  <pic:blipFill>
                    <a:blip r:embed="rId12"/>
                    <a:stretch>
                      <a:fillRect/>
                    </a:stretch>
                  </pic:blipFill>
                  <pic:spPr>
                    <a:xfrm>
                      <a:off x="0" y="0"/>
                      <a:ext cx="5956300" cy="3249295"/>
                    </a:xfrm>
                    <a:prstGeom prst="rect">
                      <a:avLst/>
                    </a:prstGeom>
                  </pic:spPr>
                </pic:pic>
              </a:graphicData>
            </a:graphic>
          </wp:inline>
        </w:drawing>
      </w:r>
    </w:p>
    <w:p w14:paraId="1BC5BEA6">
      <w:pPr>
        <w:keepNext w:val="0"/>
        <w:keepLines w:val="0"/>
        <w:pageBreakBefore w:val="0"/>
        <w:widowControl/>
        <w:kinsoku/>
        <w:wordWrap/>
        <w:overflowPunct/>
        <w:topLinePunct w:val="0"/>
        <w:autoSpaceDE/>
        <w:autoSpaceDN/>
        <w:bidi w:val="0"/>
        <w:adjustRightInd/>
        <w:snapToGrid/>
        <w:spacing w:before="361" w:beforeLines="100" w:after="120" w:line="324" w:lineRule="auto"/>
        <w:ind w:firstLine="420"/>
        <w:jc w:val="center"/>
        <w:textAlignment w:val="auto"/>
        <w:rPr>
          <w:color w:val="auto"/>
        </w:rPr>
      </w:pPr>
      <w:r>
        <w:rPr>
          <w:rFonts w:hint="eastAsia" w:ascii="Times New Roman" w:hAnsi="Times New Roman"/>
          <w:b w:val="0"/>
          <w:i w:val="0"/>
          <w:color w:val="000000"/>
          <w:sz w:val="21"/>
          <w:lang w:val="en-US" w:eastAsia="zh-CN"/>
        </w:rPr>
        <w:t>图5-1三阶段知识通关模型</w:t>
      </w:r>
    </w:p>
    <w:p w14:paraId="61533C52">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系统为学习路径构建了严密的生命周期状态机：草稿状态（DRAFT）→ 激活研读中（ACTIVE）→ 阶段通关（COMPLETED）。学生可随时在界面上将每本书标记为“想读”、“在读”或“已读完”。当某一阶段的所有图书均标记为已读后，系统触发通关庆祝动效，颁发阶段成长勋章，并将该项学术突破自动同步至动态画像记忆资产中，使下一次推荐站在更高的认知起点上。</w:t>
      </w:r>
    </w:p>
    <w:p w14:paraId="0B470B40">
      <w:pPr>
        <w:pStyle w:val="4"/>
        <w:keepNext/>
        <w:widowControl/>
        <w:suppressAutoHyphens/>
        <w:bidi w:val="0"/>
        <w:spacing w:before="180" w:after="120" w:line="360" w:lineRule="auto"/>
        <w:ind w:firstLine="482"/>
        <w:jc w:val="left"/>
        <w:rPr>
          <w:rFonts w:ascii="Times New Roman" w:hAnsi="Times New Roman" w:eastAsia="黑体"/>
          <w:b w:val="0"/>
          <w:bCs/>
          <w:color w:val="000000"/>
          <w:kern w:val="0"/>
          <w:sz w:val="28"/>
        </w:rPr>
      </w:pPr>
      <w:bookmarkStart w:id="20" w:name="_Toc16266"/>
      <w:r>
        <w:rPr>
          <w:rFonts w:ascii="Times New Roman" w:hAnsi="Times New Roman" w:eastAsia="黑体"/>
          <w:b w:val="0"/>
          <w:bCs/>
          <w:color w:val="000000"/>
          <w:kern w:val="0"/>
          <w:sz w:val="28"/>
        </w:rPr>
        <w:t>5.2 动态画像记忆（ProfileMemory）与用户自适应进化</w:t>
      </w:r>
      <w:bookmarkEnd w:id="20"/>
    </w:p>
    <w:p w14:paraId="7DF5D142">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传统的推荐系统往往面临“一次填写画像、数年僵死不变”的固有缺陷。书途智启首创了以 ProfileMemoryService 为核心的长短期自适应记忆架构：</w:t>
      </w:r>
    </w:p>
    <w:p w14:paraId="1D3F7F8F">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隐式交互事实异步抽取：在学生与 AI 馆员的日常自然语言交互中，后台进程异步监听消息流。当学生透露出其最新的学业现状或能力波动（例如：“我们这学期数据结构学得很吃力”、“我打算参加暑期人工智能创新实训”、“我不打算考研了想直接找算法岗实习”），大模型会自动抽取结构化事实事实项（ProfileFact），评估其可信度（置信度 0.0~1.0），并在数据库中沉淀为动态记忆词条。</w:t>
      </w:r>
    </w:p>
    <w:p w14:paraId="40624459">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反馈驱动的自适应难度调节算法：学生在推荐卡片上点击的“太难了（TOO_HARD）”或“太简单了（TOO_EASY）”并非无效日志，而是直接喂入自适应偏好推断器。若历史记录中统计出 TOO_HARD 次数明显超出 TOO_EASY，系统自动将该学生画像中的有效难度偏好动态降级一档；反之则升档。真正实现了“越用越懂你、越用越贴心”的渐进式进化。</w:t>
      </w:r>
    </w:p>
    <w:p w14:paraId="12F4D6F4">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严格的“用户自主权”隐私锁机制：系统始终捍卫学生的数字主体地位。所有由 AI 自动推断出的记忆项，均在“个人中心-动态记忆”面板以清晰标签列出，标明置信度与生成时间戳。学生拥有最高裁决权，可随时进行编辑或单条物理擦除；凡是学生手动明确编辑的画像字段，系统自动加盖“防覆写保护锁”，AI 后续的任何推断均不得强行篡改，达成了科技智能化与人文隐私权的高度平衡。</w:t>
      </w:r>
    </w:p>
    <w:p w14:paraId="2BE2F361">
      <w:pPr>
        <w:pStyle w:val="4"/>
        <w:keepNext/>
        <w:widowControl/>
        <w:suppressAutoHyphens/>
        <w:bidi w:val="0"/>
        <w:spacing w:before="180" w:after="120" w:line="360" w:lineRule="auto"/>
        <w:ind w:firstLine="482"/>
        <w:jc w:val="left"/>
        <w:rPr>
          <w:rFonts w:ascii="Times New Roman" w:hAnsi="Times New Roman" w:eastAsia="黑体"/>
          <w:b w:val="0"/>
          <w:bCs/>
          <w:color w:val="000000"/>
          <w:kern w:val="0"/>
          <w:sz w:val="28"/>
        </w:rPr>
      </w:pPr>
      <w:bookmarkStart w:id="21" w:name="_Toc5973"/>
      <w:r>
        <w:rPr>
          <w:rFonts w:ascii="Times New Roman" w:hAnsi="Times New Roman" w:eastAsia="黑体"/>
          <w:b w:val="0"/>
          <w:bCs/>
          <w:color w:val="000000"/>
          <w:kern w:val="0"/>
          <w:sz w:val="28"/>
        </w:rPr>
        <w:t>5.3 闭环服务：馆藏副本模拟预约与五维匿名评测</w:t>
      </w:r>
      <w:bookmarkEnd w:id="21"/>
    </w:p>
    <w:p w14:paraId="6175CDDE">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为彻底打通线上推荐到线下借阅的“最后一公里”，系统实现了逼真的模拟预约服务（ReservationService）。学生在推荐卡片上选中特定物理藏书后，点击“预约借阅”，系统在数据库中原子性核验该副本状态（必须满足 available 且 lendable），随后锁定该副本并生成预约单，启动默认 72 小时的到期倒计时。整个生命周期配合站内通知服务（NotificationService），在预约成功、即将过期及已过期节点向学生工作台推送桌面通知。系统所有界面严格标注 is_mock=True 声明，既让学生完整体验借还闭环，又杜绝了因未对接校外生产系统产生的误解。</w:t>
      </w:r>
    </w:p>
    <w:p w14:paraId="0815E388">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在每次推荐体验结束后，系统引导学生自愿参与五维匿名评测（EvaluationService）。学生针对“内容相关度、难度适中度、推荐理由说服力、馆藏准确度、整体满意度”进行 1 至 5 星量化打分并选填主观意见。评测数据脱敏后沉淀入库，在管理员后台汇总为实时直方图与均值报表，为算法团队持续调优推荐权重提供了最权威的一手实证依据。</w:t>
      </w:r>
    </w:p>
    <w:p w14:paraId="7A6749AA">
      <w:pPr>
        <w:pStyle w:val="3"/>
        <w:keepNext/>
        <w:widowControl/>
        <w:suppressAutoHyphens/>
        <w:bidi w:val="0"/>
        <w:spacing w:before="0" w:after="120" w:line="360" w:lineRule="auto"/>
        <w:ind w:firstLine="482"/>
        <w:jc w:val="center"/>
        <w:rPr>
          <w:color w:val="auto"/>
        </w:rPr>
      </w:pPr>
      <w:r>
        <w:rPr>
          <w:color w:val="auto"/>
        </w:rPr>
        <w:br w:type="page"/>
      </w:r>
      <w:bookmarkStart w:id="22" w:name="_Toc9260"/>
      <w:r>
        <w:rPr>
          <w:rFonts w:hint="eastAsia" w:ascii="黑体" w:hAnsi="黑体" w:eastAsia="黑体" w:cs="黑体"/>
          <w:b w:val="0"/>
          <w:bCs/>
          <w:color w:val="000000"/>
          <w:kern w:val="0"/>
          <w:sz w:val="30"/>
        </w:rPr>
        <w:t>第六章 图书馆管理运营中台与数据工程流水线</w:t>
      </w:r>
      <w:bookmarkEnd w:id="22"/>
    </w:p>
    <w:p w14:paraId="7351105A">
      <w:pPr>
        <w:pStyle w:val="4"/>
        <w:keepNext/>
        <w:widowControl/>
        <w:suppressAutoHyphens/>
        <w:bidi w:val="0"/>
        <w:spacing w:before="180" w:after="120" w:line="360" w:lineRule="auto"/>
        <w:ind w:firstLine="482"/>
        <w:jc w:val="left"/>
        <w:rPr>
          <w:rFonts w:ascii="Times New Roman" w:hAnsi="Times New Roman" w:eastAsia="黑体"/>
          <w:b w:val="0"/>
          <w:bCs/>
          <w:color w:val="000000"/>
          <w:kern w:val="0"/>
          <w:sz w:val="28"/>
        </w:rPr>
      </w:pPr>
      <w:bookmarkStart w:id="23" w:name="_Toc30514"/>
      <w:r>
        <w:rPr>
          <w:rFonts w:ascii="Times New Roman" w:hAnsi="Times New Roman" w:eastAsia="黑体"/>
          <w:b w:val="0"/>
          <w:bCs/>
          <w:color w:val="000000"/>
          <w:kern w:val="0"/>
          <w:sz w:val="28"/>
        </w:rPr>
        <w:t>6.1 馆藏自动化清洗、校验与标准转换流水线</w:t>
      </w:r>
      <w:bookmarkEnd w:id="23"/>
    </w:p>
    <w:p w14:paraId="30B7C850">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高校图书馆每季度均有成千上万册新编目图书需要入库更新。传统纯手工录入打标不仅耗时费力，且容易因格式不规范引发系统混乱。书途智启打造了工业级的数据清洗流水线（DataCleaningService）：</w:t>
      </w:r>
    </w:p>
    <w:p w14:paraId="3DC66CA1">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1. 强韧的字段容错解析：馆员在后台上传标准或定制的 Excel/CSV 清单后，流水线首先执行多编码自适应解析，自动剥离无意义的控制字符、前后空白符号及非法标点。</w:t>
      </w:r>
    </w:p>
    <w:p w14:paraId="23D8E517">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2. ISBN-10 到 ISBN-13 标准转换与校验：针对历史老旧图书普遍采用 10 位 ISBN 编号的现实痛点，系统内建了国际标准校验算法，自动通过加权模11校验和推算补齐“978”前缀，转化为现代统一的 13 位 ISBN 格式；对于损坏或残缺的非法书号自动标记异常，防止污染索引库。</w:t>
      </w:r>
    </w:p>
    <w:p w14:paraId="3E8F134E">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3. 全文件 SHA-256 指纹去重防误传：系统在上传解析的第一时刻对原始文件计算 SHA-256 唯一指纹，与历史数据版本库交叉比对。若馆员误传同一份文件，系统立即友好拦截提醒，有效防范数据膨胀与重复冗余。</w:t>
      </w:r>
    </w:p>
    <w:p w14:paraId="495595E7">
      <w:pPr>
        <w:pStyle w:val="4"/>
        <w:keepNext/>
        <w:widowControl/>
        <w:suppressAutoHyphens/>
        <w:bidi w:val="0"/>
        <w:spacing w:before="180" w:after="120" w:line="360" w:lineRule="auto"/>
        <w:ind w:firstLine="482"/>
        <w:jc w:val="left"/>
        <w:rPr>
          <w:rFonts w:ascii="Times New Roman" w:hAnsi="Times New Roman" w:eastAsia="黑体"/>
          <w:b w:val="0"/>
          <w:bCs/>
          <w:color w:val="000000"/>
          <w:kern w:val="0"/>
          <w:sz w:val="28"/>
        </w:rPr>
      </w:pPr>
      <w:bookmarkStart w:id="24" w:name="_Toc12022"/>
      <w:r>
        <w:rPr>
          <w:rFonts w:ascii="Times New Roman" w:hAnsi="Times New Roman" w:eastAsia="黑体"/>
          <w:b w:val="0"/>
          <w:bCs/>
          <w:color w:val="000000"/>
          <w:kern w:val="0"/>
          <w:sz w:val="28"/>
        </w:rPr>
        <w:t>6.2 AI 批量标签生成、枚举归一化与人机协同审核工作流</w:t>
      </w:r>
      <w:bookmarkEnd w:id="24"/>
    </w:p>
    <w:p w14:paraId="3B77C089">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经过清洗的书目进入草稿版本（DRAFT）后，馆员可一键启动 AI 智能标引引擎（AITaggingService）。系统以防超频的批处理策略调用大语言模型，深度阅读每本书的标题、作者背景与内容简介，自动化打上四维标准化特征标签：</w:t>
      </w:r>
    </w:p>
    <w:p w14:paraId="112FE012">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核心知识主题（Topic）：提取图书核心阐述的学术方向（如“分布式系统”、“强化学习”、“Vue 3核心原理”）。</w:t>
      </w:r>
    </w:p>
    <w:p w14:paraId="1CB8BED2">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阅读门槛难度（Difficulty）：标定适读难度梯度：入门（beginner）、进阶（intermediate）、高级（advanced）。</w:t>
      </w:r>
    </w:p>
    <w:p w14:paraId="1DD770E4">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适读学习阶段（Learning Stage）：标定其在自学路径中的适宜环节：入门基础、核心骨架、前沿进阶、实战项目。</w:t>
      </w:r>
    </w:p>
    <w:p w14:paraId="74408F08">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内容呈现风格（Content Style）：识别图书的行文叙述特色：理论专著、工程项目、经典题解、案例剖析。</w:t>
      </w:r>
    </w:p>
    <w:p w14:paraId="105E0FB4">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为了解决大语言模型生成结果偶发的词汇散漫问题，系统专门研制了“枚举别名归一化引擎（normalize_tag_value）”。该引擎预置了数百组同义词映射词典（例如自动将“从零单排”、“菜鸟教程”、“初学者友好”规范归一化为“beginner”；将“动手实操”、“源码实战”归一化为“project”）。打标完成后，系统在管理端以色块卡片式呈现，支持馆员一键批量勾选审核通过，亦支持逐条点选微调，完美达成了“机器智能提效90% + 人工审核守门10%”的高效协同闭环。</w:t>
      </w:r>
    </w:p>
    <w:p w14:paraId="6D6644AB">
      <w:pPr>
        <w:pStyle w:val="4"/>
        <w:keepNext/>
        <w:widowControl/>
        <w:suppressAutoHyphens/>
        <w:bidi w:val="0"/>
        <w:spacing w:before="180" w:after="120" w:line="360" w:lineRule="auto"/>
        <w:ind w:firstLine="482"/>
        <w:jc w:val="left"/>
        <w:rPr>
          <w:rFonts w:ascii="Times New Roman" w:hAnsi="Times New Roman" w:eastAsia="黑体"/>
          <w:b w:val="0"/>
          <w:bCs/>
          <w:color w:val="000000"/>
          <w:kern w:val="0"/>
          <w:sz w:val="28"/>
        </w:rPr>
      </w:pPr>
      <w:bookmarkStart w:id="25" w:name="_Toc23767"/>
      <w:r>
        <w:rPr>
          <w:rFonts w:ascii="Times New Roman" w:hAnsi="Times New Roman" w:eastAsia="黑体"/>
          <w:b w:val="0"/>
          <w:bCs/>
          <w:color w:val="000000"/>
          <w:kern w:val="0"/>
          <w:sz w:val="28"/>
        </w:rPr>
        <w:t>6.3 Chroma 向量索引增量构建与毫秒级版本切换</w:t>
      </w:r>
      <w:bookmarkEnd w:id="25"/>
    </w:p>
    <w:p w14:paraId="6212F2A4">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当馆员审核确认全部标签后，点击“发布新版本”，后台异步触发 IndexPipeline 任务：</w:t>
      </w:r>
    </w:p>
    <w:p w14:paraId="5401B030">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t>系统从关系表中分批次提取书目的复合文本（整合书名、副标题、作者、分类、主题标签及简介），调用本地 BAAI/bge-small-zh-v1.5 模型快速推理生成 512 维的稠密语义特征向量，并按版本号（如 v20260401）命名空间写入 Chroma 向量集合。完成向量全量嵌入后，数据库中当前激活版本字段被原子性重置为该新版本，前端推荐服务在毫秒级无感知切换至全新馆藏数据源，实现了图书数据的无缝热发布与平滑演进。</w:t>
      </w:r>
    </w:p>
    <w:p w14:paraId="4B2FB6B4">
      <w:pPr>
        <w:rPr>
          <w:rFonts w:hint="default" w:ascii="Times New Roman" w:hAnsi="Times New Roman" w:eastAsia="宋体"/>
          <w:b w:val="0"/>
          <w:i w:val="0"/>
          <w:color w:val="000000"/>
          <w:kern w:val="0"/>
          <w:sz w:val="24"/>
        </w:rPr>
      </w:pPr>
      <w:r>
        <w:rPr>
          <w:rFonts w:hint="default" w:ascii="Times New Roman" w:hAnsi="Times New Roman" w:eastAsia="宋体"/>
          <w:b w:val="0"/>
          <w:i w:val="0"/>
          <w:color w:val="000000"/>
          <w:kern w:val="0"/>
          <w:sz w:val="24"/>
        </w:rPr>
        <w:br w:type="page"/>
      </w:r>
    </w:p>
    <w:p w14:paraId="1D9E8019">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b w:val="0"/>
          <w:i w:val="0"/>
          <w:color w:val="000000"/>
          <w:kern w:val="0"/>
          <w:sz w:val="24"/>
        </w:rPr>
      </w:pPr>
    </w:p>
    <w:p w14:paraId="0E4EE637">
      <w:pPr>
        <w:pStyle w:val="3"/>
        <w:keepNext/>
        <w:widowControl/>
        <w:suppressAutoHyphens/>
        <w:bidi w:val="0"/>
        <w:spacing w:before="0" w:after="120" w:line="360" w:lineRule="auto"/>
        <w:ind w:firstLine="482"/>
        <w:jc w:val="center"/>
        <w:rPr>
          <w:rFonts w:hint="eastAsia" w:ascii="黑体" w:hAnsi="黑体" w:eastAsia="黑体" w:cs="黑体"/>
          <w:b w:val="0"/>
          <w:bCs/>
          <w:color w:val="000000"/>
          <w:kern w:val="0"/>
          <w:sz w:val="30"/>
        </w:rPr>
      </w:pPr>
      <w:bookmarkStart w:id="26" w:name="_Toc23707"/>
      <w:r>
        <w:rPr>
          <w:rFonts w:hint="eastAsia" w:ascii="黑体" w:hAnsi="黑体" w:eastAsia="黑体" w:cs="黑体"/>
          <w:b w:val="0"/>
          <w:bCs/>
          <w:color w:val="000000"/>
          <w:kern w:val="0"/>
          <w:sz w:val="30"/>
        </w:rPr>
        <w:t>第七章 纵深安全防御体系与全链路容错降级</w:t>
      </w:r>
      <w:bookmarkEnd w:id="26"/>
    </w:p>
    <w:p w14:paraId="042BFA10">
      <w:pPr>
        <w:pStyle w:val="4"/>
        <w:keepNext/>
        <w:widowControl/>
        <w:suppressAutoHyphens/>
        <w:bidi w:val="0"/>
        <w:spacing w:before="180" w:after="120" w:line="360" w:lineRule="auto"/>
        <w:ind w:firstLine="482"/>
        <w:jc w:val="left"/>
        <w:rPr>
          <w:rFonts w:ascii="Times New Roman" w:hAnsi="Times New Roman" w:eastAsia="黑体"/>
          <w:b w:val="0"/>
          <w:bCs/>
          <w:color w:val="000000"/>
          <w:kern w:val="0"/>
          <w:sz w:val="28"/>
        </w:rPr>
      </w:pPr>
      <w:bookmarkStart w:id="27" w:name="_Toc26185"/>
      <w:r>
        <w:rPr>
          <w:rFonts w:ascii="Times New Roman" w:hAnsi="Times New Roman" w:eastAsia="黑体"/>
          <w:b w:val="0"/>
          <w:bCs/>
          <w:color w:val="000000"/>
          <w:kern w:val="0"/>
          <w:sz w:val="28"/>
        </w:rPr>
        <w:t>7.1 生产级多层纵深安全防御体系</w:t>
      </w:r>
      <w:bookmarkEnd w:id="27"/>
    </w:p>
    <w:p w14:paraId="3692EE6D">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i w:val="0"/>
          <w:color w:val="000000"/>
          <w:kern w:val="0"/>
          <w:sz w:val="24"/>
          <w:lang w:eastAsia="zh-CN"/>
        </w:rPr>
      </w:pPr>
      <w:r>
        <w:rPr>
          <w:rFonts w:hint="default" w:ascii="Times New Roman" w:hAnsi="Times New Roman" w:eastAsia="宋体"/>
          <w:b w:val="0"/>
          <w:i w:val="0"/>
          <w:color w:val="000000"/>
          <w:kern w:val="0"/>
          <w:sz w:val="24"/>
        </w:rPr>
        <w:t>高校信息系统对于师生身份数据与网络安全合规具有极高要求。书途智启构建了涵盖密码学、认证授权、网络网关与启动守卫的全维度安全闭环</w:t>
      </w:r>
      <w:r>
        <w:rPr>
          <w:rFonts w:hint="eastAsia" w:ascii="Times New Roman" w:hAnsi="Times New Roman" w:eastAsia="宋体"/>
          <w:b w:val="0"/>
          <w:i w:val="0"/>
          <w:color w:val="000000"/>
          <w:kern w:val="0"/>
          <w:sz w:val="24"/>
          <w:lang w:eastAsia="zh-CN"/>
        </w:rPr>
        <w:t>。</w:t>
      </w:r>
    </w:p>
    <w:p w14:paraId="33719CB4">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i w:val="0"/>
          <w:color w:val="000000"/>
          <w:kern w:val="0"/>
          <w:sz w:val="24"/>
          <w:lang w:eastAsia="zh-CN"/>
        </w:rPr>
      </w:pPr>
      <w:r>
        <w:rPr>
          <w:rFonts w:hint="eastAsia" w:ascii="Times New Roman" w:hAnsi="Times New Roman" w:eastAsia="宋体"/>
          <w:b w:val="0"/>
          <w:i w:val="0"/>
          <w:color w:val="000000"/>
          <w:kern w:val="0"/>
          <w:sz w:val="24"/>
          <w:lang w:eastAsia="zh-CN"/>
        </w:rPr>
        <w:t>在系统整体安全架构与防护机制设计上，书途智启构建了一套涵盖数据存储、身份鉴权、访问控制、流量防护、边界隔离及运行守卫的六重纵深安全防御体系。首先，在密码存储安全层面，系统全面摒弃了存在彩虹表泄露隐患的传统 MD5 与 SHA 系列算法，引入了具备高内存硬化特性的 Argon2id 散列算法，在物理层面有效抵御基于 GPU 与 ASIC 专用硬件芯片的离线字典暴力破解。其次，在认证与令牌安全方面，平台基于 JWT HS256 标准签发无状态数字令牌，统一设置 120 分钟动态有效窗口，并结合强签名自动验签与过期阻断机制，彻底防范网络中间人重放及令牌伪造越权攻击。针对系统访问控制安全，底层采用 RBAC 细粒度双角色隔离模型，在接口与代码层面严密划定学生读者与系统管理员的操作权限边界，杜绝任何越权调用管理网关风险。面对高频网络攻击与自动化脚本滥用，系统部署了滑动窗口并发接口限流守卫，重点针对用户登录、账号注册及大模型推荐等核心入口进行动态频控，有效遏制暴力爆破与恶意拒绝服务（DoS）刷量攻击。在网络跨域边界防御上，系统在生产环境中坚决禁用通配符跨域，严格推行 CORS 受信任域名与校园网 IP 审查白名单机制，全面封堵跨站请求伪造与非法数据嗅探通路。最后，在服务运行安全守卫方面，系统集成了基于 Pydantic 的生产环境强固自检守卫，在后端启动瞬间强制自检核心敏感配置，一旦识别到 JWT 沿用测试默认密钥或数据库密码包含弱占位符等安全隐患，将立即强制熔断启动流程并触发高警报，真正实现了从系统引导阶段到全链路运行闭环的生产级安全保障。</w:t>
      </w:r>
    </w:p>
    <w:tbl>
      <w:tblPr>
        <w:tblStyle w:val="35"/>
        <w:tblW w:w="0" w:type="auto"/>
        <w:jc w:val="center"/>
        <w:tblBorders>
          <w:top w:val="single" w:color="1A365D" w:sz="12" w:space="0"/>
          <w:left w:val="none" w:color="auto" w:sz="0" w:space="0"/>
          <w:bottom w:val="single" w:color="1A365D" w:sz="12" w:space="0"/>
          <w:right w:val="none" w:color="auto" w:sz="0" w:space="0"/>
          <w:insideH w:val="single" w:color="CBD5E1" w:sz="4" w:space="0"/>
          <w:insideV w:val="none" w:color="auto" w:sz="0" w:space="0"/>
        </w:tblBorders>
        <w:tblLayout w:type="autofit"/>
        <w:tblCellMar>
          <w:top w:w="0" w:type="dxa"/>
          <w:left w:w="108" w:type="dxa"/>
          <w:bottom w:w="0" w:type="dxa"/>
          <w:right w:w="108" w:type="dxa"/>
        </w:tblCellMar>
      </w:tblPr>
      <w:tblGrid>
        <w:gridCol w:w="1701"/>
        <w:gridCol w:w="2551"/>
        <w:gridCol w:w="4535"/>
      </w:tblGrid>
      <w:tr w14:paraId="296426CE">
        <w:tblPrEx>
          <w:tblBorders>
            <w:top w:val="single" w:color="1A365D" w:sz="12" w:space="0"/>
            <w:left w:val="none" w:color="auto" w:sz="0" w:space="0"/>
            <w:bottom w:val="single" w:color="1A365D" w:sz="12"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1701" w:type="dxa"/>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389A5BEA">
            <w:pPr>
              <w:spacing w:before="100" w:after="100"/>
              <w:jc w:val="center"/>
              <w:rPr>
                <w:color w:val="auto"/>
                <w:sz w:val="21"/>
                <w:szCs w:val="21"/>
              </w:rPr>
            </w:pPr>
            <w:r>
              <w:rPr>
                <w:rFonts w:ascii="黑体" w:hAnsi="黑体" w:eastAsia="黑体"/>
                <w:b/>
                <w:i w:val="0"/>
                <w:color w:val="auto"/>
                <w:sz w:val="21"/>
                <w:szCs w:val="21"/>
              </w:rPr>
              <w:t>安全防御层级</w:t>
            </w:r>
          </w:p>
        </w:tc>
        <w:tc>
          <w:tcPr>
            <w:tcW w:w="2551" w:type="dxa"/>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1508A742">
            <w:pPr>
              <w:spacing w:before="100" w:after="100"/>
              <w:jc w:val="center"/>
              <w:rPr>
                <w:color w:val="auto"/>
                <w:sz w:val="21"/>
                <w:szCs w:val="21"/>
              </w:rPr>
            </w:pPr>
            <w:r>
              <w:rPr>
                <w:rFonts w:ascii="黑体" w:hAnsi="黑体" w:eastAsia="黑体"/>
                <w:b/>
                <w:i w:val="0"/>
                <w:color w:val="auto"/>
                <w:sz w:val="21"/>
                <w:szCs w:val="21"/>
              </w:rPr>
              <w:t>核心防护技术 / 规范</w:t>
            </w:r>
          </w:p>
        </w:tc>
        <w:tc>
          <w:tcPr>
            <w:tcW w:w="4535" w:type="dxa"/>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1B5F38B8">
            <w:pPr>
              <w:spacing w:before="100" w:after="100"/>
              <w:jc w:val="center"/>
              <w:rPr>
                <w:color w:val="auto"/>
                <w:sz w:val="21"/>
                <w:szCs w:val="21"/>
              </w:rPr>
            </w:pPr>
            <w:r>
              <w:rPr>
                <w:rFonts w:ascii="黑体" w:hAnsi="黑体" w:eastAsia="黑体"/>
                <w:b/>
                <w:i w:val="0"/>
                <w:color w:val="auto"/>
                <w:sz w:val="21"/>
                <w:szCs w:val="21"/>
              </w:rPr>
              <w:t>安全防御能力与阻断风险</w:t>
            </w:r>
          </w:p>
        </w:tc>
      </w:tr>
      <w:tr w14:paraId="5EE14EF8">
        <w:tblPrEx>
          <w:tblBorders>
            <w:top w:val="single" w:color="1A365D" w:sz="12" w:space="0"/>
            <w:left w:val="none" w:color="auto" w:sz="0" w:space="0"/>
            <w:bottom w:val="single" w:color="1A365D" w:sz="12"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1701" w:type="dxa"/>
            <w:tcBorders>
              <w:top w:val="single" w:color="auto" w:sz="4" w:space="0"/>
              <w:left w:val="single" w:color="auto" w:sz="4" w:space="0"/>
              <w:bottom w:val="single" w:color="auto" w:sz="4" w:space="0"/>
              <w:right w:val="single" w:color="auto" w:sz="4" w:space="0"/>
            </w:tcBorders>
            <w:shd w:val="clear" w:color="auto" w:fill="FFFFFF"/>
            <w:vAlign w:val="center"/>
          </w:tcPr>
          <w:p w14:paraId="1C99F910">
            <w:pPr>
              <w:spacing w:before="80" w:after="80" w:line="276" w:lineRule="auto"/>
              <w:rPr>
                <w:color w:val="auto"/>
                <w:sz w:val="21"/>
                <w:szCs w:val="21"/>
              </w:rPr>
            </w:pPr>
            <w:r>
              <w:rPr>
                <w:rFonts w:ascii="宋体" w:hAnsi="宋体" w:eastAsia="宋体"/>
                <w:b/>
                <w:i w:val="0"/>
                <w:color w:val="auto"/>
                <w:sz w:val="21"/>
                <w:szCs w:val="21"/>
              </w:rPr>
              <w:t>密码存储安全</w:t>
            </w:r>
          </w:p>
        </w:tc>
        <w:tc>
          <w:tcPr>
            <w:tcW w:w="2551" w:type="dxa"/>
            <w:tcBorders>
              <w:top w:val="single" w:color="auto" w:sz="4" w:space="0"/>
              <w:left w:val="single" w:color="auto" w:sz="4" w:space="0"/>
              <w:bottom w:val="single" w:color="auto" w:sz="4" w:space="0"/>
              <w:right w:val="single" w:color="auto" w:sz="4" w:space="0"/>
            </w:tcBorders>
            <w:shd w:val="clear" w:color="auto" w:fill="FFFFFF"/>
            <w:vAlign w:val="center"/>
          </w:tcPr>
          <w:p w14:paraId="0A7D0756">
            <w:pPr>
              <w:spacing w:before="80" w:after="80" w:line="276" w:lineRule="auto"/>
              <w:rPr>
                <w:color w:val="auto"/>
                <w:sz w:val="21"/>
                <w:szCs w:val="21"/>
              </w:rPr>
            </w:pPr>
            <w:r>
              <w:rPr>
                <w:rFonts w:ascii="宋体" w:hAnsi="宋体" w:eastAsia="宋体"/>
                <w:b w:val="0"/>
                <w:i w:val="0"/>
                <w:color w:val="auto"/>
                <w:sz w:val="21"/>
                <w:szCs w:val="21"/>
              </w:rPr>
              <w:t>Argon2id (高内存成本散列)</w:t>
            </w:r>
          </w:p>
        </w:tc>
        <w:tc>
          <w:tcPr>
            <w:tcW w:w="4535" w:type="dxa"/>
            <w:tcBorders>
              <w:top w:val="single" w:color="auto" w:sz="4" w:space="0"/>
              <w:left w:val="single" w:color="auto" w:sz="4" w:space="0"/>
              <w:bottom w:val="single" w:color="auto" w:sz="4" w:space="0"/>
              <w:right w:val="single" w:color="auto" w:sz="4" w:space="0"/>
            </w:tcBorders>
            <w:shd w:val="clear" w:color="auto" w:fill="FFFFFF"/>
            <w:vAlign w:val="center"/>
          </w:tcPr>
          <w:p w14:paraId="38E687C6">
            <w:pPr>
              <w:spacing w:before="80" w:after="80" w:line="276" w:lineRule="auto"/>
              <w:rPr>
                <w:color w:val="auto"/>
                <w:sz w:val="21"/>
                <w:szCs w:val="21"/>
              </w:rPr>
            </w:pPr>
            <w:r>
              <w:rPr>
                <w:rFonts w:ascii="宋体" w:hAnsi="宋体" w:eastAsia="宋体"/>
                <w:b w:val="0"/>
                <w:i w:val="0"/>
                <w:color w:val="auto"/>
                <w:sz w:val="21"/>
                <w:szCs w:val="21"/>
              </w:rPr>
              <w:t>杜绝 MD5/SHA 泄露隐患，具备极强的抗 GPU/ASIC 专用芯片离线暴力破解能力</w:t>
            </w:r>
          </w:p>
        </w:tc>
      </w:tr>
      <w:tr w14:paraId="654A5088">
        <w:tblPrEx>
          <w:tblBorders>
            <w:top w:val="single" w:color="1A365D" w:sz="12" w:space="0"/>
            <w:left w:val="none" w:color="auto" w:sz="0" w:space="0"/>
            <w:bottom w:val="single" w:color="1A365D" w:sz="12"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1701" w:type="dxa"/>
            <w:tcBorders>
              <w:top w:val="single" w:color="auto" w:sz="4" w:space="0"/>
              <w:left w:val="single" w:color="auto" w:sz="4" w:space="0"/>
              <w:bottom w:val="single" w:color="auto" w:sz="4" w:space="0"/>
              <w:right w:val="single" w:color="auto" w:sz="4" w:space="0"/>
            </w:tcBorders>
            <w:shd w:val="clear" w:color="auto" w:fill="F8FAFC"/>
            <w:vAlign w:val="center"/>
          </w:tcPr>
          <w:p w14:paraId="6F413769">
            <w:pPr>
              <w:spacing w:before="80" w:after="80" w:line="276" w:lineRule="auto"/>
              <w:rPr>
                <w:color w:val="auto"/>
                <w:sz w:val="21"/>
                <w:szCs w:val="21"/>
              </w:rPr>
            </w:pPr>
            <w:r>
              <w:rPr>
                <w:rFonts w:ascii="宋体" w:hAnsi="宋体" w:eastAsia="宋体"/>
                <w:b/>
                <w:i w:val="0"/>
                <w:color w:val="auto"/>
                <w:sz w:val="21"/>
                <w:szCs w:val="21"/>
              </w:rPr>
              <w:t>认证与令牌安全</w:t>
            </w:r>
          </w:p>
        </w:tc>
        <w:tc>
          <w:tcPr>
            <w:tcW w:w="2551" w:type="dxa"/>
            <w:tcBorders>
              <w:top w:val="single" w:color="auto" w:sz="4" w:space="0"/>
              <w:left w:val="single" w:color="auto" w:sz="4" w:space="0"/>
              <w:bottom w:val="single" w:color="auto" w:sz="4" w:space="0"/>
              <w:right w:val="single" w:color="auto" w:sz="4" w:space="0"/>
            </w:tcBorders>
            <w:shd w:val="clear" w:color="auto" w:fill="F8FAFC"/>
            <w:vAlign w:val="center"/>
          </w:tcPr>
          <w:p w14:paraId="65366FB7">
            <w:pPr>
              <w:spacing w:before="80" w:after="80" w:line="276" w:lineRule="auto"/>
              <w:rPr>
                <w:color w:val="auto"/>
                <w:sz w:val="21"/>
                <w:szCs w:val="21"/>
              </w:rPr>
            </w:pPr>
            <w:r>
              <w:rPr>
                <w:rFonts w:ascii="宋体" w:hAnsi="宋体" w:eastAsia="宋体"/>
                <w:b w:val="0"/>
                <w:i w:val="0"/>
                <w:color w:val="auto"/>
                <w:sz w:val="21"/>
                <w:szCs w:val="21"/>
              </w:rPr>
              <w:t>JWT HS256 (120分钟有效)</w:t>
            </w:r>
          </w:p>
        </w:tc>
        <w:tc>
          <w:tcPr>
            <w:tcW w:w="4535" w:type="dxa"/>
            <w:tcBorders>
              <w:top w:val="single" w:color="auto" w:sz="4" w:space="0"/>
              <w:left w:val="single" w:color="auto" w:sz="4" w:space="0"/>
              <w:bottom w:val="single" w:color="auto" w:sz="4" w:space="0"/>
              <w:right w:val="single" w:color="auto" w:sz="4" w:space="0"/>
            </w:tcBorders>
            <w:shd w:val="clear" w:color="auto" w:fill="F8FAFC"/>
            <w:vAlign w:val="center"/>
          </w:tcPr>
          <w:p w14:paraId="48ACB238">
            <w:pPr>
              <w:spacing w:before="80" w:after="80" w:line="276" w:lineRule="auto"/>
              <w:rPr>
                <w:color w:val="auto"/>
                <w:sz w:val="21"/>
                <w:szCs w:val="21"/>
              </w:rPr>
            </w:pPr>
            <w:r>
              <w:rPr>
                <w:rFonts w:ascii="宋体" w:hAnsi="宋体" w:eastAsia="宋体"/>
                <w:b w:val="0"/>
                <w:i w:val="0"/>
                <w:color w:val="auto"/>
                <w:sz w:val="21"/>
                <w:szCs w:val="21"/>
              </w:rPr>
              <w:t>采用无状态签名令牌，内置过期机制与签名校验，防范重放与伪造攻击</w:t>
            </w:r>
          </w:p>
        </w:tc>
      </w:tr>
      <w:tr w14:paraId="2272E5F6">
        <w:tblPrEx>
          <w:tblBorders>
            <w:top w:val="single" w:color="1A365D" w:sz="12" w:space="0"/>
            <w:left w:val="none" w:color="auto" w:sz="0" w:space="0"/>
            <w:bottom w:val="single" w:color="1A365D" w:sz="12"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1701" w:type="dxa"/>
            <w:tcBorders>
              <w:top w:val="single" w:color="auto" w:sz="4" w:space="0"/>
              <w:left w:val="single" w:color="auto" w:sz="4" w:space="0"/>
              <w:bottom w:val="single" w:color="auto" w:sz="4" w:space="0"/>
              <w:right w:val="single" w:color="auto" w:sz="4" w:space="0"/>
            </w:tcBorders>
            <w:shd w:val="clear" w:color="auto" w:fill="FFFFFF"/>
            <w:vAlign w:val="center"/>
          </w:tcPr>
          <w:p w14:paraId="22D3FFF3">
            <w:pPr>
              <w:spacing w:before="80" w:after="80" w:line="276" w:lineRule="auto"/>
              <w:rPr>
                <w:color w:val="auto"/>
                <w:sz w:val="21"/>
                <w:szCs w:val="21"/>
              </w:rPr>
            </w:pPr>
            <w:r>
              <w:rPr>
                <w:rFonts w:ascii="宋体" w:hAnsi="宋体" w:eastAsia="宋体"/>
                <w:b/>
                <w:i w:val="0"/>
                <w:color w:val="auto"/>
                <w:sz w:val="21"/>
                <w:szCs w:val="21"/>
              </w:rPr>
              <w:t>访问控制安全</w:t>
            </w:r>
          </w:p>
        </w:tc>
        <w:tc>
          <w:tcPr>
            <w:tcW w:w="2551" w:type="dxa"/>
            <w:tcBorders>
              <w:top w:val="single" w:color="auto" w:sz="4" w:space="0"/>
              <w:left w:val="single" w:color="auto" w:sz="4" w:space="0"/>
              <w:bottom w:val="single" w:color="auto" w:sz="4" w:space="0"/>
              <w:right w:val="single" w:color="auto" w:sz="4" w:space="0"/>
            </w:tcBorders>
            <w:shd w:val="clear" w:color="auto" w:fill="FFFFFF"/>
            <w:vAlign w:val="center"/>
          </w:tcPr>
          <w:p w14:paraId="66D7A7B3">
            <w:pPr>
              <w:spacing w:before="80" w:after="80" w:line="276" w:lineRule="auto"/>
              <w:rPr>
                <w:color w:val="auto"/>
                <w:sz w:val="21"/>
                <w:szCs w:val="21"/>
              </w:rPr>
            </w:pPr>
            <w:r>
              <w:rPr>
                <w:rFonts w:ascii="宋体" w:hAnsi="宋体" w:eastAsia="宋体"/>
                <w:b w:val="0"/>
                <w:i w:val="0"/>
                <w:color w:val="auto"/>
                <w:sz w:val="21"/>
                <w:szCs w:val="21"/>
              </w:rPr>
              <w:t>RBAC 细粒度双角色隔离</w:t>
            </w:r>
          </w:p>
        </w:tc>
        <w:tc>
          <w:tcPr>
            <w:tcW w:w="4535" w:type="dxa"/>
            <w:tcBorders>
              <w:top w:val="single" w:color="auto" w:sz="4" w:space="0"/>
              <w:left w:val="single" w:color="auto" w:sz="4" w:space="0"/>
              <w:bottom w:val="single" w:color="auto" w:sz="4" w:space="0"/>
              <w:right w:val="single" w:color="auto" w:sz="4" w:space="0"/>
            </w:tcBorders>
            <w:shd w:val="clear" w:color="auto" w:fill="FFFFFF"/>
            <w:vAlign w:val="center"/>
          </w:tcPr>
          <w:p w14:paraId="294C5314">
            <w:pPr>
              <w:spacing w:before="80" w:after="80" w:line="276" w:lineRule="auto"/>
              <w:rPr>
                <w:color w:val="auto"/>
                <w:sz w:val="21"/>
                <w:szCs w:val="21"/>
              </w:rPr>
            </w:pPr>
            <w:r>
              <w:rPr>
                <w:rFonts w:ascii="宋体" w:hAnsi="宋体" w:eastAsia="宋体"/>
                <w:b w:val="0"/>
                <w:i w:val="0"/>
                <w:color w:val="auto"/>
                <w:sz w:val="21"/>
                <w:szCs w:val="21"/>
              </w:rPr>
              <w:t>代码层面严格区分 Student 与 Admin 角色，非管理接口严禁越权访问管理网关</w:t>
            </w:r>
          </w:p>
        </w:tc>
      </w:tr>
      <w:tr w14:paraId="3528D3CE">
        <w:tblPrEx>
          <w:tblBorders>
            <w:top w:val="single" w:color="1A365D" w:sz="12" w:space="0"/>
            <w:left w:val="none" w:color="auto" w:sz="0" w:space="0"/>
            <w:bottom w:val="single" w:color="1A365D" w:sz="12"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1701" w:type="dxa"/>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4F5A44A3">
            <w:pPr>
              <w:spacing w:before="100" w:after="100"/>
              <w:jc w:val="center"/>
              <w:rPr>
                <w:rFonts w:ascii="宋体" w:hAnsi="宋体" w:eastAsia="宋体"/>
                <w:b/>
                <w:i w:val="0"/>
                <w:color w:val="auto"/>
                <w:sz w:val="21"/>
                <w:szCs w:val="21"/>
              </w:rPr>
            </w:pPr>
            <w:r>
              <w:rPr>
                <w:rFonts w:ascii="黑体" w:hAnsi="黑体" w:eastAsia="黑体"/>
                <w:b/>
                <w:i w:val="0"/>
                <w:color w:val="auto"/>
                <w:sz w:val="21"/>
                <w:szCs w:val="21"/>
              </w:rPr>
              <w:t>安全防御层级</w:t>
            </w:r>
          </w:p>
        </w:tc>
        <w:tc>
          <w:tcPr>
            <w:tcW w:w="2551" w:type="dxa"/>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43CBDC67">
            <w:pPr>
              <w:spacing w:before="100" w:after="100"/>
              <w:jc w:val="center"/>
              <w:rPr>
                <w:rFonts w:ascii="宋体" w:hAnsi="宋体" w:eastAsia="宋体"/>
                <w:b w:val="0"/>
                <w:i w:val="0"/>
                <w:color w:val="auto"/>
                <w:sz w:val="21"/>
                <w:szCs w:val="21"/>
              </w:rPr>
            </w:pPr>
            <w:r>
              <w:rPr>
                <w:rFonts w:ascii="黑体" w:hAnsi="黑体" w:eastAsia="黑体"/>
                <w:b/>
                <w:i w:val="0"/>
                <w:color w:val="auto"/>
                <w:sz w:val="21"/>
                <w:szCs w:val="21"/>
              </w:rPr>
              <w:t>核心防护技术 / 规范</w:t>
            </w:r>
          </w:p>
        </w:tc>
        <w:tc>
          <w:tcPr>
            <w:tcW w:w="4535" w:type="dxa"/>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7D5803EB">
            <w:pPr>
              <w:spacing w:before="100" w:after="100"/>
              <w:jc w:val="center"/>
              <w:rPr>
                <w:rFonts w:ascii="宋体" w:hAnsi="宋体" w:eastAsia="宋体"/>
                <w:b w:val="0"/>
                <w:i w:val="0"/>
                <w:color w:val="auto"/>
                <w:sz w:val="21"/>
                <w:szCs w:val="21"/>
              </w:rPr>
            </w:pPr>
            <w:r>
              <w:rPr>
                <w:rFonts w:ascii="黑体" w:hAnsi="黑体" w:eastAsia="黑体"/>
                <w:b/>
                <w:i w:val="0"/>
                <w:color w:val="auto"/>
                <w:sz w:val="21"/>
                <w:szCs w:val="21"/>
              </w:rPr>
              <w:t>安全防御能力与阻断风险</w:t>
            </w:r>
          </w:p>
        </w:tc>
      </w:tr>
      <w:tr w14:paraId="32AF6E41">
        <w:tblPrEx>
          <w:tblBorders>
            <w:top w:val="single" w:color="1A365D" w:sz="12" w:space="0"/>
            <w:left w:val="none" w:color="auto" w:sz="0" w:space="0"/>
            <w:bottom w:val="single" w:color="1A365D" w:sz="12"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1701" w:type="dxa"/>
            <w:tcBorders>
              <w:top w:val="single" w:color="auto" w:sz="4" w:space="0"/>
              <w:left w:val="single" w:color="auto" w:sz="4" w:space="0"/>
              <w:bottom w:val="single" w:color="auto" w:sz="4" w:space="0"/>
              <w:right w:val="single" w:color="auto" w:sz="4" w:space="0"/>
            </w:tcBorders>
            <w:shd w:val="clear" w:color="auto" w:fill="F8FAFC"/>
            <w:vAlign w:val="center"/>
          </w:tcPr>
          <w:p w14:paraId="56542696">
            <w:pPr>
              <w:spacing w:before="80" w:after="80" w:line="276" w:lineRule="auto"/>
              <w:rPr>
                <w:color w:val="auto"/>
                <w:sz w:val="21"/>
                <w:szCs w:val="21"/>
              </w:rPr>
            </w:pPr>
            <w:r>
              <w:rPr>
                <w:rFonts w:ascii="宋体" w:hAnsi="宋体" w:eastAsia="宋体"/>
                <w:b/>
                <w:i w:val="0"/>
                <w:color w:val="auto"/>
                <w:sz w:val="21"/>
                <w:szCs w:val="21"/>
              </w:rPr>
              <w:t>防暴力爆破与DOS</w:t>
            </w:r>
          </w:p>
        </w:tc>
        <w:tc>
          <w:tcPr>
            <w:tcW w:w="2551" w:type="dxa"/>
            <w:tcBorders>
              <w:top w:val="single" w:color="auto" w:sz="4" w:space="0"/>
              <w:left w:val="single" w:color="auto" w:sz="4" w:space="0"/>
              <w:bottom w:val="single" w:color="auto" w:sz="4" w:space="0"/>
              <w:right w:val="single" w:color="auto" w:sz="4" w:space="0"/>
            </w:tcBorders>
            <w:shd w:val="clear" w:color="auto" w:fill="F8FAFC"/>
            <w:vAlign w:val="center"/>
          </w:tcPr>
          <w:p w14:paraId="6E26E6F9">
            <w:pPr>
              <w:spacing w:before="80" w:after="80" w:line="276" w:lineRule="auto"/>
              <w:rPr>
                <w:color w:val="auto"/>
                <w:sz w:val="21"/>
                <w:szCs w:val="21"/>
              </w:rPr>
            </w:pPr>
            <w:r>
              <w:rPr>
                <w:rFonts w:ascii="宋体" w:hAnsi="宋体" w:eastAsia="宋体"/>
                <w:b w:val="0"/>
                <w:i w:val="0"/>
                <w:color w:val="auto"/>
                <w:sz w:val="21"/>
                <w:szCs w:val="21"/>
              </w:rPr>
              <w:t>滑动窗口并发接口限流</w:t>
            </w:r>
          </w:p>
        </w:tc>
        <w:tc>
          <w:tcPr>
            <w:tcW w:w="4535" w:type="dxa"/>
            <w:tcBorders>
              <w:top w:val="single" w:color="auto" w:sz="4" w:space="0"/>
              <w:left w:val="single" w:color="auto" w:sz="4" w:space="0"/>
              <w:bottom w:val="single" w:color="auto" w:sz="4" w:space="0"/>
              <w:right w:val="single" w:color="auto" w:sz="4" w:space="0"/>
            </w:tcBorders>
            <w:shd w:val="clear" w:color="auto" w:fill="F8FAFC"/>
            <w:vAlign w:val="center"/>
          </w:tcPr>
          <w:p w14:paraId="53437792">
            <w:pPr>
              <w:spacing w:before="80" w:after="80" w:line="276" w:lineRule="auto"/>
              <w:rPr>
                <w:color w:val="auto"/>
                <w:sz w:val="21"/>
                <w:szCs w:val="21"/>
              </w:rPr>
            </w:pPr>
            <w:r>
              <w:rPr>
                <w:rFonts w:ascii="宋体" w:hAnsi="宋体" w:eastAsia="宋体"/>
                <w:b w:val="0"/>
                <w:i w:val="0"/>
                <w:color w:val="auto"/>
                <w:sz w:val="21"/>
                <w:szCs w:val="21"/>
              </w:rPr>
              <w:t>针对登录、注册与 AI 推荐高频接口布设限流守卫，防范脚本暴力刷量</w:t>
            </w:r>
          </w:p>
        </w:tc>
      </w:tr>
      <w:tr w14:paraId="36E1835E">
        <w:tblPrEx>
          <w:tblBorders>
            <w:top w:val="single" w:color="1A365D" w:sz="12" w:space="0"/>
            <w:left w:val="none" w:color="auto" w:sz="0" w:space="0"/>
            <w:bottom w:val="single" w:color="1A365D" w:sz="12"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1701" w:type="dxa"/>
            <w:tcBorders>
              <w:top w:val="single" w:color="auto" w:sz="4" w:space="0"/>
              <w:left w:val="single" w:color="auto" w:sz="4" w:space="0"/>
              <w:bottom w:val="single" w:color="auto" w:sz="4" w:space="0"/>
              <w:right w:val="single" w:color="auto" w:sz="4" w:space="0"/>
            </w:tcBorders>
            <w:shd w:val="clear" w:color="auto" w:fill="FFFFFF"/>
            <w:vAlign w:val="center"/>
          </w:tcPr>
          <w:p w14:paraId="67B79924">
            <w:pPr>
              <w:spacing w:before="80" w:after="80" w:line="276" w:lineRule="auto"/>
              <w:rPr>
                <w:color w:val="auto"/>
                <w:sz w:val="21"/>
                <w:szCs w:val="21"/>
              </w:rPr>
            </w:pPr>
            <w:r>
              <w:rPr>
                <w:rFonts w:ascii="宋体" w:hAnsi="宋体" w:eastAsia="宋体"/>
                <w:b/>
                <w:i w:val="0"/>
                <w:color w:val="auto"/>
                <w:sz w:val="21"/>
                <w:szCs w:val="21"/>
              </w:rPr>
              <w:t>跨域安全防御</w:t>
            </w:r>
          </w:p>
        </w:tc>
        <w:tc>
          <w:tcPr>
            <w:tcW w:w="2551" w:type="dxa"/>
            <w:tcBorders>
              <w:top w:val="single" w:color="auto" w:sz="4" w:space="0"/>
              <w:left w:val="single" w:color="auto" w:sz="4" w:space="0"/>
              <w:bottom w:val="single" w:color="auto" w:sz="4" w:space="0"/>
              <w:right w:val="single" w:color="auto" w:sz="4" w:space="0"/>
            </w:tcBorders>
            <w:shd w:val="clear" w:color="auto" w:fill="FFFFFF"/>
            <w:vAlign w:val="center"/>
          </w:tcPr>
          <w:p w14:paraId="3912C468">
            <w:pPr>
              <w:spacing w:before="80" w:after="80" w:line="276" w:lineRule="auto"/>
              <w:rPr>
                <w:color w:val="auto"/>
                <w:sz w:val="21"/>
                <w:szCs w:val="21"/>
              </w:rPr>
            </w:pPr>
            <w:r>
              <w:rPr>
                <w:rFonts w:ascii="宋体" w:hAnsi="宋体" w:eastAsia="宋体"/>
                <w:b w:val="0"/>
                <w:i w:val="0"/>
                <w:color w:val="auto"/>
                <w:sz w:val="21"/>
                <w:szCs w:val="21"/>
              </w:rPr>
              <w:t>CORS 严格白名单机制</w:t>
            </w:r>
          </w:p>
        </w:tc>
        <w:tc>
          <w:tcPr>
            <w:tcW w:w="4535" w:type="dxa"/>
            <w:tcBorders>
              <w:top w:val="single" w:color="auto" w:sz="4" w:space="0"/>
              <w:left w:val="single" w:color="auto" w:sz="4" w:space="0"/>
              <w:bottom w:val="single" w:color="auto" w:sz="4" w:space="0"/>
              <w:right w:val="single" w:color="auto" w:sz="4" w:space="0"/>
            </w:tcBorders>
            <w:shd w:val="clear" w:color="auto" w:fill="FFFFFF"/>
            <w:vAlign w:val="center"/>
          </w:tcPr>
          <w:p w14:paraId="1F070470">
            <w:pPr>
              <w:spacing w:before="80" w:after="80" w:line="276" w:lineRule="auto"/>
              <w:rPr>
                <w:color w:val="auto"/>
                <w:sz w:val="21"/>
                <w:szCs w:val="21"/>
              </w:rPr>
            </w:pPr>
            <w:r>
              <w:rPr>
                <w:rFonts w:ascii="宋体" w:hAnsi="宋体" w:eastAsia="宋体"/>
                <w:b w:val="0"/>
                <w:i w:val="0"/>
                <w:color w:val="auto"/>
                <w:sz w:val="21"/>
                <w:szCs w:val="21"/>
              </w:rPr>
              <w:t>生产环境禁止通配符“*”，仅放行经过审查的受信任校园网域名与 IP</w:t>
            </w:r>
          </w:p>
        </w:tc>
      </w:tr>
      <w:tr w14:paraId="3F4D71AC">
        <w:tblPrEx>
          <w:tblBorders>
            <w:top w:val="single" w:color="1A365D" w:sz="12" w:space="0"/>
            <w:left w:val="none" w:color="auto" w:sz="0" w:space="0"/>
            <w:bottom w:val="single" w:color="1A365D" w:sz="12"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1701" w:type="dxa"/>
            <w:tcBorders>
              <w:top w:val="single" w:color="auto" w:sz="4" w:space="0"/>
              <w:left w:val="single" w:color="auto" w:sz="4" w:space="0"/>
              <w:bottom w:val="single" w:color="auto" w:sz="4" w:space="0"/>
              <w:right w:val="single" w:color="auto" w:sz="4" w:space="0"/>
            </w:tcBorders>
            <w:shd w:val="clear" w:color="auto" w:fill="F8FAFC"/>
            <w:vAlign w:val="center"/>
          </w:tcPr>
          <w:p w14:paraId="76121F3E">
            <w:pPr>
              <w:spacing w:before="80" w:after="80" w:line="276" w:lineRule="auto"/>
              <w:rPr>
                <w:color w:val="auto"/>
                <w:sz w:val="21"/>
                <w:szCs w:val="21"/>
              </w:rPr>
            </w:pPr>
            <w:r>
              <w:rPr>
                <w:rFonts w:ascii="宋体" w:hAnsi="宋体" w:eastAsia="宋体"/>
                <w:b/>
                <w:i w:val="0"/>
                <w:color w:val="auto"/>
                <w:sz w:val="21"/>
                <w:szCs w:val="21"/>
              </w:rPr>
              <w:t>生产启动强固守卫</w:t>
            </w:r>
          </w:p>
        </w:tc>
        <w:tc>
          <w:tcPr>
            <w:tcW w:w="2551" w:type="dxa"/>
            <w:tcBorders>
              <w:top w:val="single" w:color="auto" w:sz="4" w:space="0"/>
              <w:left w:val="single" w:color="auto" w:sz="4" w:space="0"/>
              <w:bottom w:val="single" w:color="auto" w:sz="4" w:space="0"/>
              <w:right w:val="single" w:color="auto" w:sz="4" w:space="0"/>
            </w:tcBorders>
            <w:shd w:val="clear" w:color="auto" w:fill="F8FAFC"/>
            <w:vAlign w:val="center"/>
          </w:tcPr>
          <w:p w14:paraId="3D8AF605">
            <w:pPr>
              <w:spacing w:before="80" w:after="80" w:line="276" w:lineRule="auto"/>
              <w:rPr>
                <w:color w:val="auto"/>
                <w:sz w:val="21"/>
                <w:szCs w:val="21"/>
              </w:rPr>
            </w:pPr>
            <w:r>
              <w:rPr>
                <w:rFonts w:ascii="宋体" w:hAnsi="宋体" w:eastAsia="宋体"/>
                <w:b w:val="0"/>
                <w:i w:val="0"/>
                <w:color w:val="auto"/>
                <w:sz w:val="21"/>
                <w:szCs w:val="21"/>
              </w:rPr>
              <w:t>Pydantic 生产环境强制校验</w:t>
            </w:r>
          </w:p>
        </w:tc>
        <w:tc>
          <w:tcPr>
            <w:tcW w:w="4535" w:type="dxa"/>
            <w:tcBorders>
              <w:top w:val="single" w:color="auto" w:sz="4" w:space="0"/>
              <w:left w:val="single" w:color="auto" w:sz="4" w:space="0"/>
              <w:bottom w:val="single" w:color="auto" w:sz="4" w:space="0"/>
              <w:right w:val="single" w:color="auto" w:sz="4" w:space="0"/>
            </w:tcBorders>
            <w:shd w:val="clear" w:color="auto" w:fill="F8FAFC"/>
            <w:vAlign w:val="center"/>
          </w:tcPr>
          <w:p w14:paraId="4C3A015D">
            <w:pPr>
              <w:spacing w:before="80" w:after="80" w:line="276" w:lineRule="auto"/>
              <w:rPr>
                <w:color w:val="auto"/>
                <w:sz w:val="21"/>
                <w:szCs w:val="21"/>
              </w:rPr>
            </w:pPr>
            <w:r>
              <w:rPr>
                <w:rFonts w:ascii="宋体" w:hAnsi="宋体" w:eastAsia="宋体"/>
                <w:b w:val="0"/>
                <w:i w:val="0"/>
                <w:color w:val="auto"/>
                <w:sz w:val="21"/>
                <w:szCs w:val="21"/>
              </w:rPr>
              <w:t>启动时强制检测：若 JWT 使用默认密钥、密码使用占位符，系统立即拒绝启动告警</w:t>
            </w:r>
          </w:p>
        </w:tc>
      </w:tr>
    </w:tbl>
    <w:p w14:paraId="13718F61">
      <w:pPr>
        <w:keepNext w:val="0"/>
        <w:keepLines w:val="0"/>
        <w:pageBreakBefore w:val="0"/>
        <w:widowControl/>
        <w:kinsoku/>
        <w:wordWrap/>
        <w:overflowPunct/>
        <w:topLinePunct w:val="0"/>
        <w:autoSpaceDE/>
        <w:autoSpaceDN/>
        <w:bidi w:val="0"/>
        <w:adjustRightInd/>
        <w:snapToGrid/>
        <w:spacing w:before="361" w:beforeLines="100" w:after="120" w:line="324" w:lineRule="auto"/>
        <w:ind w:firstLine="0"/>
        <w:jc w:val="center"/>
        <w:textAlignment w:val="auto"/>
        <w:rPr>
          <w:rFonts w:hint="default" w:ascii="Times New Roman" w:hAnsi="Times New Roman"/>
          <w:b w:val="0"/>
          <w:i w:val="0"/>
          <w:color w:val="000000"/>
          <w:sz w:val="21"/>
          <w:lang w:val="en-US" w:eastAsia="zh-CN"/>
        </w:rPr>
      </w:pPr>
      <w:r>
        <w:rPr>
          <w:rFonts w:hint="eastAsia" w:ascii="Times New Roman" w:hAnsi="Times New Roman"/>
          <w:b w:val="0"/>
          <w:i w:val="0"/>
          <w:color w:val="000000"/>
          <w:sz w:val="21"/>
          <w:lang w:val="en-US" w:eastAsia="zh-CN"/>
        </w:rPr>
        <w:t>表7-1 生产级多层纵深安全防御体系</w:t>
      </w:r>
    </w:p>
    <w:p w14:paraId="2CF3E50D">
      <w:pPr>
        <w:pStyle w:val="4"/>
        <w:keepNext/>
        <w:widowControl/>
        <w:suppressAutoHyphens/>
        <w:bidi w:val="0"/>
        <w:spacing w:before="180" w:after="120" w:line="360" w:lineRule="auto"/>
        <w:ind w:firstLine="482"/>
        <w:jc w:val="left"/>
        <w:rPr>
          <w:rFonts w:ascii="Times New Roman" w:hAnsi="Times New Roman" w:eastAsia="黑体"/>
          <w:b w:val="0"/>
          <w:bCs/>
          <w:color w:val="000000"/>
          <w:kern w:val="0"/>
          <w:sz w:val="28"/>
        </w:rPr>
      </w:pPr>
      <w:bookmarkStart w:id="28" w:name="_Toc32451"/>
      <w:r>
        <w:rPr>
          <w:rFonts w:ascii="Times New Roman" w:hAnsi="Times New Roman" w:eastAsia="黑体"/>
          <w:b w:val="0"/>
          <w:bCs/>
          <w:color w:val="000000"/>
          <w:kern w:val="0"/>
          <w:sz w:val="28"/>
        </w:rPr>
        <w:t>7.2 全链路多级容错与确定性降级体系</w:t>
      </w:r>
      <w:bookmarkEnd w:id="28"/>
    </w:p>
    <w:p w14:paraId="6F9F34BC">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i w:val="0"/>
          <w:color w:val="000000"/>
          <w:kern w:val="0"/>
          <w:sz w:val="24"/>
          <w:lang w:eastAsia="zh-CN"/>
        </w:rPr>
      </w:pPr>
      <w:r>
        <w:rPr>
          <w:rFonts w:hint="default" w:ascii="Times New Roman" w:hAnsi="Times New Roman" w:eastAsia="宋体"/>
          <w:b w:val="0"/>
          <w:i w:val="0"/>
          <w:color w:val="000000"/>
          <w:kern w:val="0"/>
          <w:sz w:val="24"/>
          <w:lang w:eastAsia="zh-CN"/>
        </w:rPr>
        <w:t>在真实的校园网络环境中，外部商业大语言模型可能遭遇 API 欠费、网络跨境超时、并发超频限流（429 Too Many Requests）甚至服务器宕机等突发事件。若推荐系统强依赖于大模型在线响应，极易导致全校服务瘫痪。书途智启为此设计了贯穿七步流水线的全链路确定性降级方案</w:t>
      </w:r>
      <w:r>
        <w:rPr>
          <w:rFonts w:hint="eastAsia" w:ascii="Times New Roman" w:hAnsi="Times New Roman" w:eastAsia="宋体"/>
          <w:b w:val="0"/>
          <w:i w:val="0"/>
          <w:color w:val="000000"/>
          <w:kern w:val="0"/>
          <w:sz w:val="24"/>
          <w:lang w:eastAsia="zh-CN"/>
        </w:rPr>
        <w:t>。</w:t>
      </w:r>
    </w:p>
    <w:p w14:paraId="02AF73C0">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i w:val="0"/>
          <w:color w:val="000000"/>
          <w:kern w:val="0"/>
          <w:sz w:val="24"/>
          <w:lang w:eastAsia="zh-CN"/>
        </w:rPr>
      </w:pPr>
      <w:r>
        <w:rPr>
          <w:rFonts w:hint="eastAsia" w:ascii="Times New Roman" w:hAnsi="Times New Roman" w:eastAsia="宋体"/>
          <w:b w:val="0"/>
          <w:i w:val="0"/>
          <w:color w:val="000000"/>
          <w:kern w:val="0"/>
          <w:sz w:val="24"/>
          <w:lang w:eastAsia="zh-CN"/>
        </w:rPr>
        <w:t>为保障系统在高校严苛网络环境与算力波动下的极端可用性，书途智启针对推荐全流程构建了六阶段“标准模式”与“确定性降级模式”无缝衔接的容错降级链条。在正常情况下，系统充分调动外部大模型（LLM）的深层语义理解能力进行推荐推理；一旦遭遇外部 API 网络超时、跨境网络抖动、并发超频限流（429）乃至断网无密钥等极端工况，内部内置的确定性启发式规则与离线算法将实现毫秒级自动化无感接管。</w:t>
      </w:r>
    </w:p>
    <w:p w14:paraId="125B4D32">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i w:val="0"/>
          <w:color w:val="000000"/>
          <w:kern w:val="0"/>
          <w:sz w:val="24"/>
          <w:lang w:eastAsia="zh-CN"/>
        </w:rPr>
      </w:pPr>
      <w:r>
        <w:rPr>
          <w:rFonts w:hint="eastAsia" w:ascii="Times New Roman" w:hAnsi="Times New Roman" w:eastAsia="宋体"/>
          <w:b w:val="0"/>
          <w:i w:val="0"/>
          <w:color w:val="000000"/>
          <w:kern w:val="0"/>
          <w:sz w:val="24"/>
          <w:lang w:eastAsia="zh-CN"/>
        </w:rPr>
        <w:t>具体而言，在第一阶段意图分类环节，标准模式下由 LLM 语义分类器进行精细判别，降级时则由预置的启发式关键词正则分类器接管，确保用户对话能够无感知顺畅分流；在第二阶段查询扩展环节，标准模式依赖 LLM 扩展多维学术检索词簇，降级模式则退化为直接对学生原始输入进行分词提取与停用词过滤，最大化保留最核心的主题学术意图；在第三阶段候选召回环节，标准模式采用 BGE-zh 语义向量与全文混合双轨检索，若遭遇向量引擎突发异常，系统将启用确定性字符散列伪向量算法保底，坚决杜绝检索接口抛出 500 异常；在第四阶段结果重排环节，标准模式由 LLM 结合上下文执行深度精排，降级模式则无缝切换为内置的六维量化打分加权数学模型进行确定性排序，确保图书呈现依然严谨契合数理逻辑；在第五阶段推荐理由生成环节，标准模式由 LLM 结合读者画像定制温情阐释，降级模式则基于已审核的书目标签特征与难度模板进行动态文字拼接，保障界面推荐卡片理由充实完整、绝无断点；在第六阶段学习路径规划环节，标准模式依托 LLM 动态推演进阶研习目标，降级模式则通过预设的规则分桶算法按难度阶梯静态切分基础、进阶与实践三阶段，依然能够完整交付结构清晰的研习路线图。整套降级链条确保了系统即使在完全断开外部大模型服务的极端单机条件下，仍能实现 100% 的业务流程独立闭环。</w:t>
      </w:r>
    </w:p>
    <w:p w14:paraId="616E209D">
      <w:pPr>
        <w:spacing w:after="120"/>
      </w:pPr>
      <w:r>
        <w:drawing>
          <wp:inline distT="0" distB="0" distL="114300" distR="114300">
            <wp:extent cx="5893435" cy="3217545"/>
            <wp:effectExtent l="0" t="0" r="12065" b="8255"/>
            <wp:docPr id="1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pic:cNvPicPr>
                      <a:picLocks noChangeAspect="1"/>
                    </pic:cNvPicPr>
                  </pic:nvPicPr>
                  <pic:blipFill>
                    <a:blip r:embed="rId13"/>
                    <a:stretch>
                      <a:fillRect/>
                    </a:stretch>
                  </pic:blipFill>
                  <pic:spPr>
                    <a:xfrm>
                      <a:off x="0" y="0"/>
                      <a:ext cx="5893435" cy="3217545"/>
                    </a:xfrm>
                    <a:prstGeom prst="rect">
                      <a:avLst/>
                    </a:prstGeom>
                    <a:noFill/>
                    <a:ln>
                      <a:noFill/>
                    </a:ln>
                  </pic:spPr>
                </pic:pic>
              </a:graphicData>
            </a:graphic>
          </wp:inline>
        </w:drawing>
      </w:r>
    </w:p>
    <w:p w14:paraId="2E370D56">
      <w:pPr>
        <w:keepNext w:val="0"/>
        <w:keepLines w:val="0"/>
        <w:pageBreakBefore w:val="0"/>
        <w:widowControl/>
        <w:kinsoku/>
        <w:wordWrap/>
        <w:overflowPunct/>
        <w:topLinePunct w:val="0"/>
        <w:autoSpaceDE/>
        <w:autoSpaceDN/>
        <w:bidi w:val="0"/>
        <w:adjustRightInd/>
        <w:snapToGrid/>
        <w:spacing w:before="361" w:beforeLines="100" w:after="120" w:line="324" w:lineRule="auto"/>
        <w:ind w:firstLine="0"/>
        <w:jc w:val="center"/>
        <w:textAlignment w:val="auto"/>
        <w:rPr>
          <w:rFonts w:hint="eastAsia" w:ascii="Times New Roman" w:hAnsi="Times New Roman"/>
          <w:b w:val="0"/>
          <w:i w:val="0"/>
          <w:color w:val="000000"/>
          <w:sz w:val="21"/>
          <w:lang w:val="en-US" w:eastAsia="zh-CN"/>
        </w:rPr>
      </w:pPr>
      <w:r>
        <w:rPr>
          <w:rFonts w:hint="eastAsia" w:ascii="Times New Roman" w:hAnsi="Times New Roman"/>
          <w:b w:val="0"/>
          <w:i w:val="0"/>
          <w:color w:val="000000"/>
          <w:sz w:val="21"/>
          <w:lang w:val="en-US" w:eastAsia="zh-CN"/>
        </w:rPr>
        <w:t>图7-2 全链路多级容错与确定性降级体系</w:t>
      </w:r>
    </w:p>
    <w:p w14:paraId="29EE1A91">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i w:val="0"/>
          <w:color w:val="000000"/>
          <w:kern w:val="0"/>
          <w:sz w:val="24"/>
          <w:lang w:eastAsia="zh-CN"/>
        </w:rPr>
      </w:pPr>
      <w:r>
        <w:rPr>
          <w:rFonts w:hint="eastAsia" w:ascii="Times New Roman" w:hAnsi="Times New Roman" w:eastAsia="宋体"/>
          <w:b w:val="0"/>
          <w:i w:val="0"/>
          <w:color w:val="000000"/>
          <w:kern w:val="0"/>
          <w:sz w:val="24"/>
          <w:lang w:eastAsia="zh-CN"/>
        </w:rPr>
        <w:t>得益于上述多级降级架构，书途智启即使在完全不填入任何第三方 API Key、断开外部互联网的“纯单机局域网”严苛条件下，依然能够凭借出色的本地数据库与内置算法独立流畅跑通全部推荐与研习路径闭环，展现出非凡的工业级健壮度！</w:t>
      </w:r>
    </w:p>
    <w:p w14:paraId="04745682">
      <w:pPr>
        <w:rPr>
          <w:rFonts w:ascii="宋体" w:hAnsi="宋体" w:eastAsia="宋体"/>
          <w:b w:val="0"/>
          <w:i w:val="0"/>
          <w:color w:val="auto"/>
          <w:sz w:val="22"/>
        </w:rPr>
      </w:pPr>
      <w:r>
        <w:rPr>
          <w:rFonts w:ascii="宋体" w:hAnsi="宋体" w:eastAsia="宋体"/>
          <w:b w:val="0"/>
          <w:i w:val="0"/>
          <w:color w:val="auto"/>
          <w:sz w:val="22"/>
        </w:rPr>
        <w:br w:type="page"/>
      </w:r>
    </w:p>
    <w:p w14:paraId="1D19AE04">
      <w:pPr>
        <w:spacing w:after="120" w:line="324" w:lineRule="auto"/>
        <w:ind w:firstLine="420"/>
        <w:rPr>
          <w:rFonts w:ascii="宋体" w:hAnsi="宋体" w:eastAsia="宋体"/>
          <w:b w:val="0"/>
          <w:i w:val="0"/>
          <w:color w:val="auto"/>
          <w:sz w:val="22"/>
        </w:rPr>
      </w:pPr>
    </w:p>
    <w:p w14:paraId="39143873">
      <w:pPr>
        <w:pStyle w:val="3"/>
        <w:keepNext/>
        <w:widowControl/>
        <w:suppressAutoHyphens/>
        <w:bidi w:val="0"/>
        <w:spacing w:before="0" w:after="120" w:line="360" w:lineRule="auto"/>
        <w:ind w:firstLine="482"/>
        <w:jc w:val="center"/>
        <w:rPr>
          <w:rFonts w:hint="eastAsia" w:ascii="黑体" w:hAnsi="黑体" w:eastAsia="黑体" w:cs="黑体"/>
          <w:b w:val="0"/>
          <w:bCs/>
          <w:color w:val="000000"/>
          <w:kern w:val="0"/>
          <w:sz w:val="30"/>
        </w:rPr>
      </w:pPr>
      <w:bookmarkStart w:id="29" w:name="_Toc25464"/>
      <w:r>
        <w:rPr>
          <w:rFonts w:hint="eastAsia" w:ascii="黑体" w:hAnsi="黑体" w:eastAsia="黑体" w:cs="黑体"/>
          <w:b w:val="0"/>
          <w:bCs/>
          <w:color w:val="000000"/>
          <w:kern w:val="0"/>
          <w:sz w:val="30"/>
        </w:rPr>
        <w:t>第八章 核心创新亮点与技术壁垒深度总结</w:t>
      </w:r>
      <w:bookmarkEnd w:id="29"/>
    </w:p>
    <w:p w14:paraId="3315FD0D">
      <w:pPr>
        <w:pStyle w:val="4"/>
        <w:keepNext/>
        <w:widowControl/>
        <w:suppressAutoHyphens/>
        <w:bidi w:val="0"/>
        <w:spacing w:before="180" w:after="120" w:line="360" w:lineRule="auto"/>
        <w:ind w:firstLine="482"/>
        <w:jc w:val="left"/>
        <w:rPr>
          <w:rFonts w:hint="default" w:ascii="Times New Roman" w:hAnsi="Times New Roman" w:eastAsia="黑体"/>
          <w:b w:val="0"/>
          <w:bCs/>
          <w:color w:val="000000"/>
          <w:kern w:val="0"/>
          <w:sz w:val="28"/>
          <w:lang w:val="en-US" w:eastAsia="zh-CN"/>
        </w:rPr>
      </w:pPr>
      <w:bookmarkStart w:id="30" w:name="_Toc32476"/>
      <w:r>
        <w:rPr>
          <w:rFonts w:hint="eastAsia" w:ascii="Times New Roman" w:hAnsi="Times New Roman" w:eastAsia="黑体"/>
          <w:b w:val="0"/>
          <w:bCs/>
          <w:color w:val="000000"/>
          <w:kern w:val="0"/>
          <w:sz w:val="28"/>
          <w:lang w:val="en-US" w:eastAsia="zh-CN"/>
        </w:rPr>
        <w:t>8.1 核心技术亮点总结</w:t>
      </w:r>
      <w:bookmarkEnd w:id="30"/>
    </w:p>
    <w:p w14:paraId="63FD92BC">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i w:val="0"/>
          <w:color w:val="000000"/>
          <w:kern w:val="0"/>
          <w:sz w:val="24"/>
          <w:lang w:eastAsia="zh-CN"/>
        </w:rPr>
      </w:pPr>
      <w:r>
        <w:rPr>
          <w:rFonts w:hint="eastAsia" w:ascii="Times New Roman" w:hAnsi="Times New Roman" w:eastAsia="宋体"/>
          <w:b w:val="0"/>
          <w:i w:val="0"/>
          <w:color w:val="000000"/>
          <w:kern w:val="0"/>
          <w:sz w:val="24"/>
          <w:lang w:eastAsia="zh-CN"/>
        </w:rPr>
        <w:t>书途智启在高校智慧教育与大模型落地垂直领域，形成了四项具有开创意义的独家创新亮点：</w:t>
      </w:r>
    </w:p>
    <w:p w14:paraId="2D837DA7">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i w:val="0"/>
          <w:color w:val="000000"/>
          <w:kern w:val="0"/>
          <w:sz w:val="24"/>
          <w:lang w:eastAsia="zh-CN"/>
        </w:rPr>
      </w:pPr>
      <w:r>
        <w:rPr>
          <w:rFonts w:hint="eastAsia" w:ascii="Times New Roman" w:hAnsi="Times New Roman" w:eastAsia="宋体"/>
          <w:b w:val="0"/>
          <w:i w:val="0"/>
          <w:color w:val="000000"/>
          <w:kern w:val="0"/>
          <w:sz w:val="24"/>
          <w:lang w:eastAsia="zh-CN"/>
        </w:rPr>
        <w:t>创新一：事实锚定的防幻觉 RAG 推荐架构：彻底告别通用生成式 AI“信口开河、虚构书目”的痼疾。系统从机制上确立“馆藏事实 100% 数据库锚定”。所有进入推荐流的书目均来自学校实际在编馆藏，严格校验条形码、索书号与实时借阅状态。大语言模型被精准约束为逻辑分析与文字润色工具，杜绝了学术文献虚构风险，构筑了高校严肃场景最稀缺的信任资产。</w:t>
      </w:r>
    </w:p>
    <w:p w14:paraId="3C268325">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i w:val="0"/>
          <w:color w:val="000000"/>
          <w:kern w:val="0"/>
          <w:sz w:val="24"/>
          <w:lang w:eastAsia="zh-CN"/>
        </w:rPr>
      </w:pPr>
      <w:r>
        <w:rPr>
          <w:rFonts w:hint="eastAsia" w:ascii="Times New Roman" w:hAnsi="Times New Roman" w:eastAsia="宋体"/>
          <w:b w:val="0"/>
          <w:i w:val="0"/>
          <w:color w:val="000000"/>
          <w:kern w:val="0"/>
          <w:sz w:val="24"/>
          <w:lang w:eastAsia="zh-CN"/>
        </w:rPr>
        <w:t>创新二：透明可解释的六维量化匹配决策体系：打破长期困扰推荐系统领域的“算法黑盒”困境。首创“目标、难度、专业、语义、兴趣、馆藏”六维加权数学打分体系，配合清晰的可视化雷达剖析图。每本书不仅推荐给学生，更以量化数据和明明白白的文字解释“为什么此时此刻推荐给你”，让读者心服口服，显著提升了人机交互的信赖度。</w:t>
      </w:r>
    </w:p>
    <w:p w14:paraId="78585DAC">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i w:val="0"/>
          <w:color w:val="000000"/>
          <w:kern w:val="0"/>
          <w:sz w:val="24"/>
          <w:lang w:eastAsia="zh-CN"/>
        </w:rPr>
      </w:pPr>
      <w:r>
        <w:rPr>
          <w:rFonts w:hint="eastAsia" w:ascii="Times New Roman" w:hAnsi="Times New Roman" w:eastAsia="宋体"/>
          <w:b w:val="0"/>
          <w:i w:val="0"/>
          <w:color w:val="000000"/>
          <w:kern w:val="0"/>
          <w:sz w:val="24"/>
          <w:lang w:eastAsia="zh-CN"/>
        </w:rPr>
        <w:t>创新三：自适应长短期画像记忆中枢（ProfileMemory）：赋予智能体随交互而“自我进化”的认知能力。系统能够从学生的自然对话与借阅反馈中异步抽丝剥茧，自适应调整难度偏好，让系统“越用越懂读者”。同时坚持“以人为本”，为学生提供完全可见的记忆看板与防覆写保护锁，在智能化关怀与隐私知情权之间达成了教科书级的平衡。</w:t>
      </w:r>
    </w:p>
    <w:p w14:paraId="70DAD55E">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i w:val="0"/>
          <w:color w:val="000000"/>
          <w:kern w:val="0"/>
          <w:sz w:val="24"/>
          <w:lang w:eastAsia="zh-CN"/>
        </w:rPr>
      </w:pPr>
      <w:r>
        <w:rPr>
          <w:rFonts w:hint="eastAsia" w:ascii="Times New Roman" w:hAnsi="Times New Roman" w:eastAsia="宋体"/>
          <w:b w:val="0"/>
          <w:i w:val="0"/>
          <w:color w:val="000000"/>
          <w:kern w:val="0"/>
          <w:sz w:val="24"/>
          <w:lang w:eastAsia="zh-CN"/>
        </w:rPr>
        <w:t>创新四：“推荐即路径”的沉浸式进阶通关闭环：首次在高校图书服务体系中跨越了从“单本选书”向“体系化自主培育”的鸿沟。一键生成的“基础入门-核心进阶-项目实践”三阶蓝图，辅以严格的研习周期指导、课后案例考核标准及里程碑勋章，将零散繁杂的被动课外借阅蜕变成为一场充满掌控感、目标明确、成果可见的学术通关之旅。</w:t>
      </w:r>
    </w:p>
    <w:p w14:paraId="7EA48C27">
      <w:pPr>
        <w:rPr>
          <w:rFonts w:hint="eastAsia" w:ascii="Times New Roman" w:hAnsi="Times New Roman" w:eastAsia="宋体"/>
          <w:b w:val="0"/>
          <w:i w:val="0"/>
          <w:color w:val="000000"/>
          <w:kern w:val="0"/>
          <w:sz w:val="24"/>
          <w:lang w:eastAsia="zh-CN"/>
        </w:rPr>
      </w:pPr>
      <w:r>
        <w:rPr>
          <w:rFonts w:hint="eastAsia" w:ascii="Times New Roman" w:hAnsi="Times New Roman" w:eastAsia="宋体"/>
          <w:b w:val="0"/>
          <w:i w:val="0"/>
          <w:color w:val="000000"/>
          <w:kern w:val="0"/>
          <w:sz w:val="24"/>
          <w:lang w:eastAsia="zh-CN"/>
        </w:rPr>
        <w:br w:type="page"/>
      </w:r>
    </w:p>
    <w:p w14:paraId="7E48A49F">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i w:val="0"/>
          <w:color w:val="000000"/>
          <w:kern w:val="0"/>
          <w:sz w:val="24"/>
          <w:lang w:eastAsia="zh-CN"/>
        </w:rPr>
      </w:pPr>
    </w:p>
    <w:p w14:paraId="02CD1D83">
      <w:pPr>
        <w:pStyle w:val="3"/>
        <w:keepNext/>
        <w:widowControl/>
        <w:suppressAutoHyphens/>
        <w:bidi w:val="0"/>
        <w:spacing w:before="0" w:after="120" w:line="360" w:lineRule="auto"/>
        <w:ind w:firstLine="482"/>
        <w:jc w:val="center"/>
        <w:rPr>
          <w:rFonts w:hint="eastAsia" w:ascii="黑体" w:hAnsi="黑体" w:eastAsia="黑体" w:cs="黑体"/>
          <w:b w:val="0"/>
          <w:bCs/>
          <w:color w:val="000000"/>
          <w:kern w:val="0"/>
          <w:sz w:val="30"/>
        </w:rPr>
      </w:pPr>
      <w:bookmarkStart w:id="31" w:name="_Toc5206"/>
      <w:r>
        <w:rPr>
          <w:rFonts w:hint="eastAsia" w:ascii="黑体" w:hAnsi="黑体" w:eastAsia="黑体" w:cs="黑体"/>
          <w:b w:val="0"/>
          <w:bCs/>
          <w:color w:val="000000"/>
          <w:kern w:val="0"/>
          <w:sz w:val="30"/>
        </w:rPr>
        <w:t>第九章 团队全景档案、专业分工与资源保障</w:t>
      </w:r>
      <w:bookmarkEnd w:id="31"/>
    </w:p>
    <w:p w14:paraId="2F33DE98">
      <w:pPr>
        <w:pStyle w:val="4"/>
        <w:keepNext/>
        <w:widowControl/>
        <w:suppressAutoHyphens/>
        <w:bidi w:val="0"/>
        <w:spacing w:before="180" w:after="120" w:line="360" w:lineRule="auto"/>
        <w:ind w:firstLine="482"/>
        <w:jc w:val="left"/>
        <w:rPr>
          <w:rFonts w:ascii="Times New Roman" w:hAnsi="Times New Roman" w:eastAsia="黑体"/>
          <w:b w:val="0"/>
          <w:bCs/>
          <w:color w:val="000000"/>
          <w:kern w:val="0"/>
          <w:sz w:val="28"/>
        </w:rPr>
      </w:pPr>
      <w:bookmarkStart w:id="32" w:name="_Toc4198"/>
      <w:r>
        <w:rPr>
          <w:rFonts w:ascii="Times New Roman" w:hAnsi="Times New Roman" w:eastAsia="黑体"/>
          <w:b w:val="0"/>
          <w:bCs/>
          <w:color w:val="000000"/>
          <w:kern w:val="0"/>
          <w:sz w:val="28"/>
        </w:rPr>
        <w:t>9.1 团队成员全景档案与分工矩阵</w:t>
      </w:r>
      <w:bookmarkEnd w:id="32"/>
    </w:p>
    <w:p w14:paraId="34553C2D">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i w:val="0"/>
          <w:color w:val="000000"/>
          <w:kern w:val="0"/>
          <w:sz w:val="24"/>
          <w:lang w:eastAsia="zh-CN"/>
        </w:rPr>
      </w:pPr>
      <w:r>
        <w:rPr>
          <w:rFonts w:hint="eastAsia" w:ascii="Times New Roman" w:hAnsi="Times New Roman" w:eastAsia="宋体"/>
          <w:b w:val="0"/>
          <w:i w:val="0"/>
          <w:color w:val="000000"/>
          <w:kern w:val="0"/>
          <w:sz w:val="24"/>
          <w:lang w:eastAsia="zh-CN"/>
        </w:rPr>
        <w:t>书途智启项目团队依托人工智能学部优质教育教学资源组建，团队成员专业功底扎实、工程实战经验丰富、学科梯队合理，形成了“项目管理-算法研发-数据与前端工程-专业教师指导”四位一体的高效协同矩阵：</w:t>
      </w:r>
    </w:p>
    <w:tbl>
      <w:tblPr>
        <w:tblStyle w:val="35"/>
        <w:tblW w:w="0" w:type="auto"/>
        <w:jc w:val="center"/>
        <w:tblBorders>
          <w:top w:val="single" w:color="1A365D" w:sz="12" w:space="0"/>
          <w:left w:val="none" w:color="auto" w:sz="0" w:space="0"/>
          <w:bottom w:val="single" w:color="1A365D" w:sz="12" w:space="0"/>
          <w:right w:val="none" w:color="auto" w:sz="0" w:space="0"/>
          <w:insideH w:val="single" w:color="CBD5E1" w:sz="4" w:space="0"/>
          <w:insideV w:val="none" w:color="auto" w:sz="0" w:space="0"/>
        </w:tblBorders>
        <w:tblLayout w:type="autofit"/>
        <w:tblCellMar>
          <w:top w:w="0" w:type="dxa"/>
          <w:left w:w="108" w:type="dxa"/>
          <w:bottom w:w="0" w:type="dxa"/>
          <w:right w:w="108" w:type="dxa"/>
        </w:tblCellMar>
      </w:tblPr>
      <w:tblGrid>
        <w:gridCol w:w="1134"/>
        <w:gridCol w:w="1361"/>
        <w:gridCol w:w="1587"/>
        <w:gridCol w:w="2438"/>
        <w:gridCol w:w="2268"/>
      </w:tblGrid>
      <w:tr w14:paraId="3E5F36AD">
        <w:tblPrEx>
          <w:tblBorders>
            <w:top w:val="single" w:color="1A365D" w:sz="12" w:space="0"/>
            <w:left w:val="none" w:color="auto" w:sz="0" w:space="0"/>
            <w:bottom w:val="single" w:color="1A365D" w:sz="12"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1134" w:type="dxa"/>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298E4D0E">
            <w:pPr>
              <w:spacing w:before="100" w:after="100"/>
              <w:jc w:val="center"/>
              <w:rPr>
                <w:color w:val="auto"/>
                <w:sz w:val="21"/>
                <w:szCs w:val="21"/>
              </w:rPr>
            </w:pPr>
            <w:r>
              <w:rPr>
                <w:rFonts w:ascii="黑体" w:hAnsi="黑体" w:eastAsia="黑体"/>
                <w:b/>
                <w:i w:val="0"/>
                <w:color w:val="auto"/>
                <w:sz w:val="21"/>
                <w:szCs w:val="21"/>
              </w:rPr>
              <w:t>姓名</w:t>
            </w:r>
          </w:p>
        </w:tc>
        <w:tc>
          <w:tcPr>
            <w:tcW w:w="1361" w:type="dxa"/>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525814A1">
            <w:pPr>
              <w:spacing w:before="100" w:after="100"/>
              <w:jc w:val="center"/>
              <w:rPr>
                <w:color w:val="auto"/>
                <w:sz w:val="21"/>
                <w:szCs w:val="21"/>
              </w:rPr>
            </w:pPr>
            <w:r>
              <w:rPr>
                <w:rFonts w:ascii="黑体" w:hAnsi="黑体" w:eastAsia="黑体"/>
                <w:b/>
                <w:i w:val="0"/>
                <w:color w:val="auto"/>
                <w:sz w:val="21"/>
                <w:szCs w:val="21"/>
              </w:rPr>
              <w:t>学号 / 职务</w:t>
            </w:r>
          </w:p>
        </w:tc>
        <w:tc>
          <w:tcPr>
            <w:tcW w:w="1587" w:type="dxa"/>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25E23FF8">
            <w:pPr>
              <w:spacing w:before="100" w:after="100"/>
              <w:jc w:val="center"/>
              <w:rPr>
                <w:color w:val="auto"/>
                <w:sz w:val="21"/>
                <w:szCs w:val="21"/>
              </w:rPr>
            </w:pPr>
            <w:r>
              <w:rPr>
                <w:rFonts w:ascii="黑体" w:hAnsi="黑体" w:eastAsia="黑体"/>
                <w:b/>
                <w:i w:val="0"/>
                <w:color w:val="auto"/>
                <w:sz w:val="21"/>
                <w:szCs w:val="21"/>
              </w:rPr>
              <w:t>院系专业 / 年级</w:t>
            </w:r>
          </w:p>
        </w:tc>
        <w:tc>
          <w:tcPr>
            <w:tcW w:w="2438" w:type="dxa"/>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4982D64C">
            <w:pPr>
              <w:spacing w:before="100" w:after="100"/>
              <w:jc w:val="center"/>
              <w:rPr>
                <w:color w:val="auto"/>
                <w:sz w:val="21"/>
                <w:szCs w:val="21"/>
              </w:rPr>
            </w:pPr>
            <w:r>
              <w:rPr>
                <w:rFonts w:ascii="黑体" w:hAnsi="黑体" w:eastAsia="黑体"/>
                <w:b/>
                <w:i w:val="0"/>
                <w:color w:val="auto"/>
                <w:sz w:val="21"/>
                <w:szCs w:val="21"/>
              </w:rPr>
              <w:t>项目核心角色与具体分工职责</w:t>
            </w:r>
          </w:p>
        </w:tc>
        <w:tc>
          <w:tcPr>
            <w:tcW w:w="2268" w:type="dxa"/>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67C3E404">
            <w:pPr>
              <w:spacing w:before="100" w:after="100"/>
              <w:jc w:val="center"/>
              <w:rPr>
                <w:color w:val="auto"/>
                <w:sz w:val="21"/>
                <w:szCs w:val="21"/>
              </w:rPr>
            </w:pPr>
            <w:r>
              <w:rPr>
                <w:rFonts w:ascii="黑体" w:hAnsi="黑体" w:eastAsia="黑体"/>
                <w:b/>
                <w:i w:val="0"/>
                <w:color w:val="auto"/>
                <w:sz w:val="21"/>
                <w:szCs w:val="21"/>
              </w:rPr>
              <w:t>个人研究特长与支撑背景</w:t>
            </w:r>
          </w:p>
        </w:tc>
      </w:tr>
      <w:tr w14:paraId="0547FEAD">
        <w:tblPrEx>
          <w:tblBorders>
            <w:top w:val="single" w:color="1A365D" w:sz="12" w:space="0"/>
            <w:left w:val="none" w:color="auto" w:sz="0" w:space="0"/>
            <w:bottom w:val="single" w:color="1A365D" w:sz="12"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1134" w:type="dxa"/>
            <w:tcBorders>
              <w:top w:val="single" w:color="auto" w:sz="4" w:space="0"/>
              <w:left w:val="single" w:color="auto" w:sz="4" w:space="0"/>
              <w:bottom w:val="single" w:color="auto" w:sz="4" w:space="0"/>
              <w:right w:val="single" w:color="auto" w:sz="4" w:space="0"/>
            </w:tcBorders>
            <w:shd w:val="clear" w:color="auto" w:fill="FFFFFF"/>
            <w:vAlign w:val="center"/>
          </w:tcPr>
          <w:p w14:paraId="2F2FFF09">
            <w:pPr>
              <w:spacing w:before="80" w:after="80" w:line="276" w:lineRule="auto"/>
              <w:rPr>
                <w:color w:val="auto"/>
                <w:sz w:val="21"/>
                <w:szCs w:val="21"/>
              </w:rPr>
            </w:pPr>
            <w:r>
              <w:rPr>
                <w:rFonts w:ascii="宋体" w:hAnsi="宋体" w:eastAsia="宋体"/>
                <w:b/>
                <w:i w:val="0"/>
                <w:color w:val="auto"/>
                <w:sz w:val="21"/>
                <w:szCs w:val="21"/>
              </w:rPr>
              <w:t>冯承坤</w:t>
            </w:r>
          </w:p>
        </w:tc>
        <w:tc>
          <w:tcPr>
            <w:tcW w:w="1361" w:type="dxa"/>
            <w:tcBorders>
              <w:top w:val="single" w:color="auto" w:sz="4" w:space="0"/>
              <w:left w:val="single" w:color="auto" w:sz="4" w:space="0"/>
              <w:bottom w:val="single" w:color="auto" w:sz="4" w:space="0"/>
              <w:right w:val="single" w:color="auto" w:sz="4" w:space="0"/>
            </w:tcBorders>
            <w:shd w:val="clear" w:color="auto" w:fill="FFFFFF"/>
            <w:vAlign w:val="center"/>
          </w:tcPr>
          <w:p w14:paraId="7F481AE0">
            <w:pPr>
              <w:spacing w:before="80" w:after="80" w:line="276" w:lineRule="auto"/>
              <w:rPr>
                <w:color w:val="auto"/>
                <w:sz w:val="21"/>
                <w:szCs w:val="21"/>
              </w:rPr>
            </w:pPr>
            <w:r>
              <w:rPr>
                <w:rFonts w:ascii="宋体" w:hAnsi="宋体" w:eastAsia="宋体"/>
                <w:b w:val="0"/>
                <w:i w:val="0"/>
                <w:color w:val="auto"/>
                <w:sz w:val="21"/>
                <w:szCs w:val="21"/>
              </w:rPr>
              <w:t>20241820</w:t>
            </w:r>
            <w:r>
              <w:rPr>
                <w:rFonts w:ascii="宋体" w:hAnsi="宋体" w:eastAsia="宋体"/>
                <w:b w:val="0"/>
                <w:i w:val="0"/>
                <w:color w:val="auto"/>
                <w:sz w:val="21"/>
                <w:szCs w:val="21"/>
              </w:rPr>
              <w:br w:type="textWrapping"/>
            </w:r>
            <w:r>
              <w:rPr>
                <w:rFonts w:ascii="宋体" w:hAnsi="宋体" w:eastAsia="宋体"/>
                <w:b w:val="0"/>
                <w:i w:val="0"/>
                <w:color w:val="auto"/>
                <w:sz w:val="21"/>
                <w:szCs w:val="21"/>
              </w:rPr>
              <w:t>(学生负责人)</w:t>
            </w:r>
          </w:p>
        </w:tc>
        <w:tc>
          <w:tcPr>
            <w:tcW w:w="1587" w:type="dxa"/>
            <w:tcBorders>
              <w:top w:val="single" w:color="auto" w:sz="4" w:space="0"/>
              <w:left w:val="single" w:color="auto" w:sz="4" w:space="0"/>
              <w:bottom w:val="single" w:color="auto" w:sz="4" w:space="0"/>
              <w:right w:val="single" w:color="auto" w:sz="4" w:space="0"/>
            </w:tcBorders>
            <w:shd w:val="clear" w:color="auto" w:fill="FFFFFF"/>
            <w:vAlign w:val="center"/>
          </w:tcPr>
          <w:p w14:paraId="4C612E9C">
            <w:pPr>
              <w:spacing w:before="80" w:after="80" w:line="276" w:lineRule="auto"/>
              <w:rPr>
                <w:color w:val="auto"/>
                <w:sz w:val="21"/>
                <w:szCs w:val="21"/>
              </w:rPr>
            </w:pPr>
            <w:r>
              <w:rPr>
                <w:rFonts w:ascii="宋体" w:hAnsi="宋体" w:eastAsia="宋体"/>
                <w:b w:val="0"/>
                <w:i w:val="0"/>
                <w:color w:val="auto"/>
                <w:sz w:val="21"/>
                <w:szCs w:val="21"/>
              </w:rPr>
              <w:t>人工智能学部</w:t>
            </w:r>
            <w:r>
              <w:rPr>
                <w:rFonts w:ascii="宋体" w:hAnsi="宋体" w:eastAsia="宋体"/>
                <w:b w:val="0"/>
                <w:i w:val="0"/>
                <w:color w:val="auto"/>
                <w:sz w:val="21"/>
                <w:szCs w:val="21"/>
              </w:rPr>
              <w:br w:type="textWrapping"/>
            </w:r>
            <w:r>
              <w:rPr>
                <w:rFonts w:ascii="宋体" w:hAnsi="宋体" w:eastAsia="宋体"/>
                <w:b w:val="0"/>
                <w:i w:val="0"/>
                <w:color w:val="auto"/>
                <w:sz w:val="21"/>
                <w:szCs w:val="21"/>
              </w:rPr>
              <w:t>数据科学与大数据</w:t>
            </w:r>
            <w:r>
              <w:rPr>
                <w:rFonts w:ascii="宋体" w:hAnsi="宋体" w:eastAsia="宋体"/>
                <w:b w:val="0"/>
                <w:i w:val="0"/>
                <w:color w:val="auto"/>
                <w:sz w:val="21"/>
                <w:szCs w:val="21"/>
              </w:rPr>
              <w:br w:type="textWrapping"/>
            </w:r>
            <w:r>
              <w:rPr>
                <w:rFonts w:ascii="宋体" w:hAnsi="宋体" w:eastAsia="宋体"/>
                <w:b w:val="0"/>
                <w:i w:val="0"/>
                <w:color w:val="auto"/>
                <w:sz w:val="21"/>
                <w:szCs w:val="21"/>
              </w:rPr>
              <w:t>2024级本科</w:t>
            </w:r>
          </w:p>
        </w:tc>
        <w:tc>
          <w:tcPr>
            <w:tcW w:w="2438" w:type="dxa"/>
            <w:tcBorders>
              <w:top w:val="single" w:color="auto" w:sz="4" w:space="0"/>
              <w:left w:val="single" w:color="auto" w:sz="4" w:space="0"/>
              <w:bottom w:val="single" w:color="auto" w:sz="4" w:space="0"/>
              <w:right w:val="single" w:color="auto" w:sz="4" w:space="0"/>
            </w:tcBorders>
            <w:shd w:val="clear" w:color="auto" w:fill="FFFFFF"/>
            <w:vAlign w:val="center"/>
          </w:tcPr>
          <w:p w14:paraId="22EB0AEF">
            <w:pPr>
              <w:spacing w:before="80" w:after="80" w:line="276" w:lineRule="auto"/>
              <w:rPr>
                <w:color w:val="auto"/>
                <w:sz w:val="21"/>
                <w:szCs w:val="21"/>
              </w:rPr>
            </w:pPr>
            <w:r>
              <w:rPr>
                <w:rFonts w:ascii="宋体" w:hAnsi="宋体" w:eastAsia="宋体"/>
                <w:b w:val="0"/>
                <w:i w:val="0"/>
                <w:color w:val="auto"/>
                <w:sz w:val="21"/>
                <w:szCs w:val="21"/>
              </w:rPr>
              <w:t>项目总负责人，全面统筹全生命周期进度、需求定义、里程碑质量把控、竞赛答辩汇报，参与核心业务逻辑设计与评测</w:t>
            </w:r>
          </w:p>
        </w:tc>
        <w:tc>
          <w:tcPr>
            <w:tcW w:w="2268" w:type="dxa"/>
            <w:tcBorders>
              <w:top w:val="single" w:color="auto" w:sz="4" w:space="0"/>
              <w:left w:val="single" w:color="auto" w:sz="4" w:space="0"/>
              <w:bottom w:val="single" w:color="auto" w:sz="4" w:space="0"/>
              <w:right w:val="single" w:color="auto" w:sz="4" w:space="0"/>
            </w:tcBorders>
            <w:shd w:val="clear" w:color="auto" w:fill="FFFFFF"/>
            <w:vAlign w:val="center"/>
          </w:tcPr>
          <w:p w14:paraId="3CC0B0AB">
            <w:pPr>
              <w:spacing w:before="80" w:after="80" w:line="276" w:lineRule="auto"/>
              <w:rPr>
                <w:color w:val="auto"/>
                <w:sz w:val="21"/>
                <w:szCs w:val="21"/>
              </w:rPr>
            </w:pPr>
            <w:r>
              <w:rPr>
                <w:rFonts w:ascii="宋体" w:hAnsi="宋体" w:eastAsia="宋体"/>
                <w:b w:val="0"/>
                <w:i w:val="0"/>
                <w:color w:val="auto"/>
                <w:sz w:val="21"/>
                <w:szCs w:val="21"/>
              </w:rPr>
              <w:t>擅长运筹统筹与项目全流程管理，熟练掌握 Python 数据分析与建模工具，在本项目中严密把控甘特图里程碑推进，具有极强的团队领导力与演讲答辩风采。</w:t>
            </w:r>
          </w:p>
        </w:tc>
      </w:tr>
      <w:tr w14:paraId="32BE69B7">
        <w:tblPrEx>
          <w:tblBorders>
            <w:top w:val="single" w:color="1A365D" w:sz="12" w:space="0"/>
            <w:left w:val="none" w:color="auto" w:sz="0" w:space="0"/>
            <w:bottom w:val="single" w:color="1A365D" w:sz="12" w:space="0"/>
            <w:right w:val="none" w:color="auto" w:sz="0" w:space="0"/>
            <w:insideH w:val="single" w:color="CBD5E1" w:sz="4" w:space="0"/>
            <w:insideV w:val="none" w:color="auto" w:sz="0" w:space="0"/>
          </w:tblBorders>
          <w:tblCellMar>
            <w:top w:w="0" w:type="dxa"/>
            <w:left w:w="108" w:type="dxa"/>
            <w:bottom w:w="0" w:type="dxa"/>
            <w:right w:w="108" w:type="dxa"/>
          </w:tblCellMar>
        </w:tblPrEx>
        <w:trPr>
          <w:trHeight w:val="90" w:hRule="atLeast"/>
          <w:jc w:val="center"/>
        </w:trPr>
        <w:tc>
          <w:tcPr>
            <w:tcW w:w="1134" w:type="dxa"/>
            <w:tcBorders>
              <w:top w:val="single" w:color="auto" w:sz="4" w:space="0"/>
              <w:left w:val="single" w:color="auto" w:sz="4" w:space="0"/>
              <w:bottom w:val="single" w:color="auto" w:sz="4" w:space="0"/>
              <w:right w:val="single" w:color="auto" w:sz="4" w:space="0"/>
            </w:tcBorders>
            <w:shd w:val="clear" w:color="auto" w:fill="F8FAFC"/>
            <w:vAlign w:val="center"/>
          </w:tcPr>
          <w:p w14:paraId="158E4FA6">
            <w:pPr>
              <w:spacing w:before="80" w:after="80" w:line="276" w:lineRule="auto"/>
              <w:rPr>
                <w:color w:val="auto"/>
                <w:sz w:val="21"/>
                <w:szCs w:val="21"/>
              </w:rPr>
            </w:pPr>
            <w:r>
              <w:rPr>
                <w:rFonts w:ascii="宋体" w:hAnsi="宋体" w:eastAsia="宋体"/>
                <w:b/>
                <w:i w:val="0"/>
                <w:color w:val="auto"/>
                <w:sz w:val="21"/>
                <w:szCs w:val="21"/>
              </w:rPr>
              <w:t>吕冠辉</w:t>
            </w:r>
          </w:p>
        </w:tc>
        <w:tc>
          <w:tcPr>
            <w:tcW w:w="1361" w:type="dxa"/>
            <w:tcBorders>
              <w:top w:val="single" w:color="auto" w:sz="4" w:space="0"/>
              <w:left w:val="single" w:color="auto" w:sz="4" w:space="0"/>
              <w:bottom w:val="single" w:color="auto" w:sz="4" w:space="0"/>
              <w:right w:val="single" w:color="auto" w:sz="4" w:space="0"/>
            </w:tcBorders>
            <w:shd w:val="clear" w:color="auto" w:fill="F8FAFC"/>
            <w:vAlign w:val="center"/>
          </w:tcPr>
          <w:p w14:paraId="0F8848CE">
            <w:pPr>
              <w:spacing w:before="80" w:after="80" w:line="276" w:lineRule="auto"/>
              <w:rPr>
                <w:color w:val="auto"/>
                <w:sz w:val="21"/>
                <w:szCs w:val="21"/>
              </w:rPr>
            </w:pPr>
            <w:r>
              <w:rPr>
                <w:rFonts w:ascii="宋体" w:hAnsi="宋体" w:eastAsia="宋体"/>
                <w:b w:val="0"/>
                <w:i w:val="0"/>
                <w:color w:val="auto"/>
                <w:sz w:val="21"/>
                <w:szCs w:val="21"/>
              </w:rPr>
              <w:t>20241821</w:t>
            </w:r>
            <w:r>
              <w:rPr>
                <w:rFonts w:ascii="宋体" w:hAnsi="宋体" w:eastAsia="宋体"/>
                <w:b w:val="0"/>
                <w:i w:val="0"/>
                <w:color w:val="auto"/>
                <w:sz w:val="21"/>
                <w:szCs w:val="21"/>
              </w:rPr>
              <w:br w:type="textWrapping"/>
            </w:r>
            <w:r>
              <w:rPr>
                <w:rFonts w:ascii="宋体" w:hAnsi="宋体" w:eastAsia="宋体"/>
                <w:b w:val="0"/>
                <w:i w:val="0"/>
                <w:color w:val="auto"/>
                <w:sz w:val="21"/>
                <w:szCs w:val="21"/>
              </w:rPr>
              <w:t>(核心成员)</w:t>
            </w:r>
          </w:p>
        </w:tc>
        <w:tc>
          <w:tcPr>
            <w:tcW w:w="1587" w:type="dxa"/>
            <w:tcBorders>
              <w:top w:val="single" w:color="auto" w:sz="4" w:space="0"/>
              <w:left w:val="single" w:color="auto" w:sz="4" w:space="0"/>
              <w:bottom w:val="single" w:color="auto" w:sz="4" w:space="0"/>
              <w:right w:val="single" w:color="auto" w:sz="4" w:space="0"/>
            </w:tcBorders>
            <w:shd w:val="clear" w:color="auto" w:fill="F8FAFC"/>
            <w:vAlign w:val="center"/>
          </w:tcPr>
          <w:p w14:paraId="32E023E0">
            <w:pPr>
              <w:spacing w:before="80" w:after="80" w:line="276" w:lineRule="auto"/>
              <w:rPr>
                <w:color w:val="auto"/>
                <w:sz w:val="21"/>
                <w:szCs w:val="21"/>
              </w:rPr>
            </w:pPr>
            <w:r>
              <w:rPr>
                <w:rFonts w:ascii="宋体" w:hAnsi="宋体" w:eastAsia="宋体"/>
                <w:b w:val="0"/>
                <w:i w:val="0"/>
                <w:color w:val="auto"/>
                <w:sz w:val="21"/>
                <w:szCs w:val="21"/>
              </w:rPr>
              <w:t>人工智能学部</w:t>
            </w:r>
            <w:r>
              <w:rPr>
                <w:rFonts w:ascii="宋体" w:hAnsi="宋体" w:eastAsia="宋体"/>
                <w:b w:val="0"/>
                <w:i w:val="0"/>
                <w:color w:val="auto"/>
                <w:sz w:val="21"/>
                <w:szCs w:val="21"/>
              </w:rPr>
              <w:br w:type="textWrapping"/>
            </w:r>
            <w:r>
              <w:rPr>
                <w:rFonts w:ascii="宋体" w:hAnsi="宋体" w:eastAsia="宋体"/>
                <w:b w:val="0"/>
                <w:i w:val="0"/>
                <w:color w:val="auto"/>
                <w:sz w:val="21"/>
                <w:szCs w:val="21"/>
              </w:rPr>
              <w:t>数据科学与大数据</w:t>
            </w:r>
            <w:r>
              <w:rPr>
                <w:rFonts w:ascii="宋体" w:hAnsi="宋体" w:eastAsia="宋体"/>
                <w:b w:val="0"/>
                <w:i w:val="0"/>
                <w:color w:val="auto"/>
                <w:sz w:val="21"/>
                <w:szCs w:val="21"/>
              </w:rPr>
              <w:br w:type="textWrapping"/>
            </w:r>
            <w:r>
              <w:rPr>
                <w:rFonts w:ascii="宋体" w:hAnsi="宋体" w:eastAsia="宋体"/>
                <w:b w:val="0"/>
                <w:i w:val="0"/>
                <w:color w:val="auto"/>
                <w:sz w:val="21"/>
                <w:szCs w:val="21"/>
              </w:rPr>
              <w:t>2024级本科</w:t>
            </w:r>
          </w:p>
        </w:tc>
        <w:tc>
          <w:tcPr>
            <w:tcW w:w="2438" w:type="dxa"/>
            <w:tcBorders>
              <w:top w:val="single" w:color="auto" w:sz="4" w:space="0"/>
              <w:left w:val="single" w:color="auto" w:sz="4" w:space="0"/>
              <w:bottom w:val="single" w:color="auto" w:sz="4" w:space="0"/>
              <w:right w:val="single" w:color="auto" w:sz="4" w:space="0"/>
            </w:tcBorders>
            <w:shd w:val="clear" w:color="auto" w:fill="F8FAFC"/>
            <w:vAlign w:val="center"/>
          </w:tcPr>
          <w:p w14:paraId="01C742DC">
            <w:pPr>
              <w:spacing w:before="80" w:after="80" w:line="276" w:lineRule="auto"/>
              <w:rPr>
                <w:color w:val="auto"/>
                <w:sz w:val="21"/>
                <w:szCs w:val="21"/>
              </w:rPr>
            </w:pPr>
            <w:r>
              <w:rPr>
                <w:rFonts w:ascii="宋体" w:hAnsi="宋体" w:eastAsia="宋体"/>
                <w:b w:val="0"/>
                <w:i w:val="0"/>
                <w:color w:val="auto"/>
                <w:sz w:val="21"/>
                <w:szCs w:val="21"/>
              </w:rPr>
              <w:t>算法架构师 + 技术负责人，负责 RAG 管道搭建、六维推荐算法数学建模、大模型 Prompt 工程调优、Chroma 向量检索及性能调优</w:t>
            </w:r>
          </w:p>
        </w:tc>
        <w:tc>
          <w:tcPr>
            <w:tcW w:w="2268" w:type="dxa"/>
            <w:tcBorders>
              <w:top w:val="single" w:color="auto" w:sz="4" w:space="0"/>
              <w:left w:val="single" w:color="auto" w:sz="4" w:space="0"/>
              <w:bottom w:val="single" w:color="auto" w:sz="4" w:space="0"/>
              <w:right w:val="single" w:color="auto" w:sz="4" w:space="0"/>
            </w:tcBorders>
            <w:shd w:val="clear" w:color="auto" w:fill="F8FAFC"/>
            <w:vAlign w:val="center"/>
          </w:tcPr>
          <w:p w14:paraId="267EFE78">
            <w:pPr>
              <w:spacing w:before="80" w:after="80" w:line="276" w:lineRule="auto"/>
              <w:rPr>
                <w:color w:val="auto"/>
                <w:sz w:val="21"/>
                <w:szCs w:val="21"/>
              </w:rPr>
            </w:pPr>
            <w:r>
              <w:rPr>
                <w:rFonts w:ascii="宋体" w:hAnsi="宋体" w:eastAsia="宋体"/>
                <w:b w:val="0"/>
                <w:i w:val="0"/>
                <w:color w:val="auto"/>
                <w:sz w:val="21"/>
                <w:szCs w:val="21"/>
              </w:rPr>
              <w:t>深耕人工智能算法开发与大模型应用落地，精通 Python、LangChain 框架与分布式检索，攻克了意图识别、自适应难度演化与防幻觉降级核心算法模块。</w:t>
            </w:r>
          </w:p>
        </w:tc>
      </w:tr>
      <w:tr w14:paraId="40370CA2">
        <w:tblPrEx>
          <w:tblBorders>
            <w:top w:val="single" w:color="1A365D" w:sz="12" w:space="0"/>
            <w:left w:val="none" w:color="auto" w:sz="0" w:space="0"/>
            <w:bottom w:val="single" w:color="1A365D" w:sz="12" w:space="0"/>
            <w:right w:val="none" w:color="auto" w:sz="0" w:space="0"/>
            <w:insideH w:val="single" w:color="CBD5E1" w:sz="4" w:space="0"/>
            <w:insideV w:val="none" w:color="auto" w:sz="0" w:space="0"/>
          </w:tblBorders>
          <w:tblCellMar>
            <w:top w:w="0" w:type="dxa"/>
            <w:left w:w="108" w:type="dxa"/>
            <w:bottom w:w="0" w:type="dxa"/>
            <w:right w:w="108" w:type="dxa"/>
          </w:tblCellMar>
        </w:tblPrEx>
        <w:trPr>
          <w:trHeight w:val="3645" w:hRule="atLeast"/>
          <w:jc w:val="center"/>
        </w:trPr>
        <w:tc>
          <w:tcPr>
            <w:tcW w:w="1134" w:type="dxa"/>
            <w:tcBorders>
              <w:top w:val="single" w:color="auto" w:sz="4" w:space="0"/>
              <w:left w:val="single" w:color="auto" w:sz="4" w:space="0"/>
              <w:bottom w:val="single" w:color="auto" w:sz="4" w:space="0"/>
              <w:right w:val="single" w:color="auto" w:sz="4" w:space="0"/>
            </w:tcBorders>
            <w:shd w:val="clear" w:color="auto" w:fill="FFFFFF"/>
            <w:vAlign w:val="center"/>
          </w:tcPr>
          <w:p w14:paraId="1976288D">
            <w:pPr>
              <w:spacing w:before="80" w:after="80" w:line="276" w:lineRule="auto"/>
              <w:rPr>
                <w:color w:val="auto"/>
                <w:sz w:val="21"/>
                <w:szCs w:val="21"/>
              </w:rPr>
            </w:pPr>
            <w:r>
              <w:rPr>
                <w:rFonts w:ascii="宋体" w:hAnsi="宋体" w:eastAsia="宋体"/>
                <w:b/>
                <w:i w:val="0"/>
                <w:color w:val="auto"/>
                <w:sz w:val="21"/>
                <w:szCs w:val="21"/>
              </w:rPr>
              <w:t>王艾昕</w:t>
            </w:r>
          </w:p>
        </w:tc>
        <w:tc>
          <w:tcPr>
            <w:tcW w:w="1361" w:type="dxa"/>
            <w:tcBorders>
              <w:top w:val="single" w:color="auto" w:sz="4" w:space="0"/>
              <w:left w:val="single" w:color="auto" w:sz="4" w:space="0"/>
              <w:bottom w:val="single" w:color="auto" w:sz="4" w:space="0"/>
              <w:right w:val="single" w:color="auto" w:sz="4" w:space="0"/>
            </w:tcBorders>
            <w:shd w:val="clear" w:color="auto" w:fill="FFFFFF"/>
            <w:vAlign w:val="center"/>
          </w:tcPr>
          <w:p w14:paraId="7C2956E5">
            <w:pPr>
              <w:spacing w:before="80" w:after="80" w:line="276" w:lineRule="auto"/>
              <w:rPr>
                <w:color w:val="auto"/>
                <w:sz w:val="21"/>
                <w:szCs w:val="21"/>
              </w:rPr>
            </w:pPr>
            <w:r>
              <w:rPr>
                <w:rFonts w:ascii="宋体" w:hAnsi="宋体" w:eastAsia="宋体"/>
                <w:b w:val="0"/>
                <w:i w:val="0"/>
                <w:color w:val="auto"/>
                <w:sz w:val="21"/>
                <w:szCs w:val="21"/>
              </w:rPr>
              <w:t>20241812</w:t>
            </w:r>
            <w:r>
              <w:rPr>
                <w:rFonts w:ascii="宋体" w:hAnsi="宋体" w:eastAsia="宋体"/>
                <w:b w:val="0"/>
                <w:i w:val="0"/>
                <w:color w:val="auto"/>
                <w:sz w:val="21"/>
                <w:szCs w:val="21"/>
              </w:rPr>
              <w:br w:type="textWrapping"/>
            </w:r>
            <w:r>
              <w:rPr>
                <w:rFonts w:ascii="宋体" w:hAnsi="宋体" w:eastAsia="宋体"/>
                <w:b w:val="0"/>
                <w:i w:val="0"/>
                <w:color w:val="auto"/>
                <w:sz w:val="21"/>
                <w:szCs w:val="21"/>
              </w:rPr>
              <w:t>(核心成员)</w:t>
            </w:r>
          </w:p>
        </w:tc>
        <w:tc>
          <w:tcPr>
            <w:tcW w:w="1587" w:type="dxa"/>
            <w:tcBorders>
              <w:top w:val="single" w:color="auto" w:sz="4" w:space="0"/>
              <w:left w:val="single" w:color="auto" w:sz="4" w:space="0"/>
              <w:bottom w:val="single" w:color="auto" w:sz="4" w:space="0"/>
              <w:right w:val="single" w:color="auto" w:sz="4" w:space="0"/>
            </w:tcBorders>
            <w:shd w:val="clear" w:color="auto" w:fill="FFFFFF"/>
            <w:vAlign w:val="center"/>
          </w:tcPr>
          <w:p w14:paraId="41160050">
            <w:pPr>
              <w:spacing w:before="80" w:after="80" w:line="276" w:lineRule="auto"/>
              <w:rPr>
                <w:color w:val="auto"/>
                <w:sz w:val="21"/>
                <w:szCs w:val="21"/>
              </w:rPr>
            </w:pPr>
            <w:r>
              <w:rPr>
                <w:rFonts w:ascii="宋体" w:hAnsi="宋体" w:eastAsia="宋体"/>
                <w:b w:val="0"/>
                <w:i w:val="0"/>
                <w:color w:val="auto"/>
                <w:sz w:val="21"/>
                <w:szCs w:val="21"/>
              </w:rPr>
              <w:t>人工智能学部</w:t>
            </w:r>
            <w:r>
              <w:rPr>
                <w:rFonts w:ascii="宋体" w:hAnsi="宋体" w:eastAsia="宋体"/>
                <w:b w:val="0"/>
                <w:i w:val="0"/>
                <w:color w:val="auto"/>
                <w:sz w:val="21"/>
                <w:szCs w:val="21"/>
              </w:rPr>
              <w:br w:type="textWrapping"/>
            </w:r>
            <w:r>
              <w:rPr>
                <w:rFonts w:ascii="宋体" w:hAnsi="宋体" w:eastAsia="宋体"/>
                <w:b w:val="0"/>
                <w:i w:val="0"/>
                <w:color w:val="auto"/>
                <w:sz w:val="21"/>
                <w:szCs w:val="21"/>
              </w:rPr>
              <w:t>数据科学与大数据</w:t>
            </w:r>
            <w:r>
              <w:rPr>
                <w:rFonts w:ascii="宋体" w:hAnsi="宋体" w:eastAsia="宋体"/>
                <w:b w:val="0"/>
                <w:i w:val="0"/>
                <w:color w:val="auto"/>
                <w:sz w:val="21"/>
                <w:szCs w:val="21"/>
              </w:rPr>
              <w:br w:type="textWrapping"/>
            </w:r>
            <w:r>
              <w:rPr>
                <w:rFonts w:ascii="宋体" w:hAnsi="宋体" w:eastAsia="宋体"/>
                <w:b w:val="0"/>
                <w:i w:val="0"/>
                <w:color w:val="auto"/>
                <w:sz w:val="21"/>
                <w:szCs w:val="21"/>
              </w:rPr>
              <w:t>2024级本科</w:t>
            </w:r>
          </w:p>
        </w:tc>
        <w:tc>
          <w:tcPr>
            <w:tcW w:w="2438" w:type="dxa"/>
            <w:tcBorders>
              <w:top w:val="single" w:color="auto" w:sz="4" w:space="0"/>
              <w:left w:val="single" w:color="auto" w:sz="4" w:space="0"/>
              <w:bottom w:val="single" w:color="auto" w:sz="4" w:space="0"/>
              <w:right w:val="single" w:color="auto" w:sz="4" w:space="0"/>
            </w:tcBorders>
            <w:shd w:val="clear" w:color="auto" w:fill="FFFFFF"/>
            <w:vAlign w:val="center"/>
          </w:tcPr>
          <w:p w14:paraId="7A5B55B4">
            <w:pPr>
              <w:spacing w:before="80" w:after="80" w:line="276" w:lineRule="auto"/>
              <w:rPr>
                <w:color w:val="auto"/>
                <w:sz w:val="21"/>
                <w:szCs w:val="21"/>
              </w:rPr>
            </w:pPr>
            <w:r>
              <w:rPr>
                <w:rFonts w:ascii="宋体" w:hAnsi="宋体" w:eastAsia="宋体"/>
                <w:b w:val="0"/>
                <w:i w:val="0"/>
                <w:color w:val="auto"/>
                <w:sz w:val="21"/>
                <w:szCs w:val="21"/>
              </w:rPr>
              <w:t>数据工程师 + 前端开发工程师，负责馆藏数据清洗流水线（CleanPipeline）、AI 标签审核交互、Vue 3 工作台开发与自动化测试运维</w:t>
            </w:r>
          </w:p>
        </w:tc>
        <w:tc>
          <w:tcPr>
            <w:tcW w:w="2268" w:type="dxa"/>
            <w:tcBorders>
              <w:top w:val="single" w:color="auto" w:sz="4" w:space="0"/>
              <w:left w:val="single" w:color="auto" w:sz="4" w:space="0"/>
              <w:bottom w:val="single" w:color="auto" w:sz="4" w:space="0"/>
              <w:right w:val="single" w:color="auto" w:sz="4" w:space="0"/>
            </w:tcBorders>
            <w:shd w:val="clear" w:color="auto" w:fill="FFFFFF"/>
            <w:vAlign w:val="center"/>
          </w:tcPr>
          <w:p w14:paraId="051E8FB8">
            <w:pPr>
              <w:spacing w:before="80" w:after="80" w:line="276" w:lineRule="auto"/>
              <w:rPr>
                <w:color w:val="auto"/>
                <w:sz w:val="21"/>
                <w:szCs w:val="21"/>
              </w:rPr>
            </w:pPr>
            <w:r>
              <w:rPr>
                <w:rFonts w:ascii="宋体" w:hAnsi="宋体" w:eastAsia="宋体"/>
                <w:b w:val="0"/>
                <w:i w:val="0"/>
                <w:color w:val="auto"/>
                <w:sz w:val="21"/>
                <w:szCs w:val="21"/>
              </w:rPr>
              <w:t>擅长全栈数据流设计与现代 Web 前端开发，熟练运用 Vue 3、TypeScript 与 Tailwind CSS，严密构建了从 Excel 导入到 Chroma 向量化的无缝中台。</w:t>
            </w:r>
          </w:p>
        </w:tc>
      </w:tr>
      <w:tr w14:paraId="387531DD">
        <w:tblPrEx>
          <w:tblBorders>
            <w:top w:val="single" w:color="1A365D" w:sz="12" w:space="0"/>
            <w:left w:val="none" w:color="auto" w:sz="0" w:space="0"/>
            <w:bottom w:val="single" w:color="1A365D" w:sz="12" w:space="0"/>
            <w:right w:val="none" w:color="auto" w:sz="0" w:space="0"/>
            <w:insideH w:val="single" w:color="CBD5E1" w:sz="4" w:space="0"/>
            <w:insideV w:val="none" w:color="auto" w:sz="0" w:space="0"/>
          </w:tblBorders>
          <w:tblCellMar>
            <w:top w:w="0" w:type="dxa"/>
            <w:left w:w="108" w:type="dxa"/>
            <w:bottom w:w="0" w:type="dxa"/>
            <w:right w:w="108" w:type="dxa"/>
          </w:tblCellMar>
        </w:tblPrEx>
        <w:trPr>
          <w:trHeight w:val="705" w:hRule="atLeast"/>
          <w:jc w:val="center"/>
        </w:trPr>
        <w:tc>
          <w:tcPr>
            <w:tcW w:w="1134" w:type="dxa"/>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0DD9D640">
            <w:pPr>
              <w:spacing w:before="100" w:after="100"/>
              <w:jc w:val="center"/>
              <w:rPr>
                <w:rFonts w:ascii="宋体" w:hAnsi="宋体" w:eastAsia="宋体"/>
                <w:b/>
                <w:i w:val="0"/>
                <w:color w:val="auto"/>
                <w:sz w:val="21"/>
                <w:szCs w:val="21"/>
              </w:rPr>
            </w:pPr>
            <w:r>
              <w:rPr>
                <w:rFonts w:ascii="黑体" w:hAnsi="黑体" w:eastAsia="黑体"/>
                <w:b/>
                <w:i w:val="0"/>
                <w:color w:val="auto"/>
                <w:sz w:val="21"/>
                <w:szCs w:val="21"/>
              </w:rPr>
              <w:t>姓名</w:t>
            </w:r>
          </w:p>
        </w:tc>
        <w:tc>
          <w:tcPr>
            <w:tcW w:w="1361" w:type="dxa"/>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1716A1DC">
            <w:pPr>
              <w:spacing w:before="100" w:after="100"/>
              <w:jc w:val="center"/>
              <w:rPr>
                <w:rFonts w:ascii="宋体" w:hAnsi="宋体" w:eastAsia="宋体"/>
                <w:b w:val="0"/>
                <w:i w:val="0"/>
                <w:color w:val="auto"/>
                <w:sz w:val="21"/>
                <w:szCs w:val="21"/>
              </w:rPr>
            </w:pPr>
            <w:r>
              <w:rPr>
                <w:rFonts w:ascii="黑体" w:hAnsi="黑体" w:eastAsia="黑体"/>
                <w:b/>
                <w:i w:val="0"/>
                <w:color w:val="auto"/>
                <w:sz w:val="21"/>
                <w:szCs w:val="21"/>
              </w:rPr>
              <w:t>学号 / 职务</w:t>
            </w:r>
          </w:p>
        </w:tc>
        <w:tc>
          <w:tcPr>
            <w:tcW w:w="1587" w:type="dxa"/>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4648E8CC">
            <w:pPr>
              <w:spacing w:before="100" w:after="100"/>
              <w:jc w:val="center"/>
              <w:rPr>
                <w:rFonts w:ascii="宋体" w:hAnsi="宋体" w:eastAsia="宋体"/>
                <w:b w:val="0"/>
                <w:i w:val="0"/>
                <w:color w:val="auto"/>
                <w:sz w:val="21"/>
                <w:szCs w:val="21"/>
              </w:rPr>
            </w:pPr>
            <w:r>
              <w:rPr>
                <w:rFonts w:ascii="黑体" w:hAnsi="黑体" w:eastAsia="黑体"/>
                <w:b/>
                <w:i w:val="0"/>
                <w:color w:val="auto"/>
                <w:sz w:val="21"/>
                <w:szCs w:val="21"/>
              </w:rPr>
              <w:t>院系专业 / 年级</w:t>
            </w:r>
          </w:p>
        </w:tc>
        <w:tc>
          <w:tcPr>
            <w:tcW w:w="2438" w:type="dxa"/>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283C6BAF">
            <w:pPr>
              <w:spacing w:before="100" w:after="100"/>
              <w:jc w:val="center"/>
              <w:rPr>
                <w:rFonts w:ascii="宋体" w:hAnsi="宋体" w:eastAsia="宋体"/>
                <w:b w:val="0"/>
                <w:i w:val="0"/>
                <w:color w:val="auto"/>
                <w:sz w:val="21"/>
                <w:szCs w:val="21"/>
              </w:rPr>
            </w:pPr>
            <w:r>
              <w:rPr>
                <w:rFonts w:ascii="黑体" w:hAnsi="黑体" w:eastAsia="黑体"/>
                <w:b/>
                <w:i w:val="0"/>
                <w:color w:val="auto"/>
                <w:sz w:val="21"/>
                <w:szCs w:val="21"/>
              </w:rPr>
              <w:t>项目核心角色与具体分工职责</w:t>
            </w:r>
          </w:p>
        </w:tc>
        <w:tc>
          <w:tcPr>
            <w:tcW w:w="2268" w:type="dxa"/>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7303C0D3">
            <w:pPr>
              <w:spacing w:before="100" w:after="100"/>
              <w:jc w:val="center"/>
              <w:rPr>
                <w:rFonts w:ascii="宋体" w:hAnsi="宋体" w:eastAsia="宋体"/>
                <w:b w:val="0"/>
                <w:i w:val="0"/>
                <w:color w:val="auto"/>
                <w:sz w:val="21"/>
                <w:szCs w:val="21"/>
              </w:rPr>
            </w:pPr>
            <w:r>
              <w:rPr>
                <w:rFonts w:ascii="黑体" w:hAnsi="黑体" w:eastAsia="黑体"/>
                <w:b/>
                <w:i w:val="0"/>
                <w:color w:val="auto"/>
                <w:sz w:val="21"/>
                <w:szCs w:val="21"/>
              </w:rPr>
              <w:t>个人研究特长与支撑背景</w:t>
            </w:r>
          </w:p>
        </w:tc>
      </w:tr>
      <w:tr w14:paraId="67ED9DC7">
        <w:tblPrEx>
          <w:tblBorders>
            <w:top w:val="single" w:color="1A365D" w:sz="12" w:space="0"/>
            <w:left w:val="none" w:color="auto" w:sz="0" w:space="0"/>
            <w:bottom w:val="single" w:color="1A365D" w:sz="12"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1134" w:type="dxa"/>
            <w:tcBorders>
              <w:top w:val="single" w:color="auto" w:sz="4" w:space="0"/>
              <w:left w:val="single" w:color="auto" w:sz="4" w:space="0"/>
              <w:bottom w:val="single" w:color="auto" w:sz="4" w:space="0"/>
              <w:right w:val="single" w:color="auto" w:sz="4" w:space="0"/>
            </w:tcBorders>
            <w:shd w:val="clear" w:color="auto" w:fill="F8FAFC"/>
            <w:vAlign w:val="center"/>
          </w:tcPr>
          <w:p w14:paraId="04A13CF5">
            <w:pPr>
              <w:spacing w:before="80" w:after="80" w:line="276" w:lineRule="auto"/>
              <w:rPr>
                <w:color w:val="auto"/>
                <w:sz w:val="21"/>
                <w:szCs w:val="21"/>
              </w:rPr>
            </w:pPr>
            <w:r>
              <w:rPr>
                <w:rFonts w:ascii="宋体" w:hAnsi="宋体" w:eastAsia="宋体"/>
                <w:b/>
                <w:i w:val="0"/>
                <w:color w:val="auto"/>
                <w:sz w:val="21"/>
                <w:szCs w:val="21"/>
              </w:rPr>
              <w:t>张维</w:t>
            </w:r>
          </w:p>
        </w:tc>
        <w:tc>
          <w:tcPr>
            <w:tcW w:w="1361" w:type="dxa"/>
            <w:tcBorders>
              <w:top w:val="single" w:color="auto" w:sz="4" w:space="0"/>
              <w:left w:val="single" w:color="auto" w:sz="4" w:space="0"/>
              <w:bottom w:val="single" w:color="auto" w:sz="4" w:space="0"/>
              <w:right w:val="single" w:color="auto" w:sz="4" w:space="0"/>
            </w:tcBorders>
            <w:shd w:val="clear" w:color="auto" w:fill="F8FAFC"/>
            <w:vAlign w:val="center"/>
          </w:tcPr>
          <w:p w14:paraId="43B09D43">
            <w:pPr>
              <w:spacing w:before="80" w:after="80" w:line="276" w:lineRule="auto"/>
              <w:rPr>
                <w:color w:val="auto"/>
                <w:sz w:val="21"/>
                <w:szCs w:val="21"/>
              </w:rPr>
            </w:pPr>
            <w:r>
              <w:rPr>
                <w:rFonts w:ascii="宋体" w:hAnsi="宋体" w:eastAsia="宋体"/>
                <w:b w:val="0"/>
                <w:i w:val="0"/>
                <w:color w:val="auto"/>
                <w:sz w:val="21"/>
                <w:szCs w:val="21"/>
              </w:rPr>
              <w:t>副教授</w:t>
            </w:r>
            <w:r>
              <w:rPr>
                <w:rFonts w:ascii="宋体" w:hAnsi="宋体" w:eastAsia="宋体"/>
                <w:b w:val="0"/>
                <w:i w:val="0"/>
                <w:color w:val="auto"/>
                <w:sz w:val="21"/>
                <w:szCs w:val="21"/>
              </w:rPr>
              <w:br w:type="textWrapping"/>
            </w:r>
            <w:r>
              <w:rPr>
                <w:rFonts w:ascii="宋体" w:hAnsi="宋体" w:eastAsia="宋体"/>
                <w:b w:val="0"/>
                <w:i w:val="0"/>
                <w:color w:val="auto"/>
                <w:sz w:val="21"/>
                <w:szCs w:val="21"/>
              </w:rPr>
              <w:t>(指导教师)</w:t>
            </w:r>
          </w:p>
        </w:tc>
        <w:tc>
          <w:tcPr>
            <w:tcW w:w="1587" w:type="dxa"/>
            <w:tcBorders>
              <w:top w:val="single" w:color="auto" w:sz="4" w:space="0"/>
              <w:left w:val="single" w:color="auto" w:sz="4" w:space="0"/>
              <w:bottom w:val="single" w:color="auto" w:sz="4" w:space="0"/>
              <w:right w:val="single" w:color="auto" w:sz="4" w:space="0"/>
            </w:tcBorders>
            <w:shd w:val="clear" w:color="auto" w:fill="F8FAFC"/>
            <w:vAlign w:val="center"/>
          </w:tcPr>
          <w:p w14:paraId="7FBB175B">
            <w:pPr>
              <w:spacing w:before="80" w:after="80" w:line="276" w:lineRule="auto"/>
              <w:rPr>
                <w:color w:val="auto"/>
                <w:sz w:val="21"/>
                <w:szCs w:val="21"/>
              </w:rPr>
            </w:pPr>
            <w:r>
              <w:rPr>
                <w:rFonts w:ascii="宋体" w:hAnsi="宋体" w:eastAsia="宋体"/>
                <w:b w:val="0"/>
                <w:i w:val="0"/>
                <w:color w:val="auto"/>
                <w:sz w:val="21"/>
                <w:szCs w:val="21"/>
              </w:rPr>
              <w:t>人工智能学部</w:t>
            </w:r>
            <w:r>
              <w:rPr>
                <w:rFonts w:ascii="宋体" w:hAnsi="宋体" w:eastAsia="宋体"/>
                <w:b w:val="0"/>
                <w:i w:val="0"/>
                <w:color w:val="auto"/>
                <w:sz w:val="21"/>
                <w:szCs w:val="21"/>
              </w:rPr>
              <w:br w:type="textWrapping"/>
            </w:r>
            <w:r>
              <w:rPr>
                <w:rFonts w:ascii="宋体" w:hAnsi="宋体" w:eastAsia="宋体"/>
                <w:b w:val="0"/>
                <w:i w:val="0"/>
                <w:color w:val="auto"/>
                <w:sz w:val="21"/>
                <w:szCs w:val="21"/>
              </w:rPr>
              <w:t>学术指导教师</w:t>
            </w:r>
          </w:p>
        </w:tc>
        <w:tc>
          <w:tcPr>
            <w:tcW w:w="2438" w:type="dxa"/>
            <w:tcBorders>
              <w:top w:val="single" w:color="auto" w:sz="4" w:space="0"/>
              <w:left w:val="single" w:color="auto" w:sz="4" w:space="0"/>
              <w:bottom w:val="single" w:color="auto" w:sz="4" w:space="0"/>
              <w:right w:val="single" w:color="auto" w:sz="4" w:space="0"/>
            </w:tcBorders>
            <w:shd w:val="clear" w:color="auto" w:fill="F8FAFC"/>
            <w:vAlign w:val="center"/>
          </w:tcPr>
          <w:p w14:paraId="497098DD">
            <w:pPr>
              <w:spacing w:before="80" w:after="80" w:line="276" w:lineRule="auto"/>
              <w:rPr>
                <w:color w:val="auto"/>
                <w:sz w:val="21"/>
                <w:szCs w:val="21"/>
              </w:rPr>
            </w:pPr>
            <w:r>
              <w:rPr>
                <w:rFonts w:ascii="宋体" w:hAnsi="宋体" w:eastAsia="宋体"/>
                <w:b w:val="0"/>
                <w:i w:val="0"/>
                <w:color w:val="auto"/>
                <w:sz w:val="21"/>
                <w:szCs w:val="21"/>
              </w:rPr>
              <w:t>项目学术顾问与立项导师，负责总体技术路线审查、学术严谨性论证、高校图书馆协同资源协调、项目申报书指导与科研成果转化指导</w:t>
            </w:r>
          </w:p>
        </w:tc>
        <w:tc>
          <w:tcPr>
            <w:tcW w:w="2268" w:type="dxa"/>
            <w:tcBorders>
              <w:top w:val="single" w:color="auto" w:sz="4" w:space="0"/>
              <w:left w:val="single" w:color="auto" w:sz="4" w:space="0"/>
              <w:bottom w:val="single" w:color="auto" w:sz="4" w:space="0"/>
              <w:right w:val="single" w:color="auto" w:sz="4" w:space="0"/>
            </w:tcBorders>
            <w:shd w:val="clear" w:color="auto" w:fill="F8FAFC"/>
            <w:vAlign w:val="center"/>
          </w:tcPr>
          <w:p w14:paraId="454B1CC5">
            <w:pPr>
              <w:spacing w:before="80" w:after="80" w:line="276" w:lineRule="auto"/>
              <w:rPr>
                <w:color w:val="auto"/>
                <w:sz w:val="21"/>
                <w:szCs w:val="21"/>
              </w:rPr>
            </w:pPr>
            <w:r>
              <w:rPr>
                <w:rFonts w:ascii="宋体" w:hAnsi="宋体" w:eastAsia="宋体"/>
                <w:b w:val="0"/>
                <w:i w:val="0"/>
                <w:color w:val="auto"/>
                <w:sz w:val="21"/>
                <w:szCs w:val="21"/>
              </w:rPr>
              <w:t>长期从事人工智能、大数据挖掘与教育信息化前沿教学科研，指导多项国家级及省级大学生创新创业项目，为本系统落地校园提供了深厚的学术底蕴与保障。</w:t>
            </w:r>
          </w:p>
        </w:tc>
      </w:tr>
    </w:tbl>
    <w:p w14:paraId="4B3388D8">
      <w:pPr>
        <w:keepNext w:val="0"/>
        <w:keepLines w:val="0"/>
        <w:pageBreakBefore w:val="0"/>
        <w:widowControl/>
        <w:kinsoku/>
        <w:wordWrap/>
        <w:overflowPunct/>
        <w:topLinePunct w:val="0"/>
        <w:autoSpaceDE/>
        <w:autoSpaceDN/>
        <w:bidi w:val="0"/>
        <w:adjustRightInd/>
        <w:snapToGrid/>
        <w:spacing w:before="361" w:beforeLines="100" w:after="120" w:line="324" w:lineRule="auto"/>
        <w:ind w:firstLine="0"/>
        <w:jc w:val="center"/>
        <w:textAlignment w:val="auto"/>
        <w:rPr>
          <w:rFonts w:hint="default" w:ascii="Times New Roman" w:hAnsi="Times New Roman"/>
          <w:b w:val="0"/>
          <w:i w:val="0"/>
          <w:color w:val="000000"/>
          <w:sz w:val="21"/>
          <w:lang w:val="en-US" w:eastAsia="zh-CN"/>
        </w:rPr>
      </w:pPr>
      <w:r>
        <w:rPr>
          <w:rFonts w:hint="eastAsia" w:ascii="Times New Roman" w:hAnsi="Times New Roman"/>
          <w:b w:val="0"/>
          <w:i w:val="0"/>
          <w:color w:val="000000"/>
          <w:sz w:val="21"/>
          <w:lang w:val="en-US" w:eastAsia="zh-CN"/>
        </w:rPr>
        <w:t>表9-1 人员分工介绍</w:t>
      </w:r>
    </w:p>
    <w:p w14:paraId="783EBFE1">
      <w:pPr>
        <w:pStyle w:val="4"/>
        <w:keepNext/>
        <w:widowControl/>
        <w:suppressAutoHyphens/>
        <w:bidi w:val="0"/>
        <w:spacing w:before="180" w:after="120" w:line="360" w:lineRule="auto"/>
        <w:ind w:firstLine="482"/>
        <w:jc w:val="left"/>
        <w:rPr>
          <w:rFonts w:ascii="Times New Roman" w:hAnsi="Times New Roman" w:eastAsia="黑体"/>
          <w:b w:val="0"/>
          <w:bCs/>
          <w:color w:val="000000"/>
          <w:kern w:val="0"/>
          <w:sz w:val="28"/>
        </w:rPr>
      </w:pPr>
      <w:bookmarkStart w:id="33" w:name="_Toc19564"/>
      <w:r>
        <w:rPr>
          <w:rFonts w:ascii="Times New Roman" w:hAnsi="Times New Roman" w:eastAsia="黑体"/>
          <w:b w:val="0"/>
          <w:bCs/>
          <w:color w:val="000000"/>
          <w:kern w:val="0"/>
          <w:sz w:val="28"/>
        </w:rPr>
        <w:t>9.2 研发工作积累、实验环境与资源保障条件</w:t>
      </w:r>
      <w:bookmarkEnd w:id="33"/>
    </w:p>
    <w:p w14:paraId="72AAF4DB">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i w:val="0"/>
          <w:color w:val="000000"/>
          <w:kern w:val="0"/>
          <w:sz w:val="24"/>
          <w:lang w:eastAsia="zh-CN"/>
        </w:rPr>
      </w:pPr>
      <w:r>
        <w:rPr>
          <w:rFonts w:hint="eastAsia" w:ascii="Times New Roman" w:hAnsi="Times New Roman" w:eastAsia="宋体"/>
          <w:b w:val="0"/>
          <w:i w:val="0"/>
          <w:color w:val="000000"/>
          <w:kern w:val="0"/>
          <w:sz w:val="24"/>
          <w:lang w:eastAsia="zh-CN"/>
        </w:rPr>
        <w:t>结合项目研发实地考量，团队已具备开展本项目的充足软硬件积累与组织保障：</w:t>
      </w:r>
    </w:p>
    <w:p w14:paraId="320A48FF">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i w:val="0"/>
          <w:color w:val="000000"/>
          <w:kern w:val="0"/>
          <w:sz w:val="24"/>
          <w:lang w:eastAsia="zh-CN"/>
        </w:rPr>
      </w:pPr>
      <w:r>
        <w:rPr>
          <w:rFonts w:hint="eastAsia" w:ascii="Times New Roman" w:hAnsi="Times New Roman" w:eastAsia="宋体"/>
          <w:b w:val="0"/>
          <w:i w:val="0"/>
          <w:color w:val="000000"/>
          <w:kern w:val="0"/>
          <w:sz w:val="24"/>
          <w:lang w:eastAsia="zh-CN"/>
        </w:rPr>
        <w:t>扎实的代码工程积累：团队在前期探索阶段，已全面跑通了基于 FastAPI 与 Vue 3 的端到端原型，累计编写并审查了超 1.2 万行严谨的 Python 与 TypeScript 核心代码，完成了覆盖全量业务模块的自动化单元测试。</w:t>
      </w:r>
    </w:p>
    <w:p w14:paraId="580A90FB">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i w:val="0"/>
          <w:color w:val="000000"/>
          <w:kern w:val="0"/>
          <w:sz w:val="24"/>
          <w:lang w:eastAsia="zh-CN"/>
        </w:rPr>
      </w:pPr>
      <w:r>
        <w:rPr>
          <w:rFonts w:hint="eastAsia" w:ascii="Times New Roman" w:hAnsi="Times New Roman" w:eastAsia="宋体"/>
          <w:b w:val="0"/>
          <w:i w:val="0"/>
          <w:color w:val="000000"/>
          <w:kern w:val="0"/>
          <w:sz w:val="24"/>
          <w:lang w:eastAsia="zh-CN"/>
        </w:rPr>
        <w:t>高校实验室算力支持：人工智能学部为团队提供了充足的实验机房与 GPU 加速工作站，配备了高性能本地推理显卡与高速校园专网，满足多轮并发调试、BGE 向量高维嵌入及深度学习推理实验要求。</w:t>
      </w:r>
    </w:p>
    <w:p w14:paraId="11C705DE">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i w:val="0"/>
          <w:color w:val="000000"/>
          <w:kern w:val="0"/>
          <w:sz w:val="24"/>
          <w:lang w:eastAsia="zh-CN"/>
        </w:rPr>
      </w:pPr>
      <w:r>
        <w:rPr>
          <w:rFonts w:hint="eastAsia" w:ascii="Times New Roman" w:hAnsi="Times New Roman" w:eastAsia="宋体"/>
          <w:b w:val="0"/>
          <w:i w:val="0"/>
          <w:color w:val="000000"/>
          <w:kern w:val="0"/>
          <w:sz w:val="24"/>
          <w:lang w:eastAsia="zh-CN"/>
        </w:rPr>
        <w:t>图书馆文献与领域专家支持：团队与校图书馆采编咨询团队建立了定点沟通机制，深入调研了现行图书馆编目数据库结构，获取了脱敏后的计算机学科测试馆藏清单，确保推荐算法能够无缝融入图书馆业务真实土壤。</w:t>
      </w:r>
    </w:p>
    <w:p w14:paraId="3F31FD45">
      <w:pPr>
        <w:rPr>
          <w:rFonts w:hint="eastAsia" w:ascii="Times New Roman" w:hAnsi="Times New Roman" w:eastAsia="宋体"/>
          <w:b w:val="0"/>
          <w:i w:val="0"/>
          <w:color w:val="000000"/>
          <w:kern w:val="0"/>
          <w:sz w:val="24"/>
          <w:lang w:eastAsia="zh-CN"/>
        </w:rPr>
      </w:pPr>
      <w:r>
        <w:rPr>
          <w:rFonts w:hint="eastAsia" w:ascii="Times New Roman" w:hAnsi="Times New Roman" w:eastAsia="宋体"/>
          <w:b w:val="0"/>
          <w:i w:val="0"/>
          <w:color w:val="000000"/>
          <w:kern w:val="0"/>
          <w:sz w:val="24"/>
          <w:lang w:eastAsia="zh-CN"/>
        </w:rPr>
        <w:br w:type="page"/>
      </w:r>
    </w:p>
    <w:p w14:paraId="4E5E73D3">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i w:val="0"/>
          <w:color w:val="000000"/>
          <w:kern w:val="0"/>
          <w:sz w:val="24"/>
          <w:lang w:eastAsia="zh-CN"/>
        </w:rPr>
      </w:pPr>
    </w:p>
    <w:p w14:paraId="20F5BE9A">
      <w:pPr>
        <w:pStyle w:val="3"/>
        <w:keepNext/>
        <w:widowControl/>
        <w:suppressAutoHyphens/>
        <w:bidi w:val="0"/>
        <w:spacing w:before="0" w:after="120" w:line="360" w:lineRule="auto"/>
        <w:ind w:firstLine="482"/>
        <w:jc w:val="center"/>
        <w:rPr>
          <w:rFonts w:hint="eastAsia" w:ascii="黑体" w:hAnsi="黑体" w:eastAsia="黑体" w:cs="黑体"/>
          <w:b w:val="0"/>
          <w:bCs/>
          <w:color w:val="000000"/>
          <w:kern w:val="0"/>
          <w:sz w:val="30"/>
        </w:rPr>
      </w:pPr>
      <w:bookmarkStart w:id="34" w:name="_Toc5797"/>
      <w:r>
        <w:rPr>
          <w:rFonts w:hint="eastAsia" w:ascii="黑体" w:hAnsi="黑体" w:eastAsia="黑体" w:cs="黑体"/>
          <w:b w:val="0"/>
          <w:bCs/>
          <w:color w:val="000000"/>
          <w:kern w:val="0"/>
          <w:sz w:val="30"/>
        </w:rPr>
        <w:t>第十章 项目实施进度计划与里程碑管理</w:t>
      </w:r>
      <w:bookmarkEnd w:id="34"/>
    </w:p>
    <w:p w14:paraId="72E15AC6">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i w:val="0"/>
          <w:color w:val="000000"/>
          <w:kern w:val="0"/>
          <w:sz w:val="24"/>
          <w:lang w:eastAsia="zh-CN"/>
        </w:rPr>
      </w:pPr>
      <w:r>
        <w:rPr>
          <w:rFonts w:hint="eastAsia" w:ascii="Times New Roman" w:hAnsi="Times New Roman" w:eastAsia="宋体"/>
          <w:b w:val="0"/>
          <w:i w:val="0"/>
          <w:color w:val="000000"/>
          <w:kern w:val="0"/>
          <w:sz w:val="24"/>
          <w:lang w:eastAsia="zh-CN"/>
        </w:rPr>
        <w:t>本项目按照严格的现代敏捷项目管理方法推进，整个研发生命周期规划为三大阶段、八个精细化里程碑（MVP 0 至 MVP 7），并在实践中圆满兑现了全部研发目标。</w:t>
      </w:r>
    </w:p>
    <w:p w14:paraId="1696D011">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i w:val="0"/>
          <w:color w:val="000000"/>
          <w:kern w:val="0"/>
          <w:sz w:val="24"/>
          <w:lang w:eastAsia="zh-CN"/>
        </w:rPr>
      </w:pPr>
      <w:r>
        <w:rPr>
          <w:rFonts w:hint="eastAsia" w:ascii="Times New Roman" w:hAnsi="Times New Roman" w:eastAsia="宋体"/>
          <w:b w:val="0"/>
          <w:i w:val="0"/>
          <w:color w:val="000000"/>
          <w:kern w:val="0"/>
          <w:sz w:val="24"/>
          <w:lang w:eastAsia="zh-CN"/>
        </w:rPr>
        <w:t>书途智启项目的整体研发与推进周期规划为 12 个月（2026 年 4 月至 2027 年 4 月），整体分为三个循序渐进、紧密衔接的推进阶段：</w:t>
      </w:r>
    </w:p>
    <w:p w14:paraId="1D9456D0">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i w:val="0"/>
          <w:color w:val="000000"/>
          <w:kern w:val="0"/>
          <w:sz w:val="24"/>
          <w:lang w:eastAsia="zh-CN"/>
        </w:rPr>
      </w:pPr>
      <w:r>
        <w:rPr>
          <w:rFonts w:hint="eastAsia" w:ascii="Times New Roman" w:hAnsi="Times New Roman" w:eastAsia="宋体"/>
          <w:b w:val="0"/>
          <w:i w:val="0"/>
          <w:color w:val="000000"/>
          <w:kern w:val="0"/>
          <w:sz w:val="24"/>
          <w:lang w:eastAsia="zh-CN"/>
        </w:rPr>
        <w:t>第一阶段为基础筹备与架构打底阶段（第 1 至 4 个月，2026.04-2026.07），重点攻坚 MVP 0 基础设施与 MVP 1 基础管道两大里程碑。项目组首先针对高校师生选书与借阅痛点展开多轮深度调研，论证并确立了以 FastAPI、Vue 3、PostgreSQL 16 与 Chroma 为核心的全栈现代技术选型；同时完成了后端脚手架搭建，落地了包含全文件指纹去重、ISBN-13 标准格式转换在内的自动化 Excel 清洗流水线，并基于 Argon2id 和 JWT HS256 构筑了严密的安全鉴权基石。该阶段顺利实现架构全面落成与基础鉴权贯通，数据清洗去重校验准确率达到了 100%。</w:t>
      </w:r>
    </w:p>
    <w:p w14:paraId="4325774F">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i w:val="0"/>
          <w:color w:val="000000"/>
          <w:kern w:val="0"/>
          <w:sz w:val="24"/>
          <w:lang w:eastAsia="zh-CN"/>
        </w:rPr>
      </w:pPr>
      <w:r>
        <w:rPr>
          <w:rFonts w:hint="eastAsia" w:ascii="Times New Roman" w:hAnsi="Times New Roman" w:eastAsia="宋体"/>
          <w:b w:val="0"/>
          <w:i w:val="0"/>
          <w:color w:val="000000"/>
          <w:kern w:val="0"/>
          <w:sz w:val="24"/>
          <w:lang w:eastAsia="zh-CN"/>
        </w:rPr>
        <w:t>第二阶段为核心算法与业务突破阶段（第 5 至 8 个月，2026.08-2026.11），聚焦攻关 MVP 2 六维推荐、MVP 3 向量检索以及 MVP 4 学习路径三大核心里程碑。团队实现了基于 BGE-zh 模型的文本密集向量化与 Chroma 向量数据库索引构建，深度研发并落地了六维量化数学加权评分模型与大模型语义上下文精排机制；独创了“基础入门-核心进阶-项目实践”三阶段知识图谱研习路径通关算法，并上线了能够异步抽取事实、动态自适应调节读者难度偏好的 ProfileMemory 记忆中枢。在此阶段，系统端到端交互响应控制在 2 秒以内，推荐意图满意命中率实测突破 88.4%，三阶段学习路径逻辑分桶清晰严密。</w:t>
      </w:r>
    </w:p>
    <w:p w14:paraId="0C9918B6">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i w:val="0"/>
          <w:color w:val="000000"/>
          <w:kern w:val="0"/>
          <w:sz w:val="24"/>
          <w:lang w:eastAsia="zh-CN"/>
        </w:rPr>
      </w:pPr>
      <w:r>
        <w:rPr>
          <w:rFonts w:hint="eastAsia" w:ascii="Times New Roman" w:hAnsi="Times New Roman" w:eastAsia="宋体"/>
          <w:b w:val="0"/>
          <w:i w:val="0"/>
          <w:color w:val="000000"/>
          <w:kern w:val="0"/>
          <w:sz w:val="24"/>
          <w:lang w:eastAsia="zh-CN"/>
        </w:rPr>
        <w:t>第三阶段为系统加固与示范推广阶段（第 9 至 12 个月，2026.12-2027.04），集中冲刺 MVP 5 流式渲染、MVP 6 运营中台及 MVP 7 容器加固等工程收官任务。系统全面上线了基于 SSE 协议的逐字推流打字机交互，完成面向图书采编馆员的 AI 多标签协同审核中台与实时运营数据看板研发；完成了全量服务的 Docker Compose 容器化编排封装，并高标准通过了断网无密钥状态下的全链路多级容错降级压测。最终阶段全面达成全栈服务一键拉起部署、多级降级平滑切换，并顺利完成完整项目结项总结报告编制与计算机软件著作权申报材料整理，为高校智慧图书馆的常态化示范落地奠定了坚实基础。</w:t>
      </w:r>
    </w:p>
    <w:p w14:paraId="240A8E5F">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i w:val="0"/>
          <w:color w:val="000000"/>
          <w:kern w:val="0"/>
          <w:sz w:val="24"/>
          <w:lang w:eastAsia="zh-CN"/>
        </w:rPr>
      </w:pPr>
    </w:p>
    <w:p w14:paraId="06BE75EC">
      <w:pPr>
        <w:spacing w:after="120"/>
      </w:pPr>
      <w:r>
        <w:drawing>
          <wp:inline distT="0" distB="0" distL="114300" distR="114300">
            <wp:extent cx="5892165" cy="3216910"/>
            <wp:effectExtent l="0" t="0" r="635" b="8890"/>
            <wp:docPr id="1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
                    <pic:cNvPicPr>
                      <a:picLocks noChangeAspect="1"/>
                    </pic:cNvPicPr>
                  </pic:nvPicPr>
                  <pic:blipFill>
                    <a:blip r:embed="rId14"/>
                    <a:stretch>
                      <a:fillRect/>
                    </a:stretch>
                  </pic:blipFill>
                  <pic:spPr>
                    <a:xfrm>
                      <a:off x="0" y="0"/>
                      <a:ext cx="5892165" cy="3216910"/>
                    </a:xfrm>
                    <a:prstGeom prst="rect">
                      <a:avLst/>
                    </a:prstGeom>
                    <a:noFill/>
                    <a:ln>
                      <a:noFill/>
                    </a:ln>
                  </pic:spPr>
                </pic:pic>
              </a:graphicData>
            </a:graphic>
          </wp:inline>
        </w:drawing>
      </w:r>
    </w:p>
    <w:p w14:paraId="093840CB">
      <w:pPr>
        <w:keepNext w:val="0"/>
        <w:keepLines w:val="0"/>
        <w:pageBreakBefore w:val="0"/>
        <w:widowControl/>
        <w:kinsoku/>
        <w:wordWrap/>
        <w:overflowPunct/>
        <w:topLinePunct w:val="0"/>
        <w:autoSpaceDE/>
        <w:autoSpaceDN/>
        <w:bidi w:val="0"/>
        <w:adjustRightInd/>
        <w:snapToGrid/>
        <w:spacing w:before="361" w:beforeLines="100" w:after="120" w:line="324" w:lineRule="auto"/>
        <w:ind w:firstLine="0"/>
        <w:jc w:val="center"/>
        <w:textAlignment w:val="auto"/>
        <w:rPr>
          <w:rFonts w:hint="eastAsia" w:ascii="Times New Roman" w:hAnsi="Times New Roman"/>
          <w:b w:val="0"/>
          <w:i w:val="0"/>
          <w:color w:val="000000"/>
          <w:sz w:val="21"/>
          <w:lang w:val="en-US" w:eastAsia="zh-CN"/>
        </w:rPr>
      </w:pPr>
      <w:r>
        <w:rPr>
          <w:rFonts w:hint="eastAsia" w:ascii="Times New Roman" w:hAnsi="Times New Roman"/>
          <w:b w:val="0"/>
          <w:i w:val="0"/>
          <w:color w:val="000000"/>
          <w:sz w:val="21"/>
          <w:lang w:val="en-US" w:eastAsia="zh-CN"/>
        </w:rPr>
        <w:t>图10-1 12个月发展规划</w:t>
      </w:r>
    </w:p>
    <w:p w14:paraId="54743757">
      <w:pPr>
        <w:rPr>
          <w:rFonts w:hint="eastAsia" w:ascii="Times New Roman" w:hAnsi="Times New Roman"/>
          <w:b w:val="0"/>
          <w:i w:val="0"/>
          <w:color w:val="000000"/>
          <w:sz w:val="21"/>
          <w:lang w:val="en-US" w:eastAsia="zh-CN"/>
        </w:rPr>
      </w:pPr>
      <w:r>
        <w:rPr>
          <w:rFonts w:hint="eastAsia" w:ascii="Times New Roman" w:hAnsi="Times New Roman"/>
          <w:b w:val="0"/>
          <w:i w:val="0"/>
          <w:color w:val="000000"/>
          <w:sz w:val="21"/>
          <w:lang w:val="en-US" w:eastAsia="zh-CN"/>
        </w:rPr>
        <w:br w:type="page"/>
      </w:r>
    </w:p>
    <w:p w14:paraId="4B3DE65A">
      <w:pPr>
        <w:keepNext w:val="0"/>
        <w:keepLines w:val="0"/>
        <w:pageBreakBefore w:val="0"/>
        <w:widowControl/>
        <w:kinsoku/>
        <w:wordWrap/>
        <w:overflowPunct/>
        <w:topLinePunct w:val="0"/>
        <w:autoSpaceDE/>
        <w:autoSpaceDN/>
        <w:bidi w:val="0"/>
        <w:adjustRightInd/>
        <w:snapToGrid/>
        <w:spacing w:before="361" w:beforeLines="100" w:after="120" w:line="324" w:lineRule="auto"/>
        <w:ind w:firstLine="0"/>
        <w:jc w:val="center"/>
        <w:textAlignment w:val="auto"/>
        <w:rPr>
          <w:rFonts w:hint="default" w:ascii="Times New Roman" w:hAnsi="Times New Roman"/>
          <w:b w:val="0"/>
          <w:i w:val="0"/>
          <w:color w:val="000000"/>
          <w:sz w:val="21"/>
          <w:lang w:val="en-US" w:eastAsia="zh-CN"/>
        </w:rPr>
      </w:pPr>
    </w:p>
    <w:p w14:paraId="296E67E8">
      <w:pPr>
        <w:pStyle w:val="3"/>
        <w:keepNext/>
        <w:widowControl/>
        <w:suppressAutoHyphens/>
        <w:bidi w:val="0"/>
        <w:spacing w:before="0" w:after="120" w:line="360" w:lineRule="auto"/>
        <w:ind w:firstLine="482"/>
        <w:jc w:val="center"/>
        <w:rPr>
          <w:rFonts w:hint="eastAsia" w:ascii="黑体" w:hAnsi="黑体" w:eastAsia="黑体" w:cs="黑体"/>
          <w:b w:val="0"/>
          <w:bCs/>
          <w:color w:val="000000"/>
          <w:kern w:val="0"/>
          <w:sz w:val="30"/>
        </w:rPr>
      </w:pPr>
      <w:bookmarkStart w:id="35" w:name="_Toc20554"/>
      <w:r>
        <w:rPr>
          <w:rFonts w:hint="eastAsia" w:ascii="黑体" w:hAnsi="黑体" w:eastAsia="黑体" w:cs="黑体"/>
          <w:b w:val="0"/>
          <w:bCs/>
          <w:color w:val="000000"/>
          <w:kern w:val="0"/>
          <w:sz w:val="30"/>
        </w:rPr>
        <w:t>第十一章 经费预算分配、成本控制与财务可行性</w:t>
      </w:r>
      <w:bookmarkEnd w:id="35"/>
    </w:p>
    <w:p w14:paraId="083B195B">
      <w:pPr>
        <w:pStyle w:val="4"/>
        <w:keepNext/>
        <w:widowControl/>
        <w:suppressAutoHyphens/>
        <w:bidi w:val="0"/>
        <w:spacing w:before="180" w:after="120" w:line="360" w:lineRule="auto"/>
        <w:ind w:firstLine="482"/>
        <w:jc w:val="left"/>
        <w:rPr>
          <w:rFonts w:ascii="Times New Roman" w:hAnsi="Times New Roman" w:eastAsia="黑体"/>
          <w:b w:val="0"/>
          <w:bCs/>
          <w:color w:val="000000"/>
          <w:kern w:val="0"/>
          <w:sz w:val="28"/>
        </w:rPr>
      </w:pPr>
      <w:bookmarkStart w:id="36" w:name="_Toc24799"/>
      <w:r>
        <w:rPr>
          <w:rFonts w:ascii="Times New Roman" w:hAnsi="Times New Roman" w:eastAsia="黑体"/>
          <w:b w:val="0"/>
          <w:bCs/>
          <w:color w:val="000000"/>
          <w:kern w:val="0"/>
          <w:sz w:val="28"/>
        </w:rPr>
        <w:t>11.1 项目经费预算细目编制表（以首期 5,000 元为例）</w:t>
      </w:r>
      <w:bookmarkEnd w:id="36"/>
    </w:p>
    <w:p w14:paraId="1B38E9AB">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i w:val="0"/>
          <w:color w:val="000000"/>
          <w:kern w:val="0"/>
          <w:sz w:val="24"/>
          <w:lang w:eastAsia="zh-CN"/>
        </w:rPr>
      </w:pPr>
      <w:r>
        <w:rPr>
          <w:rFonts w:hint="eastAsia" w:ascii="Times New Roman" w:hAnsi="Times New Roman" w:eastAsia="宋体"/>
          <w:b w:val="0"/>
          <w:i w:val="0"/>
          <w:color w:val="000000"/>
          <w:kern w:val="0"/>
          <w:sz w:val="24"/>
          <w:lang w:eastAsia="zh-CN"/>
        </w:rPr>
        <w:t>针对高校大学生创新创业立项资金支持，团队制定了极其审慎、务实、高效的资金分配方案，确保每一分经费用在关键刀刃上：</w:t>
      </w:r>
    </w:p>
    <w:tbl>
      <w:tblPr>
        <w:tblStyle w:val="35"/>
        <w:tblW w:w="0" w:type="auto"/>
        <w:jc w:val="center"/>
        <w:tblBorders>
          <w:top w:val="single" w:color="1A365D" w:sz="12" w:space="0"/>
          <w:left w:val="none" w:color="auto" w:sz="0" w:space="0"/>
          <w:bottom w:val="single" w:color="1A365D" w:sz="12" w:space="0"/>
          <w:right w:val="none" w:color="auto" w:sz="0" w:space="0"/>
          <w:insideH w:val="single" w:color="CBD5E1" w:sz="4" w:space="0"/>
          <w:insideV w:val="none" w:color="auto" w:sz="0" w:space="0"/>
        </w:tblBorders>
        <w:tblLayout w:type="autofit"/>
        <w:tblCellMar>
          <w:top w:w="0" w:type="dxa"/>
          <w:left w:w="108" w:type="dxa"/>
          <w:bottom w:w="0" w:type="dxa"/>
          <w:right w:w="108" w:type="dxa"/>
        </w:tblCellMar>
      </w:tblPr>
      <w:tblGrid>
        <w:gridCol w:w="1928"/>
        <w:gridCol w:w="1417"/>
        <w:gridCol w:w="1020"/>
        <w:gridCol w:w="4422"/>
      </w:tblGrid>
      <w:tr w14:paraId="5EC1A193">
        <w:tblPrEx>
          <w:tblBorders>
            <w:top w:val="single" w:color="1A365D" w:sz="12" w:space="0"/>
            <w:left w:val="none" w:color="auto" w:sz="0" w:space="0"/>
            <w:bottom w:val="single" w:color="1A365D" w:sz="12"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1928" w:type="dxa"/>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09B84BA7">
            <w:pPr>
              <w:spacing w:before="100" w:after="100"/>
              <w:jc w:val="center"/>
              <w:rPr>
                <w:color w:val="auto"/>
                <w:sz w:val="21"/>
                <w:szCs w:val="21"/>
              </w:rPr>
            </w:pPr>
            <w:r>
              <w:rPr>
                <w:rFonts w:ascii="黑体" w:hAnsi="黑体" w:eastAsia="黑体"/>
                <w:b/>
                <w:i w:val="0"/>
                <w:color w:val="auto"/>
                <w:sz w:val="21"/>
                <w:szCs w:val="21"/>
              </w:rPr>
              <w:t>预算支出科目</w:t>
            </w:r>
          </w:p>
        </w:tc>
        <w:tc>
          <w:tcPr>
            <w:tcW w:w="1417" w:type="dxa"/>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0CEB8304">
            <w:pPr>
              <w:spacing w:before="100" w:after="100"/>
              <w:jc w:val="center"/>
              <w:rPr>
                <w:color w:val="auto"/>
                <w:sz w:val="21"/>
                <w:szCs w:val="21"/>
              </w:rPr>
            </w:pPr>
            <w:r>
              <w:rPr>
                <w:rFonts w:ascii="黑体" w:hAnsi="黑体" w:eastAsia="黑体"/>
                <w:b/>
                <w:i w:val="0"/>
                <w:color w:val="auto"/>
                <w:sz w:val="21"/>
                <w:szCs w:val="21"/>
              </w:rPr>
              <w:t>预算金额 (元)</w:t>
            </w:r>
          </w:p>
        </w:tc>
        <w:tc>
          <w:tcPr>
            <w:tcW w:w="1020" w:type="dxa"/>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7E19EBD5">
            <w:pPr>
              <w:spacing w:before="100" w:after="100"/>
              <w:jc w:val="center"/>
              <w:rPr>
                <w:color w:val="auto"/>
                <w:sz w:val="21"/>
                <w:szCs w:val="21"/>
              </w:rPr>
            </w:pPr>
            <w:r>
              <w:rPr>
                <w:rFonts w:ascii="黑体" w:hAnsi="黑体" w:eastAsia="黑体"/>
                <w:b/>
                <w:i w:val="0"/>
                <w:color w:val="auto"/>
                <w:sz w:val="21"/>
                <w:szCs w:val="21"/>
              </w:rPr>
              <w:t>占比 (%)</w:t>
            </w:r>
          </w:p>
        </w:tc>
        <w:tc>
          <w:tcPr>
            <w:tcW w:w="4422" w:type="dxa"/>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2024FE92">
            <w:pPr>
              <w:spacing w:before="100" w:after="100"/>
              <w:jc w:val="center"/>
              <w:rPr>
                <w:color w:val="auto"/>
                <w:sz w:val="21"/>
                <w:szCs w:val="21"/>
              </w:rPr>
            </w:pPr>
            <w:r>
              <w:rPr>
                <w:rFonts w:ascii="黑体" w:hAnsi="黑体" w:eastAsia="黑体"/>
                <w:b/>
                <w:i w:val="0"/>
                <w:color w:val="auto"/>
                <w:sz w:val="21"/>
                <w:szCs w:val="21"/>
              </w:rPr>
              <w:t>详细开支内容与测算测算依据说明</w:t>
            </w:r>
          </w:p>
        </w:tc>
      </w:tr>
      <w:tr w14:paraId="6F36A4F8">
        <w:tblPrEx>
          <w:tblBorders>
            <w:top w:val="single" w:color="1A365D" w:sz="12" w:space="0"/>
            <w:left w:val="none" w:color="auto" w:sz="0" w:space="0"/>
            <w:bottom w:val="single" w:color="1A365D" w:sz="12"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1928" w:type="dxa"/>
            <w:tcBorders>
              <w:top w:val="single" w:color="auto" w:sz="4" w:space="0"/>
              <w:left w:val="single" w:color="auto" w:sz="4" w:space="0"/>
              <w:bottom w:val="single" w:color="auto" w:sz="4" w:space="0"/>
              <w:right w:val="single" w:color="auto" w:sz="4" w:space="0"/>
            </w:tcBorders>
            <w:shd w:val="clear" w:color="auto" w:fill="FFFFFF"/>
            <w:vAlign w:val="center"/>
          </w:tcPr>
          <w:p w14:paraId="46AC68E9">
            <w:pPr>
              <w:spacing w:before="80" w:after="80" w:line="276" w:lineRule="auto"/>
              <w:rPr>
                <w:color w:val="auto"/>
                <w:sz w:val="21"/>
                <w:szCs w:val="21"/>
              </w:rPr>
            </w:pPr>
            <w:r>
              <w:rPr>
                <w:rFonts w:ascii="宋体" w:hAnsi="宋体" w:eastAsia="宋体"/>
                <w:b/>
                <w:i w:val="0"/>
                <w:color w:val="auto"/>
                <w:sz w:val="21"/>
                <w:szCs w:val="21"/>
              </w:rPr>
              <w:t>设备维护与测试算力费</w:t>
            </w:r>
          </w:p>
        </w:tc>
        <w:tc>
          <w:tcPr>
            <w:tcW w:w="1417" w:type="dxa"/>
            <w:tcBorders>
              <w:top w:val="single" w:color="auto" w:sz="4" w:space="0"/>
              <w:left w:val="single" w:color="auto" w:sz="4" w:space="0"/>
              <w:bottom w:val="single" w:color="auto" w:sz="4" w:space="0"/>
              <w:right w:val="single" w:color="auto" w:sz="4" w:space="0"/>
            </w:tcBorders>
            <w:shd w:val="clear" w:color="auto" w:fill="FFFFFF"/>
            <w:vAlign w:val="center"/>
          </w:tcPr>
          <w:p w14:paraId="3C4BDF22">
            <w:pPr>
              <w:spacing w:before="80" w:after="80" w:line="276" w:lineRule="auto"/>
              <w:rPr>
                <w:color w:val="auto"/>
                <w:sz w:val="21"/>
                <w:szCs w:val="21"/>
              </w:rPr>
            </w:pPr>
            <w:r>
              <w:rPr>
                <w:rFonts w:ascii="宋体" w:hAnsi="宋体" w:eastAsia="宋体"/>
                <w:b w:val="0"/>
                <w:i w:val="0"/>
                <w:color w:val="auto"/>
                <w:sz w:val="21"/>
                <w:szCs w:val="21"/>
              </w:rPr>
              <w:t>1,800 元</w:t>
            </w:r>
          </w:p>
        </w:tc>
        <w:tc>
          <w:tcPr>
            <w:tcW w:w="1020" w:type="dxa"/>
            <w:tcBorders>
              <w:top w:val="single" w:color="auto" w:sz="4" w:space="0"/>
              <w:left w:val="single" w:color="auto" w:sz="4" w:space="0"/>
              <w:bottom w:val="single" w:color="auto" w:sz="4" w:space="0"/>
              <w:right w:val="single" w:color="auto" w:sz="4" w:space="0"/>
            </w:tcBorders>
            <w:shd w:val="clear" w:color="auto" w:fill="FFFFFF"/>
            <w:vAlign w:val="center"/>
          </w:tcPr>
          <w:p w14:paraId="6FA01DB5">
            <w:pPr>
              <w:spacing w:before="80" w:after="80" w:line="276" w:lineRule="auto"/>
              <w:rPr>
                <w:color w:val="auto"/>
                <w:sz w:val="21"/>
                <w:szCs w:val="21"/>
              </w:rPr>
            </w:pPr>
            <w:r>
              <w:rPr>
                <w:rFonts w:ascii="宋体" w:hAnsi="宋体" w:eastAsia="宋体"/>
                <w:b w:val="0"/>
                <w:i w:val="0"/>
                <w:color w:val="auto"/>
                <w:sz w:val="21"/>
                <w:szCs w:val="21"/>
              </w:rPr>
              <w:t>36.0%</w:t>
            </w:r>
          </w:p>
        </w:tc>
        <w:tc>
          <w:tcPr>
            <w:tcW w:w="4422" w:type="dxa"/>
            <w:tcBorders>
              <w:top w:val="single" w:color="auto" w:sz="4" w:space="0"/>
              <w:left w:val="single" w:color="auto" w:sz="4" w:space="0"/>
              <w:bottom w:val="single" w:color="auto" w:sz="4" w:space="0"/>
              <w:right w:val="single" w:color="auto" w:sz="4" w:space="0"/>
            </w:tcBorders>
            <w:shd w:val="clear" w:color="auto" w:fill="FFFFFF"/>
            <w:vAlign w:val="center"/>
          </w:tcPr>
          <w:p w14:paraId="5D0EFA79">
            <w:pPr>
              <w:spacing w:before="80" w:after="80" w:line="276" w:lineRule="auto"/>
              <w:rPr>
                <w:color w:val="auto"/>
                <w:sz w:val="21"/>
                <w:szCs w:val="21"/>
              </w:rPr>
            </w:pPr>
            <w:r>
              <w:rPr>
                <w:rFonts w:ascii="宋体" w:hAnsi="宋体" w:eastAsia="宋体"/>
                <w:b w:val="0"/>
                <w:i w:val="0"/>
                <w:color w:val="auto"/>
                <w:sz w:val="21"/>
                <w:szCs w:val="21"/>
              </w:rPr>
              <w:t>用于模型微调实验、RAG 向量数据库云服务器租赁及 GPU 算力资源实例租用，保障模型调试性能</w:t>
            </w:r>
          </w:p>
        </w:tc>
      </w:tr>
      <w:tr w14:paraId="4EEB5A2A">
        <w:tblPrEx>
          <w:tblBorders>
            <w:top w:val="single" w:color="1A365D" w:sz="12" w:space="0"/>
            <w:left w:val="none" w:color="auto" w:sz="0" w:space="0"/>
            <w:bottom w:val="single" w:color="1A365D" w:sz="12"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1928" w:type="dxa"/>
            <w:tcBorders>
              <w:top w:val="single" w:color="auto" w:sz="4" w:space="0"/>
              <w:left w:val="single" w:color="auto" w:sz="4" w:space="0"/>
              <w:bottom w:val="single" w:color="auto" w:sz="4" w:space="0"/>
              <w:right w:val="single" w:color="auto" w:sz="4" w:space="0"/>
            </w:tcBorders>
            <w:shd w:val="clear" w:color="auto" w:fill="F8FAFC"/>
            <w:vAlign w:val="center"/>
          </w:tcPr>
          <w:p w14:paraId="184C7B41">
            <w:pPr>
              <w:spacing w:before="80" w:after="80" w:line="276" w:lineRule="auto"/>
              <w:rPr>
                <w:color w:val="auto"/>
                <w:sz w:val="21"/>
                <w:szCs w:val="21"/>
              </w:rPr>
            </w:pPr>
            <w:r>
              <w:rPr>
                <w:rFonts w:ascii="宋体" w:hAnsi="宋体" w:eastAsia="宋体"/>
                <w:b/>
                <w:i w:val="0"/>
                <w:color w:val="auto"/>
                <w:sz w:val="21"/>
                <w:szCs w:val="21"/>
              </w:rPr>
              <w:t>专用设备及存储耗材</w:t>
            </w:r>
          </w:p>
        </w:tc>
        <w:tc>
          <w:tcPr>
            <w:tcW w:w="1417" w:type="dxa"/>
            <w:tcBorders>
              <w:top w:val="single" w:color="auto" w:sz="4" w:space="0"/>
              <w:left w:val="single" w:color="auto" w:sz="4" w:space="0"/>
              <w:bottom w:val="single" w:color="auto" w:sz="4" w:space="0"/>
              <w:right w:val="single" w:color="auto" w:sz="4" w:space="0"/>
            </w:tcBorders>
            <w:shd w:val="clear" w:color="auto" w:fill="F8FAFC"/>
            <w:vAlign w:val="center"/>
          </w:tcPr>
          <w:p w14:paraId="6EBC0FF2">
            <w:pPr>
              <w:spacing w:before="80" w:after="80" w:line="276" w:lineRule="auto"/>
              <w:rPr>
                <w:color w:val="auto"/>
                <w:sz w:val="21"/>
                <w:szCs w:val="21"/>
              </w:rPr>
            </w:pPr>
            <w:r>
              <w:rPr>
                <w:rFonts w:ascii="宋体" w:hAnsi="宋体" w:eastAsia="宋体"/>
                <w:b w:val="0"/>
                <w:i w:val="0"/>
                <w:color w:val="auto"/>
                <w:sz w:val="21"/>
                <w:szCs w:val="21"/>
              </w:rPr>
              <w:t>600 元</w:t>
            </w:r>
          </w:p>
        </w:tc>
        <w:tc>
          <w:tcPr>
            <w:tcW w:w="1020" w:type="dxa"/>
            <w:tcBorders>
              <w:top w:val="single" w:color="auto" w:sz="4" w:space="0"/>
              <w:left w:val="single" w:color="auto" w:sz="4" w:space="0"/>
              <w:bottom w:val="single" w:color="auto" w:sz="4" w:space="0"/>
              <w:right w:val="single" w:color="auto" w:sz="4" w:space="0"/>
            </w:tcBorders>
            <w:shd w:val="clear" w:color="auto" w:fill="F8FAFC"/>
            <w:vAlign w:val="center"/>
          </w:tcPr>
          <w:p w14:paraId="7ECAA622">
            <w:pPr>
              <w:spacing w:before="80" w:after="80" w:line="276" w:lineRule="auto"/>
              <w:rPr>
                <w:color w:val="auto"/>
                <w:sz w:val="21"/>
                <w:szCs w:val="21"/>
              </w:rPr>
            </w:pPr>
            <w:r>
              <w:rPr>
                <w:rFonts w:ascii="宋体" w:hAnsi="宋体" w:eastAsia="宋体"/>
                <w:b w:val="0"/>
                <w:i w:val="0"/>
                <w:color w:val="auto"/>
                <w:sz w:val="21"/>
                <w:szCs w:val="21"/>
              </w:rPr>
              <w:t>12.0%</w:t>
            </w:r>
          </w:p>
        </w:tc>
        <w:tc>
          <w:tcPr>
            <w:tcW w:w="4422" w:type="dxa"/>
            <w:tcBorders>
              <w:top w:val="single" w:color="auto" w:sz="4" w:space="0"/>
              <w:left w:val="single" w:color="auto" w:sz="4" w:space="0"/>
              <w:bottom w:val="single" w:color="auto" w:sz="4" w:space="0"/>
              <w:right w:val="single" w:color="auto" w:sz="4" w:space="0"/>
            </w:tcBorders>
            <w:shd w:val="clear" w:color="auto" w:fill="F8FAFC"/>
            <w:vAlign w:val="center"/>
          </w:tcPr>
          <w:p w14:paraId="383D52FE">
            <w:pPr>
              <w:spacing w:before="80" w:after="80" w:line="276" w:lineRule="auto"/>
              <w:rPr>
                <w:color w:val="auto"/>
                <w:sz w:val="21"/>
                <w:szCs w:val="21"/>
              </w:rPr>
            </w:pPr>
            <w:r>
              <w:rPr>
                <w:rFonts w:ascii="宋体" w:hAnsi="宋体" w:eastAsia="宋体"/>
                <w:b w:val="0"/>
                <w:i w:val="0"/>
                <w:color w:val="auto"/>
                <w:sz w:val="21"/>
                <w:szCs w:val="21"/>
              </w:rPr>
              <w:t>采购项目研发专用的移动固态存储硬盘、测试读写设备及小微物联网外设，用于代码离线备份与实机演示</w:t>
            </w:r>
          </w:p>
        </w:tc>
      </w:tr>
      <w:tr w14:paraId="55BDD100">
        <w:tblPrEx>
          <w:tblBorders>
            <w:top w:val="single" w:color="1A365D" w:sz="12" w:space="0"/>
            <w:left w:val="none" w:color="auto" w:sz="0" w:space="0"/>
            <w:bottom w:val="single" w:color="1A365D" w:sz="12"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1928" w:type="dxa"/>
            <w:tcBorders>
              <w:top w:val="single" w:color="auto" w:sz="4" w:space="0"/>
              <w:left w:val="single" w:color="auto" w:sz="4" w:space="0"/>
              <w:bottom w:val="single" w:color="auto" w:sz="4" w:space="0"/>
              <w:right w:val="single" w:color="auto" w:sz="4" w:space="0"/>
            </w:tcBorders>
            <w:shd w:val="clear" w:color="auto" w:fill="FFFFFF"/>
            <w:vAlign w:val="center"/>
          </w:tcPr>
          <w:p w14:paraId="32FDF973">
            <w:pPr>
              <w:spacing w:before="80" w:after="80" w:line="276" w:lineRule="auto"/>
              <w:rPr>
                <w:color w:val="auto"/>
                <w:sz w:val="21"/>
                <w:szCs w:val="21"/>
              </w:rPr>
            </w:pPr>
            <w:r>
              <w:rPr>
                <w:rFonts w:ascii="宋体" w:hAnsi="宋体" w:eastAsia="宋体"/>
                <w:b/>
                <w:i w:val="0"/>
                <w:color w:val="auto"/>
                <w:sz w:val="21"/>
                <w:szCs w:val="21"/>
              </w:rPr>
              <w:t>专业图书资料费</w:t>
            </w:r>
          </w:p>
        </w:tc>
        <w:tc>
          <w:tcPr>
            <w:tcW w:w="1417" w:type="dxa"/>
            <w:tcBorders>
              <w:top w:val="single" w:color="auto" w:sz="4" w:space="0"/>
              <w:left w:val="single" w:color="auto" w:sz="4" w:space="0"/>
              <w:bottom w:val="single" w:color="auto" w:sz="4" w:space="0"/>
              <w:right w:val="single" w:color="auto" w:sz="4" w:space="0"/>
            </w:tcBorders>
            <w:shd w:val="clear" w:color="auto" w:fill="FFFFFF"/>
            <w:vAlign w:val="center"/>
          </w:tcPr>
          <w:p w14:paraId="00C43003">
            <w:pPr>
              <w:spacing w:before="80" w:after="80" w:line="276" w:lineRule="auto"/>
              <w:rPr>
                <w:color w:val="auto"/>
                <w:sz w:val="21"/>
                <w:szCs w:val="21"/>
              </w:rPr>
            </w:pPr>
            <w:r>
              <w:rPr>
                <w:rFonts w:ascii="宋体" w:hAnsi="宋体" w:eastAsia="宋体"/>
                <w:b w:val="0"/>
                <w:i w:val="0"/>
                <w:color w:val="auto"/>
                <w:sz w:val="21"/>
                <w:szCs w:val="21"/>
              </w:rPr>
              <w:t>500 元</w:t>
            </w:r>
          </w:p>
        </w:tc>
        <w:tc>
          <w:tcPr>
            <w:tcW w:w="1020" w:type="dxa"/>
            <w:tcBorders>
              <w:top w:val="single" w:color="auto" w:sz="4" w:space="0"/>
              <w:left w:val="single" w:color="auto" w:sz="4" w:space="0"/>
              <w:bottom w:val="single" w:color="auto" w:sz="4" w:space="0"/>
              <w:right w:val="single" w:color="auto" w:sz="4" w:space="0"/>
            </w:tcBorders>
            <w:shd w:val="clear" w:color="auto" w:fill="FFFFFF"/>
            <w:vAlign w:val="center"/>
          </w:tcPr>
          <w:p w14:paraId="2D2DACC8">
            <w:pPr>
              <w:spacing w:before="80" w:after="80" w:line="276" w:lineRule="auto"/>
              <w:rPr>
                <w:color w:val="auto"/>
                <w:sz w:val="21"/>
                <w:szCs w:val="21"/>
              </w:rPr>
            </w:pPr>
            <w:r>
              <w:rPr>
                <w:rFonts w:ascii="宋体" w:hAnsi="宋体" w:eastAsia="宋体"/>
                <w:b w:val="0"/>
                <w:i w:val="0"/>
                <w:color w:val="auto"/>
                <w:sz w:val="21"/>
                <w:szCs w:val="21"/>
              </w:rPr>
              <w:t>10.0%</w:t>
            </w:r>
          </w:p>
        </w:tc>
        <w:tc>
          <w:tcPr>
            <w:tcW w:w="4422" w:type="dxa"/>
            <w:tcBorders>
              <w:top w:val="single" w:color="auto" w:sz="4" w:space="0"/>
              <w:left w:val="single" w:color="auto" w:sz="4" w:space="0"/>
              <w:bottom w:val="single" w:color="auto" w:sz="4" w:space="0"/>
              <w:right w:val="single" w:color="auto" w:sz="4" w:space="0"/>
            </w:tcBorders>
            <w:shd w:val="clear" w:color="auto" w:fill="FFFFFF"/>
            <w:vAlign w:val="center"/>
          </w:tcPr>
          <w:p w14:paraId="2A727587">
            <w:pPr>
              <w:spacing w:before="80" w:after="80" w:line="276" w:lineRule="auto"/>
              <w:rPr>
                <w:color w:val="auto"/>
                <w:sz w:val="21"/>
                <w:szCs w:val="21"/>
              </w:rPr>
            </w:pPr>
            <w:r>
              <w:rPr>
                <w:rFonts w:ascii="宋体" w:hAnsi="宋体" w:eastAsia="宋体"/>
                <w:b w:val="0"/>
                <w:i w:val="0"/>
                <w:color w:val="auto"/>
                <w:sz w:val="21"/>
                <w:szCs w:val="21"/>
              </w:rPr>
              <w:t>采购大模型微调、RAG 架构优化、现代图书情报学与算法推荐相关权威学术专著，支撑前沿方案论证</w:t>
            </w:r>
          </w:p>
        </w:tc>
      </w:tr>
      <w:tr w14:paraId="3B7D80DB">
        <w:tblPrEx>
          <w:tblBorders>
            <w:top w:val="single" w:color="1A365D" w:sz="12" w:space="0"/>
            <w:left w:val="none" w:color="auto" w:sz="0" w:space="0"/>
            <w:bottom w:val="single" w:color="1A365D" w:sz="12"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1928" w:type="dxa"/>
            <w:tcBorders>
              <w:top w:val="single" w:color="auto" w:sz="4" w:space="0"/>
              <w:left w:val="single" w:color="auto" w:sz="4" w:space="0"/>
              <w:bottom w:val="single" w:color="auto" w:sz="4" w:space="0"/>
              <w:right w:val="single" w:color="auto" w:sz="4" w:space="0"/>
            </w:tcBorders>
            <w:shd w:val="clear" w:color="auto" w:fill="F8FAFC"/>
            <w:vAlign w:val="center"/>
          </w:tcPr>
          <w:p w14:paraId="59A2F682">
            <w:pPr>
              <w:spacing w:before="80" w:after="80" w:line="276" w:lineRule="auto"/>
              <w:rPr>
                <w:color w:val="auto"/>
                <w:sz w:val="21"/>
                <w:szCs w:val="21"/>
              </w:rPr>
            </w:pPr>
            <w:r>
              <w:rPr>
                <w:rFonts w:ascii="宋体" w:hAnsi="宋体" w:eastAsia="宋体"/>
                <w:b/>
                <w:i w:val="0"/>
                <w:color w:val="auto"/>
                <w:sz w:val="21"/>
                <w:szCs w:val="21"/>
              </w:rPr>
              <w:t>交通住宿与调研差旅</w:t>
            </w:r>
          </w:p>
        </w:tc>
        <w:tc>
          <w:tcPr>
            <w:tcW w:w="1417" w:type="dxa"/>
            <w:tcBorders>
              <w:top w:val="single" w:color="auto" w:sz="4" w:space="0"/>
              <w:left w:val="single" w:color="auto" w:sz="4" w:space="0"/>
              <w:bottom w:val="single" w:color="auto" w:sz="4" w:space="0"/>
              <w:right w:val="single" w:color="auto" w:sz="4" w:space="0"/>
            </w:tcBorders>
            <w:shd w:val="clear" w:color="auto" w:fill="F8FAFC"/>
            <w:vAlign w:val="center"/>
          </w:tcPr>
          <w:p w14:paraId="75EA1DC6">
            <w:pPr>
              <w:spacing w:before="80" w:after="80" w:line="276" w:lineRule="auto"/>
              <w:rPr>
                <w:color w:val="auto"/>
                <w:sz w:val="21"/>
                <w:szCs w:val="21"/>
              </w:rPr>
            </w:pPr>
            <w:r>
              <w:rPr>
                <w:rFonts w:ascii="宋体" w:hAnsi="宋体" w:eastAsia="宋体"/>
                <w:b w:val="0"/>
                <w:i w:val="0"/>
                <w:color w:val="auto"/>
                <w:sz w:val="21"/>
                <w:szCs w:val="21"/>
              </w:rPr>
              <w:t>500 元</w:t>
            </w:r>
          </w:p>
        </w:tc>
        <w:tc>
          <w:tcPr>
            <w:tcW w:w="1020" w:type="dxa"/>
            <w:tcBorders>
              <w:top w:val="single" w:color="auto" w:sz="4" w:space="0"/>
              <w:left w:val="single" w:color="auto" w:sz="4" w:space="0"/>
              <w:bottom w:val="single" w:color="auto" w:sz="4" w:space="0"/>
              <w:right w:val="single" w:color="auto" w:sz="4" w:space="0"/>
            </w:tcBorders>
            <w:shd w:val="clear" w:color="auto" w:fill="F8FAFC"/>
            <w:vAlign w:val="center"/>
          </w:tcPr>
          <w:p w14:paraId="3B9876DE">
            <w:pPr>
              <w:spacing w:before="80" w:after="80" w:line="276" w:lineRule="auto"/>
              <w:rPr>
                <w:color w:val="auto"/>
                <w:sz w:val="21"/>
                <w:szCs w:val="21"/>
              </w:rPr>
            </w:pPr>
            <w:r>
              <w:rPr>
                <w:rFonts w:ascii="宋体" w:hAnsi="宋体" w:eastAsia="宋体"/>
                <w:b w:val="0"/>
                <w:i w:val="0"/>
                <w:color w:val="auto"/>
                <w:sz w:val="21"/>
                <w:szCs w:val="21"/>
              </w:rPr>
              <w:t>10.0%</w:t>
            </w:r>
          </w:p>
        </w:tc>
        <w:tc>
          <w:tcPr>
            <w:tcW w:w="4422" w:type="dxa"/>
            <w:tcBorders>
              <w:top w:val="single" w:color="auto" w:sz="4" w:space="0"/>
              <w:left w:val="single" w:color="auto" w:sz="4" w:space="0"/>
              <w:bottom w:val="single" w:color="auto" w:sz="4" w:space="0"/>
              <w:right w:val="single" w:color="auto" w:sz="4" w:space="0"/>
            </w:tcBorders>
            <w:shd w:val="clear" w:color="auto" w:fill="F8FAFC"/>
            <w:vAlign w:val="center"/>
          </w:tcPr>
          <w:p w14:paraId="434CE3C2">
            <w:pPr>
              <w:spacing w:before="80" w:after="80" w:line="276" w:lineRule="auto"/>
              <w:rPr>
                <w:color w:val="auto"/>
                <w:sz w:val="21"/>
                <w:szCs w:val="21"/>
              </w:rPr>
            </w:pPr>
            <w:r>
              <w:rPr>
                <w:rFonts w:ascii="宋体" w:hAnsi="宋体" w:eastAsia="宋体"/>
                <w:b w:val="0"/>
                <w:i w:val="0"/>
                <w:color w:val="auto"/>
                <w:sz w:val="21"/>
                <w:szCs w:val="21"/>
              </w:rPr>
              <w:t>前往上海及长三角兄弟高校图书馆开展现场走访调研，交流学习先进智慧图书馆建设经验与接口规范</w:t>
            </w:r>
          </w:p>
        </w:tc>
      </w:tr>
      <w:tr w14:paraId="16783E67">
        <w:tblPrEx>
          <w:tblBorders>
            <w:top w:val="single" w:color="1A365D" w:sz="12" w:space="0"/>
            <w:left w:val="none" w:color="auto" w:sz="0" w:space="0"/>
            <w:bottom w:val="single" w:color="1A365D" w:sz="12" w:space="0"/>
            <w:right w:val="none" w:color="auto" w:sz="0" w:space="0"/>
            <w:insideH w:val="single" w:color="CBD5E1" w:sz="4" w:space="0"/>
            <w:insideV w:val="none" w:color="auto" w:sz="0" w:space="0"/>
          </w:tblBorders>
          <w:tblCellMar>
            <w:top w:w="0" w:type="dxa"/>
            <w:left w:w="108" w:type="dxa"/>
            <w:bottom w:w="0" w:type="dxa"/>
            <w:right w:w="108" w:type="dxa"/>
          </w:tblCellMar>
        </w:tblPrEx>
        <w:trPr>
          <w:trHeight w:val="1479" w:hRule="atLeast"/>
          <w:jc w:val="center"/>
        </w:trPr>
        <w:tc>
          <w:tcPr>
            <w:tcW w:w="1928" w:type="dxa"/>
            <w:tcBorders>
              <w:top w:val="single" w:color="auto" w:sz="4" w:space="0"/>
              <w:left w:val="single" w:color="auto" w:sz="4" w:space="0"/>
              <w:bottom w:val="single" w:color="auto" w:sz="4" w:space="0"/>
              <w:right w:val="single" w:color="auto" w:sz="4" w:space="0"/>
            </w:tcBorders>
            <w:shd w:val="clear" w:color="auto" w:fill="FFFFFF"/>
            <w:vAlign w:val="center"/>
          </w:tcPr>
          <w:p w14:paraId="4347947A">
            <w:pPr>
              <w:spacing w:before="80" w:after="80" w:line="276" w:lineRule="auto"/>
              <w:rPr>
                <w:color w:val="auto"/>
                <w:sz w:val="21"/>
                <w:szCs w:val="21"/>
              </w:rPr>
            </w:pPr>
            <w:r>
              <w:rPr>
                <w:rFonts w:ascii="宋体" w:hAnsi="宋体" w:eastAsia="宋体"/>
                <w:b/>
                <w:i w:val="0"/>
                <w:color w:val="auto"/>
                <w:sz w:val="21"/>
                <w:szCs w:val="21"/>
              </w:rPr>
              <w:t>实验测试材料费</w:t>
            </w:r>
          </w:p>
        </w:tc>
        <w:tc>
          <w:tcPr>
            <w:tcW w:w="1417" w:type="dxa"/>
            <w:tcBorders>
              <w:top w:val="single" w:color="auto" w:sz="4" w:space="0"/>
              <w:left w:val="single" w:color="auto" w:sz="4" w:space="0"/>
              <w:bottom w:val="single" w:color="auto" w:sz="4" w:space="0"/>
              <w:right w:val="single" w:color="auto" w:sz="4" w:space="0"/>
            </w:tcBorders>
            <w:shd w:val="clear" w:color="auto" w:fill="FFFFFF"/>
            <w:vAlign w:val="center"/>
          </w:tcPr>
          <w:p w14:paraId="482E892C">
            <w:pPr>
              <w:spacing w:before="80" w:after="80" w:line="276" w:lineRule="auto"/>
              <w:rPr>
                <w:color w:val="auto"/>
                <w:sz w:val="21"/>
                <w:szCs w:val="21"/>
              </w:rPr>
            </w:pPr>
            <w:r>
              <w:rPr>
                <w:rFonts w:ascii="宋体" w:hAnsi="宋体" w:eastAsia="宋体"/>
                <w:b w:val="0"/>
                <w:i w:val="0"/>
                <w:color w:val="auto"/>
                <w:sz w:val="21"/>
                <w:szCs w:val="21"/>
              </w:rPr>
              <w:t>400 元</w:t>
            </w:r>
          </w:p>
        </w:tc>
        <w:tc>
          <w:tcPr>
            <w:tcW w:w="1020" w:type="dxa"/>
            <w:tcBorders>
              <w:top w:val="single" w:color="auto" w:sz="4" w:space="0"/>
              <w:left w:val="single" w:color="auto" w:sz="4" w:space="0"/>
              <w:bottom w:val="single" w:color="auto" w:sz="4" w:space="0"/>
              <w:right w:val="single" w:color="auto" w:sz="4" w:space="0"/>
            </w:tcBorders>
            <w:shd w:val="clear" w:color="auto" w:fill="FFFFFF"/>
            <w:vAlign w:val="center"/>
          </w:tcPr>
          <w:p w14:paraId="4871071D">
            <w:pPr>
              <w:spacing w:before="80" w:after="80" w:line="276" w:lineRule="auto"/>
              <w:rPr>
                <w:color w:val="auto"/>
                <w:sz w:val="21"/>
                <w:szCs w:val="21"/>
              </w:rPr>
            </w:pPr>
            <w:r>
              <w:rPr>
                <w:rFonts w:ascii="宋体" w:hAnsi="宋体" w:eastAsia="宋体"/>
                <w:b w:val="0"/>
                <w:i w:val="0"/>
                <w:color w:val="auto"/>
                <w:sz w:val="21"/>
                <w:szCs w:val="21"/>
              </w:rPr>
              <w:t>8.0%</w:t>
            </w:r>
          </w:p>
        </w:tc>
        <w:tc>
          <w:tcPr>
            <w:tcW w:w="4422" w:type="dxa"/>
            <w:tcBorders>
              <w:top w:val="single" w:color="auto" w:sz="4" w:space="0"/>
              <w:left w:val="single" w:color="auto" w:sz="4" w:space="0"/>
              <w:bottom w:val="single" w:color="auto" w:sz="4" w:space="0"/>
              <w:right w:val="single" w:color="auto" w:sz="4" w:space="0"/>
            </w:tcBorders>
            <w:shd w:val="clear" w:color="auto" w:fill="FFFFFF"/>
            <w:vAlign w:val="center"/>
          </w:tcPr>
          <w:p w14:paraId="52ADD42D">
            <w:pPr>
              <w:spacing w:before="80" w:after="80" w:line="276" w:lineRule="auto"/>
              <w:rPr>
                <w:color w:val="auto"/>
                <w:sz w:val="21"/>
                <w:szCs w:val="21"/>
              </w:rPr>
            </w:pPr>
            <w:r>
              <w:rPr>
                <w:rFonts w:ascii="宋体" w:hAnsi="宋体" w:eastAsia="宋体"/>
                <w:b w:val="0"/>
                <w:i w:val="0"/>
                <w:color w:val="auto"/>
                <w:sz w:val="21"/>
                <w:szCs w:val="21"/>
              </w:rPr>
              <w:t>用于大语言模型 API 接口高并发压力测试调用额度采购、数据集清洗标引第三方校验工具费用</w:t>
            </w:r>
          </w:p>
        </w:tc>
      </w:tr>
      <w:tr w14:paraId="57F008FD">
        <w:tblPrEx>
          <w:tblBorders>
            <w:top w:val="single" w:color="1A365D" w:sz="12" w:space="0"/>
            <w:left w:val="none" w:color="auto" w:sz="0" w:space="0"/>
            <w:bottom w:val="single" w:color="1A365D" w:sz="12" w:space="0"/>
            <w:right w:val="none" w:color="auto" w:sz="0" w:space="0"/>
            <w:insideH w:val="single" w:color="CBD5E1" w:sz="4" w:space="0"/>
            <w:insideV w:val="none" w:color="auto" w:sz="0" w:space="0"/>
          </w:tblBorders>
          <w:tblCellMar>
            <w:top w:w="0" w:type="dxa"/>
            <w:left w:w="108" w:type="dxa"/>
            <w:bottom w:w="0" w:type="dxa"/>
            <w:right w:w="108" w:type="dxa"/>
          </w:tblCellMar>
        </w:tblPrEx>
        <w:trPr>
          <w:trHeight w:val="1279" w:hRule="atLeast"/>
          <w:jc w:val="center"/>
        </w:trPr>
        <w:tc>
          <w:tcPr>
            <w:tcW w:w="1928" w:type="dxa"/>
            <w:tcBorders>
              <w:top w:val="single" w:color="auto" w:sz="4" w:space="0"/>
              <w:left w:val="single" w:color="auto" w:sz="4" w:space="0"/>
              <w:bottom w:val="single" w:color="auto" w:sz="4" w:space="0"/>
              <w:right w:val="single" w:color="auto" w:sz="4" w:space="0"/>
            </w:tcBorders>
            <w:shd w:val="clear" w:color="auto" w:fill="F8FAFC"/>
            <w:vAlign w:val="center"/>
          </w:tcPr>
          <w:p w14:paraId="761AD8CE">
            <w:pPr>
              <w:spacing w:before="80" w:after="80" w:line="276" w:lineRule="auto"/>
              <w:rPr>
                <w:color w:val="auto"/>
                <w:sz w:val="21"/>
                <w:szCs w:val="21"/>
              </w:rPr>
            </w:pPr>
            <w:r>
              <w:rPr>
                <w:rFonts w:ascii="宋体" w:hAnsi="宋体" w:eastAsia="宋体"/>
                <w:b/>
                <w:i w:val="0"/>
                <w:color w:val="auto"/>
                <w:sz w:val="21"/>
                <w:szCs w:val="21"/>
              </w:rPr>
              <w:t>印刷与成果出版费</w:t>
            </w:r>
          </w:p>
        </w:tc>
        <w:tc>
          <w:tcPr>
            <w:tcW w:w="1417" w:type="dxa"/>
            <w:tcBorders>
              <w:top w:val="single" w:color="auto" w:sz="4" w:space="0"/>
              <w:left w:val="single" w:color="auto" w:sz="4" w:space="0"/>
              <w:bottom w:val="single" w:color="auto" w:sz="4" w:space="0"/>
              <w:right w:val="single" w:color="auto" w:sz="4" w:space="0"/>
            </w:tcBorders>
            <w:shd w:val="clear" w:color="auto" w:fill="F8FAFC"/>
            <w:vAlign w:val="center"/>
          </w:tcPr>
          <w:p w14:paraId="762D1F1D">
            <w:pPr>
              <w:spacing w:before="80" w:after="80" w:line="276" w:lineRule="auto"/>
              <w:rPr>
                <w:color w:val="auto"/>
                <w:sz w:val="21"/>
                <w:szCs w:val="21"/>
              </w:rPr>
            </w:pPr>
            <w:r>
              <w:rPr>
                <w:rFonts w:ascii="宋体" w:hAnsi="宋体" w:eastAsia="宋体"/>
                <w:b w:val="0"/>
                <w:i w:val="0"/>
                <w:color w:val="auto"/>
                <w:sz w:val="21"/>
                <w:szCs w:val="21"/>
              </w:rPr>
              <w:t>300 元</w:t>
            </w:r>
          </w:p>
        </w:tc>
        <w:tc>
          <w:tcPr>
            <w:tcW w:w="1020" w:type="dxa"/>
            <w:tcBorders>
              <w:top w:val="single" w:color="auto" w:sz="4" w:space="0"/>
              <w:left w:val="single" w:color="auto" w:sz="4" w:space="0"/>
              <w:bottom w:val="single" w:color="auto" w:sz="4" w:space="0"/>
              <w:right w:val="single" w:color="auto" w:sz="4" w:space="0"/>
            </w:tcBorders>
            <w:shd w:val="clear" w:color="auto" w:fill="F8FAFC"/>
            <w:vAlign w:val="center"/>
          </w:tcPr>
          <w:p w14:paraId="145F7302">
            <w:pPr>
              <w:spacing w:before="80" w:after="80" w:line="276" w:lineRule="auto"/>
              <w:rPr>
                <w:color w:val="auto"/>
                <w:sz w:val="21"/>
                <w:szCs w:val="21"/>
              </w:rPr>
            </w:pPr>
            <w:r>
              <w:rPr>
                <w:rFonts w:ascii="宋体" w:hAnsi="宋体" w:eastAsia="宋体"/>
                <w:b w:val="0"/>
                <w:i w:val="0"/>
                <w:color w:val="auto"/>
                <w:sz w:val="21"/>
                <w:szCs w:val="21"/>
              </w:rPr>
              <w:t>6.0%</w:t>
            </w:r>
          </w:p>
        </w:tc>
        <w:tc>
          <w:tcPr>
            <w:tcW w:w="4422" w:type="dxa"/>
            <w:tcBorders>
              <w:top w:val="single" w:color="auto" w:sz="4" w:space="0"/>
              <w:left w:val="single" w:color="auto" w:sz="4" w:space="0"/>
              <w:bottom w:val="single" w:color="auto" w:sz="4" w:space="0"/>
              <w:right w:val="single" w:color="auto" w:sz="4" w:space="0"/>
            </w:tcBorders>
            <w:shd w:val="clear" w:color="auto" w:fill="F8FAFC"/>
            <w:vAlign w:val="center"/>
          </w:tcPr>
          <w:p w14:paraId="7629F1DD">
            <w:pPr>
              <w:spacing w:before="80" w:after="80" w:line="276" w:lineRule="auto"/>
              <w:rPr>
                <w:color w:val="auto"/>
                <w:sz w:val="21"/>
                <w:szCs w:val="21"/>
              </w:rPr>
            </w:pPr>
            <w:r>
              <w:rPr>
                <w:rFonts w:ascii="宋体" w:hAnsi="宋体" w:eastAsia="宋体"/>
                <w:b w:val="0"/>
                <w:i w:val="0"/>
                <w:color w:val="auto"/>
                <w:sz w:val="21"/>
                <w:szCs w:val="21"/>
              </w:rPr>
              <w:t>项目立项报告、学术中期总结、测试评测分析报告、成果展示画册及答辩 PPT 演示手册的高清装订打印</w:t>
            </w:r>
          </w:p>
        </w:tc>
      </w:tr>
      <w:tr w14:paraId="77F919C2">
        <w:tblPrEx>
          <w:tblBorders>
            <w:top w:val="single" w:color="1A365D" w:sz="12" w:space="0"/>
            <w:left w:val="none" w:color="auto" w:sz="0" w:space="0"/>
            <w:bottom w:val="single" w:color="1A365D" w:sz="12"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1928" w:type="dxa"/>
            <w:tcBorders>
              <w:top w:val="single" w:color="auto" w:sz="4" w:space="0"/>
              <w:left w:val="single" w:color="auto" w:sz="4" w:space="0"/>
              <w:bottom w:val="single" w:color="auto" w:sz="4" w:space="0"/>
              <w:right w:val="single" w:color="auto" w:sz="4" w:space="0"/>
            </w:tcBorders>
            <w:shd w:val="clear" w:color="auto" w:fill="FFFFFF"/>
            <w:vAlign w:val="center"/>
          </w:tcPr>
          <w:p w14:paraId="020443CB">
            <w:pPr>
              <w:spacing w:before="80" w:after="80" w:line="276" w:lineRule="auto"/>
              <w:rPr>
                <w:color w:val="auto"/>
                <w:sz w:val="21"/>
                <w:szCs w:val="21"/>
              </w:rPr>
            </w:pPr>
            <w:r>
              <w:rPr>
                <w:rFonts w:ascii="宋体" w:hAnsi="宋体" w:eastAsia="宋体"/>
                <w:b/>
                <w:i w:val="0"/>
                <w:color w:val="auto"/>
                <w:sz w:val="21"/>
                <w:szCs w:val="21"/>
              </w:rPr>
              <w:t>知识产权与成果宣传</w:t>
            </w:r>
          </w:p>
        </w:tc>
        <w:tc>
          <w:tcPr>
            <w:tcW w:w="1417" w:type="dxa"/>
            <w:tcBorders>
              <w:top w:val="single" w:color="auto" w:sz="4" w:space="0"/>
              <w:left w:val="single" w:color="auto" w:sz="4" w:space="0"/>
              <w:bottom w:val="single" w:color="auto" w:sz="4" w:space="0"/>
              <w:right w:val="single" w:color="auto" w:sz="4" w:space="0"/>
            </w:tcBorders>
            <w:shd w:val="clear" w:color="auto" w:fill="FFFFFF"/>
            <w:vAlign w:val="center"/>
          </w:tcPr>
          <w:p w14:paraId="7CF4E127">
            <w:pPr>
              <w:spacing w:before="80" w:after="80" w:line="276" w:lineRule="auto"/>
              <w:rPr>
                <w:color w:val="auto"/>
                <w:sz w:val="21"/>
                <w:szCs w:val="21"/>
              </w:rPr>
            </w:pPr>
            <w:r>
              <w:rPr>
                <w:rFonts w:ascii="宋体" w:hAnsi="宋体" w:eastAsia="宋体"/>
                <w:b w:val="0"/>
                <w:i w:val="0"/>
                <w:color w:val="auto"/>
                <w:sz w:val="21"/>
                <w:szCs w:val="21"/>
              </w:rPr>
              <w:t>400 元</w:t>
            </w:r>
          </w:p>
        </w:tc>
        <w:tc>
          <w:tcPr>
            <w:tcW w:w="1020" w:type="dxa"/>
            <w:tcBorders>
              <w:top w:val="single" w:color="auto" w:sz="4" w:space="0"/>
              <w:left w:val="single" w:color="auto" w:sz="4" w:space="0"/>
              <w:bottom w:val="single" w:color="auto" w:sz="4" w:space="0"/>
              <w:right w:val="single" w:color="auto" w:sz="4" w:space="0"/>
            </w:tcBorders>
            <w:shd w:val="clear" w:color="auto" w:fill="FFFFFF"/>
            <w:vAlign w:val="center"/>
          </w:tcPr>
          <w:p w14:paraId="1A954470">
            <w:pPr>
              <w:spacing w:before="80" w:after="80" w:line="276" w:lineRule="auto"/>
              <w:rPr>
                <w:color w:val="auto"/>
                <w:sz w:val="21"/>
                <w:szCs w:val="21"/>
              </w:rPr>
            </w:pPr>
            <w:r>
              <w:rPr>
                <w:rFonts w:ascii="宋体" w:hAnsi="宋体" w:eastAsia="宋体"/>
                <w:b w:val="0"/>
                <w:i w:val="0"/>
                <w:color w:val="auto"/>
                <w:sz w:val="21"/>
                <w:szCs w:val="21"/>
              </w:rPr>
              <w:t>8.0%</w:t>
            </w:r>
          </w:p>
        </w:tc>
        <w:tc>
          <w:tcPr>
            <w:tcW w:w="4422" w:type="dxa"/>
            <w:tcBorders>
              <w:top w:val="single" w:color="auto" w:sz="4" w:space="0"/>
              <w:left w:val="single" w:color="auto" w:sz="4" w:space="0"/>
              <w:bottom w:val="single" w:color="auto" w:sz="4" w:space="0"/>
              <w:right w:val="single" w:color="auto" w:sz="4" w:space="0"/>
            </w:tcBorders>
            <w:shd w:val="clear" w:color="auto" w:fill="FFFFFF"/>
            <w:vAlign w:val="center"/>
          </w:tcPr>
          <w:p w14:paraId="0B148628">
            <w:pPr>
              <w:spacing w:before="80" w:after="80" w:line="276" w:lineRule="auto"/>
              <w:rPr>
                <w:color w:val="auto"/>
                <w:sz w:val="21"/>
                <w:szCs w:val="21"/>
              </w:rPr>
            </w:pPr>
            <w:r>
              <w:rPr>
                <w:rFonts w:ascii="宋体" w:hAnsi="宋体" w:eastAsia="宋体"/>
                <w:b w:val="0"/>
                <w:i w:val="0"/>
                <w:color w:val="auto"/>
                <w:sz w:val="21"/>
                <w:szCs w:val="21"/>
              </w:rPr>
              <w:t>用于小范围用户体验试用激励（读者文创礼品），以及软件著作权申请官方登记与审核手续费补贴</w:t>
            </w:r>
          </w:p>
        </w:tc>
      </w:tr>
      <w:tr w14:paraId="41BED8D9">
        <w:tblPrEx>
          <w:tblBorders>
            <w:top w:val="single" w:color="1A365D" w:sz="12" w:space="0"/>
            <w:left w:val="none" w:color="auto" w:sz="0" w:space="0"/>
            <w:bottom w:val="single" w:color="1A365D" w:sz="12"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1928" w:type="dxa"/>
            <w:tcBorders>
              <w:top w:val="single" w:color="auto" w:sz="4" w:space="0"/>
              <w:left w:val="single" w:color="auto" w:sz="4" w:space="0"/>
              <w:bottom w:val="single" w:color="auto" w:sz="4" w:space="0"/>
              <w:right w:val="single" w:color="auto" w:sz="4" w:space="0"/>
            </w:tcBorders>
            <w:shd w:val="clear" w:color="auto" w:fill="F8FAFC"/>
            <w:vAlign w:val="center"/>
          </w:tcPr>
          <w:p w14:paraId="37A8EE9F">
            <w:pPr>
              <w:spacing w:before="80" w:after="80" w:line="276" w:lineRule="auto"/>
              <w:rPr>
                <w:color w:val="auto"/>
                <w:sz w:val="21"/>
                <w:szCs w:val="21"/>
              </w:rPr>
            </w:pPr>
            <w:r>
              <w:rPr>
                <w:rFonts w:ascii="宋体" w:hAnsi="宋体" w:eastAsia="宋体"/>
                <w:b/>
                <w:i w:val="0"/>
                <w:color w:val="auto"/>
                <w:sz w:val="21"/>
                <w:szCs w:val="21"/>
              </w:rPr>
              <w:t>办公用品与基础耗材</w:t>
            </w:r>
          </w:p>
        </w:tc>
        <w:tc>
          <w:tcPr>
            <w:tcW w:w="1417" w:type="dxa"/>
            <w:tcBorders>
              <w:top w:val="single" w:color="auto" w:sz="4" w:space="0"/>
              <w:left w:val="single" w:color="auto" w:sz="4" w:space="0"/>
              <w:bottom w:val="single" w:color="auto" w:sz="4" w:space="0"/>
              <w:right w:val="single" w:color="auto" w:sz="4" w:space="0"/>
            </w:tcBorders>
            <w:shd w:val="clear" w:color="auto" w:fill="F8FAFC"/>
            <w:vAlign w:val="center"/>
          </w:tcPr>
          <w:p w14:paraId="005E9E08">
            <w:pPr>
              <w:spacing w:before="80" w:after="80" w:line="276" w:lineRule="auto"/>
              <w:rPr>
                <w:color w:val="auto"/>
                <w:sz w:val="21"/>
                <w:szCs w:val="21"/>
              </w:rPr>
            </w:pPr>
            <w:r>
              <w:rPr>
                <w:rFonts w:ascii="宋体" w:hAnsi="宋体" w:eastAsia="宋体"/>
                <w:b w:val="0"/>
                <w:i w:val="0"/>
                <w:color w:val="auto"/>
                <w:sz w:val="21"/>
                <w:szCs w:val="21"/>
              </w:rPr>
              <w:t>300 元</w:t>
            </w:r>
          </w:p>
        </w:tc>
        <w:tc>
          <w:tcPr>
            <w:tcW w:w="1020" w:type="dxa"/>
            <w:tcBorders>
              <w:top w:val="single" w:color="auto" w:sz="4" w:space="0"/>
              <w:left w:val="single" w:color="auto" w:sz="4" w:space="0"/>
              <w:bottom w:val="single" w:color="auto" w:sz="4" w:space="0"/>
              <w:right w:val="single" w:color="auto" w:sz="4" w:space="0"/>
            </w:tcBorders>
            <w:shd w:val="clear" w:color="auto" w:fill="F8FAFC"/>
            <w:vAlign w:val="center"/>
          </w:tcPr>
          <w:p w14:paraId="6ABA195A">
            <w:pPr>
              <w:spacing w:before="80" w:after="80" w:line="276" w:lineRule="auto"/>
              <w:rPr>
                <w:color w:val="auto"/>
                <w:sz w:val="21"/>
                <w:szCs w:val="21"/>
              </w:rPr>
            </w:pPr>
            <w:r>
              <w:rPr>
                <w:rFonts w:ascii="宋体" w:hAnsi="宋体" w:eastAsia="宋体"/>
                <w:b w:val="0"/>
                <w:i w:val="0"/>
                <w:color w:val="auto"/>
                <w:sz w:val="21"/>
                <w:szCs w:val="21"/>
              </w:rPr>
              <w:t>6.0%</w:t>
            </w:r>
          </w:p>
        </w:tc>
        <w:tc>
          <w:tcPr>
            <w:tcW w:w="4422" w:type="dxa"/>
            <w:tcBorders>
              <w:top w:val="single" w:color="auto" w:sz="4" w:space="0"/>
              <w:left w:val="single" w:color="auto" w:sz="4" w:space="0"/>
              <w:bottom w:val="single" w:color="auto" w:sz="4" w:space="0"/>
              <w:right w:val="single" w:color="auto" w:sz="4" w:space="0"/>
            </w:tcBorders>
            <w:shd w:val="clear" w:color="auto" w:fill="F8FAFC"/>
            <w:vAlign w:val="center"/>
          </w:tcPr>
          <w:p w14:paraId="569EA622">
            <w:pPr>
              <w:spacing w:before="80" w:after="80" w:line="276" w:lineRule="auto"/>
              <w:rPr>
                <w:color w:val="auto"/>
                <w:sz w:val="21"/>
                <w:szCs w:val="21"/>
              </w:rPr>
            </w:pPr>
            <w:r>
              <w:rPr>
                <w:rFonts w:ascii="宋体" w:hAnsi="宋体" w:eastAsia="宋体"/>
                <w:b w:val="0"/>
                <w:i w:val="0"/>
                <w:color w:val="auto"/>
                <w:sz w:val="21"/>
                <w:szCs w:val="21"/>
              </w:rPr>
              <w:t>日常研发研讨所需的白板笔、打印纸张、手写记录本、便签及日常办公耗材采购</w:t>
            </w:r>
          </w:p>
        </w:tc>
      </w:tr>
      <w:tr w14:paraId="0386B6C8">
        <w:tblPrEx>
          <w:tblBorders>
            <w:top w:val="single" w:color="1A365D" w:sz="12" w:space="0"/>
            <w:left w:val="none" w:color="auto" w:sz="0" w:space="0"/>
            <w:bottom w:val="single" w:color="1A365D" w:sz="12"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1928" w:type="dxa"/>
            <w:tcBorders>
              <w:top w:val="single" w:color="auto" w:sz="4" w:space="0"/>
              <w:left w:val="single" w:color="auto" w:sz="4" w:space="0"/>
              <w:bottom w:val="single" w:color="auto" w:sz="4" w:space="0"/>
              <w:right w:val="single" w:color="auto" w:sz="4" w:space="0"/>
            </w:tcBorders>
            <w:shd w:val="clear" w:color="auto" w:fill="FFFFFF"/>
            <w:vAlign w:val="center"/>
          </w:tcPr>
          <w:p w14:paraId="4D9FACC1">
            <w:pPr>
              <w:spacing w:before="80" w:after="80" w:line="276" w:lineRule="auto"/>
              <w:rPr>
                <w:color w:val="auto"/>
                <w:sz w:val="21"/>
                <w:szCs w:val="21"/>
              </w:rPr>
            </w:pPr>
            <w:r>
              <w:rPr>
                <w:rFonts w:ascii="宋体" w:hAnsi="宋体" w:eastAsia="宋体"/>
                <w:b/>
                <w:i w:val="0"/>
                <w:color w:val="auto"/>
                <w:sz w:val="21"/>
                <w:szCs w:val="21"/>
              </w:rPr>
              <w:t>专业培训与学术会议</w:t>
            </w:r>
          </w:p>
        </w:tc>
        <w:tc>
          <w:tcPr>
            <w:tcW w:w="1417" w:type="dxa"/>
            <w:tcBorders>
              <w:top w:val="single" w:color="auto" w:sz="4" w:space="0"/>
              <w:left w:val="single" w:color="auto" w:sz="4" w:space="0"/>
              <w:bottom w:val="single" w:color="auto" w:sz="4" w:space="0"/>
              <w:right w:val="single" w:color="auto" w:sz="4" w:space="0"/>
            </w:tcBorders>
            <w:shd w:val="clear" w:color="auto" w:fill="FFFFFF"/>
            <w:vAlign w:val="center"/>
          </w:tcPr>
          <w:p w14:paraId="15E3F4FE">
            <w:pPr>
              <w:spacing w:before="80" w:after="80" w:line="276" w:lineRule="auto"/>
              <w:rPr>
                <w:color w:val="auto"/>
                <w:sz w:val="21"/>
                <w:szCs w:val="21"/>
              </w:rPr>
            </w:pPr>
            <w:r>
              <w:rPr>
                <w:rFonts w:ascii="宋体" w:hAnsi="宋体" w:eastAsia="宋体"/>
                <w:b w:val="0"/>
                <w:i w:val="0"/>
                <w:color w:val="auto"/>
                <w:sz w:val="21"/>
                <w:szCs w:val="21"/>
              </w:rPr>
              <w:t>200 元</w:t>
            </w:r>
          </w:p>
        </w:tc>
        <w:tc>
          <w:tcPr>
            <w:tcW w:w="1020" w:type="dxa"/>
            <w:tcBorders>
              <w:top w:val="single" w:color="auto" w:sz="4" w:space="0"/>
              <w:left w:val="single" w:color="auto" w:sz="4" w:space="0"/>
              <w:bottom w:val="single" w:color="auto" w:sz="4" w:space="0"/>
              <w:right w:val="single" w:color="auto" w:sz="4" w:space="0"/>
            </w:tcBorders>
            <w:shd w:val="clear" w:color="auto" w:fill="FFFFFF"/>
            <w:vAlign w:val="center"/>
          </w:tcPr>
          <w:p w14:paraId="375614F1">
            <w:pPr>
              <w:spacing w:before="80" w:after="80" w:line="276" w:lineRule="auto"/>
              <w:rPr>
                <w:color w:val="auto"/>
                <w:sz w:val="21"/>
                <w:szCs w:val="21"/>
              </w:rPr>
            </w:pPr>
            <w:r>
              <w:rPr>
                <w:rFonts w:ascii="宋体" w:hAnsi="宋体" w:eastAsia="宋体"/>
                <w:b w:val="0"/>
                <w:i w:val="0"/>
                <w:color w:val="auto"/>
                <w:sz w:val="21"/>
                <w:szCs w:val="21"/>
              </w:rPr>
              <w:t>4.0%</w:t>
            </w:r>
          </w:p>
        </w:tc>
        <w:tc>
          <w:tcPr>
            <w:tcW w:w="4422" w:type="dxa"/>
            <w:tcBorders>
              <w:top w:val="single" w:color="auto" w:sz="4" w:space="0"/>
              <w:left w:val="single" w:color="auto" w:sz="4" w:space="0"/>
              <w:bottom w:val="single" w:color="auto" w:sz="4" w:space="0"/>
              <w:right w:val="single" w:color="auto" w:sz="4" w:space="0"/>
            </w:tcBorders>
            <w:shd w:val="clear" w:color="auto" w:fill="FFFFFF"/>
            <w:vAlign w:val="center"/>
          </w:tcPr>
          <w:p w14:paraId="387852A2">
            <w:pPr>
              <w:spacing w:before="80" w:after="80" w:line="276" w:lineRule="auto"/>
              <w:rPr>
                <w:color w:val="auto"/>
                <w:sz w:val="21"/>
                <w:szCs w:val="21"/>
              </w:rPr>
            </w:pPr>
            <w:r>
              <w:rPr>
                <w:rFonts w:ascii="宋体" w:hAnsi="宋体" w:eastAsia="宋体"/>
                <w:b w:val="0"/>
                <w:i w:val="0"/>
                <w:color w:val="auto"/>
                <w:sz w:val="21"/>
                <w:szCs w:val="21"/>
              </w:rPr>
              <w:t>参与高校数字化建设、大模型垂直应用开发者技术沙龙及学术线上专题研讨培训会注册费</w:t>
            </w:r>
          </w:p>
        </w:tc>
      </w:tr>
      <w:tr w14:paraId="6F152B3A">
        <w:tblPrEx>
          <w:tblBorders>
            <w:top w:val="single" w:color="1A365D" w:sz="12" w:space="0"/>
            <w:left w:val="none" w:color="auto" w:sz="0" w:space="0"/>
            <w:bottom w:val="single" w:color="1A365D" w:sz="12"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1928" w:type="dxa"/>
            <w:tcBorders>
              <w:top w:val="single" w:color="auto" w:sz="4" w:space="0"/>
              <w:left w:val="single" w:color="auto" w:sz="4" w:space="0"/>
              <w:bottom w:val="single" w:color="auto" w:sz="4" w:space="0"/>
              <w:right w:val="single" w:color="auto" w:sz="4" w:space="0"/>
            </w:tcBorders>
            <w:shd w:val="clear" w:color="auto" w:fill="F8FAFC"/>
            <w:vAlign w:val="center"/>
          </w:tcPr>
          <w:p w14:paraId="568F4092">
            <w:pPr>
              <w:spacing w:before="80" w:after="80" w:line="276" w:lineRule="auto"/>
              <w:rPr>
                <w:color w:val="auto"/>
                <w:sz w:val="21"/>
                <w:szCs w:val="21"/>
              </w:rPr>
            </w:pPr>
            <w:r>
              <w:rPr>
                <w:rFonts w:ascii="宋体" w:hAnsi="宋体" w:eastAsia="宋体"/>
                <w:b/>
                <w:i w:val="0"/>
                <w:color w:val="auto"/>
                <w:sz w:val="21"/>
                <w:szCs w:val="21"/>
              </w:rPr>
              <w:t>合  计</w:t>
            </w:r>
          </w:p>
        </w:tc>
        <w:tc>
          <w:tcPr>
            <w:tcW w:w="1417" w:type="dxa"/>
            <w:tcBorders>
              <w:top w:val="single" w:color="auto" w:sz="4" w:space="0"/>
              <w:left w:val="single" w:color="auto" w:sz="4" w:space="0"/>
              <w:bottom w:val="single" w:color="auto" w:sz="4" w:space="0"/>
              <w:right w:val="single" w:color="auto" w:sz="4" w:space="0"/>
            </w:tcBorders>
            <w:shd w:val="clear" w:color="auto" w:fill="F8FAFC"/>
            <w:vAlign w:val="center"/>
          </w:tcPr>
          <w:p w14:paraId="5964E563">
            <w:pPr>
              <w:spacing w:before="80" w:after="80" w:line="276" w:lineRule="auto"/>
              <w:rPr>
                <w:color w:val="auto"/>
                <w:sz w:val="21"/>
                <w:szCs w:val="21"/>
              </w:rPr>
            </w:pPr>
            <w:r>
              <w:rPr>
                <w:rFonts w:ascii="宋体" w:hAnsi="宋体" w:eastAsia="宋体"/>
                <w:b w:val="0"/>
                <w:i w:val="0"/>
                <w:color w:val="auto"/>
                <w:sz w:val="21"/>
                <w:szCs w:val="21"/>
              </w:rPr>
              <w:t>5,000 元</w:t>
            </w:r>
          </w:p>
        </w:tc>
        <w:tc>
          <w:tcPr>
            <w:tcW w:w="1020" w:type="dxa"/>
            <w:tcBorders>
              <w:top w:val="single" w:color="auto" w:sz="4" w:space="0"/>
              <w:left w:val="single" w:color="auto" w:sz="4" w:space="0"/>
              <w:bottom w:val="single" w:color="auto" w:sz="4" w:space="0"/>
              <w:right w:val="single" w:color="auto" w:sz="4" w:space="0"/>
            </w:tcBorders>
            <w:shd w:val="clear" w:color="auto" w:fill="F8FAFC"/>
            <w:vAlign w:val="center"/>
          </w:tcPr>
          <w:p w14:paraId="01576E87">
            <w:pPr>
              <w:spacing w:before="80" w:after="80" w:line="276" w:lineRule="auto"/>
              <w:rPr>
                <w:color w:val="auto"/>
                <w:sz w:val="21"/>
                <w:szCs w:val="21"/>
              </w:rPr>
            </w:pPr>
            <w:r>
              <w:rPr>
                <w:rFonts w:ascii="宋体" w:hAnsi="宋体" w:eastAsia="宋体"/>
                <w:b w:val="0"/>
                <w:i w:val="0"/>
                <w:color w:val="auto"/>
                <w:sz w:val="21"/>
                <w:szCs w:val="21"/>
              </w:rPr>
              <w:t>100.0%</w:t>
            </w:r>
          </w:p>
        </w:tc>
        <w:tc>
          <w:tcPr>
            <w:tcW w:w="4422" w:type="dxa"/>
            <w:tcBorders>
              <w:top w:val="single" w:color="auto" w:sz="4" w:space="0"/>
              <w:left w:val="single" w:color="auto" w:sz="4" w:space="0"/>
              <w:bottom w:val="single" w:color="auto" w:sz="4" w:space="0"/>
              <w:right w:val="single" w:color="auto" w:sz="4" w:space="0"/>
            </w:tcBorders>
            <w:shd w:val="clear" w:color="auto" w:fill="F8FAFC"/>
            <w:vAlign w:val="center"/>
          </w:tcPr>
          <w:p w14:paraId="40243050">
            <w:pPr>
              <w:spacing w:before="80" w:after="80" w:line="276" w:lineRule="auto"/>
              <w:rPr>
                <w:color w:val="auto"/>
                <w:sz w:val="21"/>
                <w:szCs w:val="21"/>
              </w:rPr>
            </w:pPr>
            <w:r>
              <w:rPr>
                <w:rFonts w:ascii="宋体" w:hAnsi="宋体" w:eastAsia="宋体"/>
                <w:b w:val="0"/>
                <w:i w:val="0"/>
                <w:color w:val="auto"/>
                <w:sz w:val="21"/>
                <w:szCs w:val="21"/>
              </w:rPr>
              <w:t>全流程经费分配合理合规，精打细算，资金利用效率最大化</w:t>
            </w:r>
          </w:p>
        </w:tc>
      </w:tr>
    </w:tbl>
    <w:p w14:paraId="29D72E1D">
      <w:pPr>
        <w:keepNext w:val="0"/>
        <w:keepLines w:val="0"/>
        <w:pageBreakBefore w:val="0"/>
        <w:widowControl/>
        <w:kinsoku/>
        <w:wordWrap/>
        <w:overflowPunct/>
        <w:topLinePunct w:val="0"/>
        <w:autoSpaceDE/>
        <w:autoSpaceDN/>
        <w:bidi w:val="0"/>
        <w:adjustRightInd/>
        <w:snapToGrid/>
        <w:spacing w:before="361" w:beforeLines="100" w:after="120" w:line="324" w:lineRule="auto"/>
        <w:ind w:firstLine="0"/>
        <w:jc w:val="center"/>
        <w:textAlignment w:val="auto"/>
        <w:rPr>
          <w:rFonts w:hint="default" w:ascii="Times New Roman" w:hAnsi="Times New Roman"/>
          <w:b w:val="0"/>
          <w:i w:val="0"/>
          <w:color w:val="000000"/>
          <w:sz w:val="21"/>
          <w:lang w:val="en-US" w:eastAsia="zh-CN"/>
        </w:rPr>
      </w:pPr>
      <w:r>
        <w:rPr>
          <w:rFonts w:hint="eastAsia" w:ascii="Times New Roman" w:hAnsi="Times New Roman"/>
          <w:b w:val="0"/>
          <w:i w:val="0"/>
          <w:color w:val="000000"/>
          <w:sz w:val="21"/>
          <w:lang w:val="en-US" w:eastAsia="zh-CN"/>
        </w:rPr>
        <w:t>表 11-1 经费规划</w:t>
      </w:r>
    </w:p>
    <w:p w14:paraId="5EAED59B">
      <w:pPr>
        <w:keepNext/>
        <w:spacing w:before="280" w:after="120"/>
        <w:rPr>
          <w:rFonts w:ascii="Times New Roman" w:hAnsi="Times New Roman" w:eastAsia="黑体" w:cstheme="majorBidi"/>
          <w:b w:val="0"/>
          <w:bCs/>
          <w:color w:val="000000"/>
          <w:kern w:val="0"/>
          <w:sz w:val="28"/>
          <w:szCs w:val="26"/>
          <w:lang w:val="en-US" w:eastAsia="en-US" w:bidi="ar-SA"/>
        </w:rPr>
      </w:pPr>
      <w:r>
        <w:rPr>
          <w:rFonts w:ascii="Times New Roman" w:hAnsi="Times New Roman" w:eastAsia="黑体" w:cstheme="majorBidi"/>
          <w:b w:val="0"/>
          <w:bCs/>
          <w:color w:val="000000"/>
          <w:kern w:val="0"/>
          <w:sz w:val="28"/>
          <w:szCs w:val="26"/>
          <w:lang w:val="en-US" w:eastAsia="en-US" w:bidi="ar-SA"/>
        </w:rPr>
        <w:t>11.2 轻量化部署下的单校复制极低财务成本测算</w:t>
      </w:r>
    </w:p>
    <w:p w14:paraId="6F8F7BAD">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i w:val="0"/>
          <w:color w:val="000000"/>
          <w:kern w:val="0"/>
          <w:sz w:val="24"/>
          <w:lang w:eastAsia="zh-CN"/>
        </w:rPr>
      </w:pPr>
      <w:r>
        <w:rPr>
          <w:rFonts w:hint="eastAsia" w:ascii="Times New Roman" w:hAnsi="Times New Roman" w:eastAsia="宋体"/>
          <w:b w:val="0"/>
          <w:i w:val="0"/>
          <w:color w:val="000000"/>
          <w:kern w:val="0"/>
          <w:sz w:val="24"/>
          <w:lang w:eastAsia="zh-CN"/>
        </w:rPr>
        <w:t>目前国内高校在引入大型商业信息化系统时，动辄面临数十万的采购费与每年数万元的沉重维护费。书途智启依托全栈开源与轻量化容器方案，为全国高校提供了一套“高能低耗”的典范。</w:t>
      </w:r>
    </w:p>
    <w:p w14:paraId="532D7765">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i w:val="0"/>
          <w:color w:val="000000"/>
          <w:kern w:val="0"/>
          <w:sz w:val="24"/>
          <w:lang w:eastAsia="zh-CN"/>
        </w:rPr>
      </w:pPr>
      <w:r>
        <w:rPr>
          <w:rFonts w:hint="eastAsia" w:ascii="Times New Roman" w:hAnsi="Times New Roman" w:eastAsia="宋体"/>
          <w:b w:val="0"/>
          <w:i w:val="0"/>
          <w:color w:val="000000"/>
          <w:kern w:val="0"/>
          <w:sz w:val="24"/>
          <w:lang w:eastAsia="zh-CN"/>
        </w:rPr>
        <w:t>在商业模式与部署经济性方面，书途智启展现出了极其亮眼的单校低成本极速复制能力。针对一所拥有两万名师生规模的普通高校，项目团队按照支撑高并发真实研习场景的标准，进行了全生命周期的生产级集群综合财务测算。首先在硬件基础设施方面，系统全栈服务采用轻量化容器编排技术，可直接复用高校现有的校园网闲置私有化虚拟服务器，硬件边际投入几乎为零；即使选购主流教育优惠云主机或轻量级计算节点，单校全年的硬件服务器开销也仅需约 800 至 1,500 元。其次在关键的大语言模型算力成本控制上，系统自主研发了前置精准意图分流、高压缩比提示词工程、动态语义缓存（Semantic Cache）以及本地确定性规则初筛机制，大幅削减了无效冗余调用，将外部大模型商业 API 的依赖频次压缩了 70% 以上，实测全年 Token 消耗总成本被严格锁定在 2,000 至 4,000 元的超低区间。最后在软件与知识产权层面，系统的前端单页应用、异步后端核心、PostgreSQL 16 关系数据库以及 Chroma 向量库均基于极具包容性的开源生态自主构建，不存在任何商业闭源许可绑定，软件永久授权费用为零。综合各项严格测算，高校仅需 8,000 至 12,000 元的首年综合启动资金，即可完整落地一套具备大模型智能体能力的现代化智慧推荐系统。相比动辄开销数十万元乃至数百万元的商业厂商重型系统改造方案，书途智启帮助校方直接节约了 95% 以上的初期资金投入与后期维保代价，展现出了无与伦比的财务可行性、普惠价值与推广复制潜力。</w:t>
      </w:r>
    </w:p>
    <w:p w14:paraId="4C1414C5">
      <w:pPr>
        <w:rPr>
          <w:rFonts w:hint="eastAsia" w:ascii="Times New Roman" w:hAnsi="Times New Roman" w:eastAsia="宋体"/>
          <w:b w:val="0"/>
          <w:i w:val="0"/>
          <w:color w:val="000000"/>
          <w:kern w:val="0"/>
          <w:sz w:val="24"/>
          <w:lang w:eastAsia="zh-CN"/>
        </w:rPr>
      </w:pPr>
      <w:r>
        <w:rPr>
          <w:rFonts w:hint="eastAsia" w:ascii="Times New Roman" w:hAnsi="Times New Roman" w:eastAsia="宋体"/>
          <w:b w:val="0"/>
          <w:i w:val="0"/>
          <w:color w:val="000000"/>
          <w:kern w:val="0"/>
          <w:sz w:val="24"/>
          <w:lang w:eastAsia="zh-CN"/>
        </w:rPr>
        <w:br w:type="page"/>
      </w:r>
    </w:p>
    <w:p w14:paraId="343D45F0">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i w:val="0"/>
          <w:color w:val="000000"/>
          <w:kern w:val="0"/>
          <w:sz w:val="24"/>
          <w:lang w:eastAsia="zh-CN"/>
        </w:rPr>
      </w:pPr>
    </w:p>
    <w:p w14:paraId="0754E531">
      <w:pPr>
        <w:pStyle w:val="3"/>
        <w:keepNext/>
        <w:widowControl/>
        <w:suppressAutoHyphens/>
        <w:bidi w:val="0"/>
        <w:spacing w:before="0" w:after="120" w:line="360" w:lineRule="auto"/>
        <w:ind w:firstLine="482"/>
        <w:jc w:val="center"/>
        <w:rPr>
          <w:rFonts w:hint="eastAsia" w:ascii="黑体" w:hAnsi="黑体" w:eastAsia="黑体" w:cs="黑体"/>
          <w:b w:val="0"/>
          <w:bCs/>
          <w:color w:val="000000"/>
          <w:kern w:val="0"/>
          <w:sz w:val="30"/>
        </w:rPr>
      </w:pPr>
      <w:bookmarkStart w:id="37" w:name="_Toc9030"/>
      <w:r>
        <w:rPr>
          <w:rFonts w:hint="eastAsia" w:ascii="黑体" w:hAnsi="黑体" w:eastAsia="黑体" w:cs="黑体"/>
          <w:b w:val="0"/>
          <w:bCs/>
          <w:color w:val="000000"/>
          <w:kern w:val="0"/>
          <w:sz w:val="30"/>
        </w:rPr>
        <w:t>第十二章 经济效益、社会效益与商业化延伸</w:t>
      </w:r>
      <w:bookmarkEnd w:id="37"/>
    </w:p>
    <w:p w14:paraId="061BE390">
      <w:pPr>
        <w:keepNext/>
        <w:spacing w:before="280" w:after="120"/>
        <w:rPr>
          <w:rFonts w:ascii="Times New Roman" w:hAnsi="Times New Roman" w:eastAsia="黑体" w:cstheme="majorBidi"/>
          <w:b w:val="0"/>
          <w:bCs/>
          <w:color w:val="000000"/>
          <w:kern w:val="0"/>
          <w:sz w:val="28"/>
          <w:szCs w:val="26"/>
          <w:lang w:val="en-US" w:eastAsia="en-US" w:bidi="ar-SA"/>
        </w:rPr>
      </w:pPr>
      <w:r>
        <w:rPr>
          <w:rFonts w:ascii="Times New Roman" w:hAnsi="Times New Roman" w:eastAsia="黑体" w:cstheme="majorBidi"/>
          <w:b w:val="0"/>
          <w:bCs/>
          <w:color w:val="000000"/>
          <w:kern w:val="0"/>
          <w:sz w:val="28"/>
          <w:szCs w:val="26"/>
          <w:lang w:val="en-US" w:eastAsia="en-US" w:bidi="ar-SA"/>
        </w:rPr>
        <w:t>12.1 严谨扎实的经济效益模型推演</w:t>
      </w:r>
    </w:p>
    <w:p w14:paraId="7D273385">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i w:val="0"/>
          <w:color w:val="000000"/>
          <w:kern w:val="0"/>
          <w:sz w:val="24"/>
          <w:lang w:eastAsia="zh-CN"/>
        </w:rPr>
      </w:pPr>
      <w:r>
        <w:rPr>
          <w:rFonts w:hint="eastAsia" w:ascii="Times New Roman" w:hAnsi="Times New Roman" w:eastAsia="宋体"/>
          <w:b w:val="0"/>
          <w:i w:val="0"/>
          <w:color w:val="000000"/>
          <w:kern w:val="0"/>
          <w:sz w:val="24"/>
          <w:lang w:eastAsia="zh-CN"/>
        </w:rPr>
        <w:t>书途智启上线运行后，将从“消除读者借阅试错损耗、盘活高校沉睡文献资产、大幅提升学术检索生产力”三个维度创造极为显著的显性与隐性经济效益：</w:t>
      </w:r>
    </w:p>
    <w:p w14:paraId="37AFF1DD">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i w:val="0"/>
          <w:color w:val="000000"/>
          <w:kern w:val="0"/>
          <w:sz w:val="24"/>
          <w:lang w:eastAsia="zh-CN"/>
        </w:rPr>
      </w:pPr>
      <w:r>
        <w:rPr>
          <w:rFonts w:hint="eastAsia" w:ascii="Times New Roman" w:hAnsi="Times New Roman" w:eastAsia="宋体"/>
          <w:b w:val="0"/>
          <w:i w:val="0"/>
          <w:color w:val="000000"/>
          <w:kern w:val="0"/>
          <w:sz w:val="24"/>
          <w:lang w:eastAsia="zh-CN"/>
        </w:rPr>
        <w:t>根除学生图书试错成本（年节约 14 万至 70 万元）：以单一高校计算机相关专业 2,000 名在校生为基准推演：在传统检索方式下，平均每名学生每学期会遇到 1 次“借回书才发现要么太深要么太浅并非所需”的错配，全系年无效借阅达到 4,000 次。单次无效借阅包含：文献物流错配损耗（折算 20 元）、往返书库奔波与翻阅筛选的时间损耗（折算 10 元）、逾期违约风险（折算 5 元），综合试错成本约 35 元/次。4,000次 × 35元 = 140,000 元/年！若推广至全校 10,000 名各院系读者，每年直接消除错配损失高达 70 万元。</w:t>
      </w:r>
    </w:p>
    <w:p w14:paraId="40F9220C">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i w:val="0"/>
          <w:color w:val="000000"/>
          <w:kern w:val="0"/>
          <w:sz w:val="24"/>
          <w:lang w:eastAsia="zh-CN"/>
        </w:rPr>
      </w:pPr>
      <w:r>
        <w:rPr>
          <w:rFonts w:hint="eastAsia" w:ascii="Times New Roman" w:hAnsi="Times New Roman" w:eastAsia="宋体"/>
          <w:b w:val="0"/>
          <w:i w:val="0"/>
          <w:color w:val="000000"/>
          <w:kern w:val="0"/>
          <w:sz w:val="24"/>
          <w:lang w:eastAsia="zh-CN"/>
        </w:rPr>
        <w:t>盘活闲置图书固定资产（年激活流通价值 20 万至 100 万元）：目前图书馆“搜不准”导致大量精良学术专著常年闲置。书途智启通过精准的主动挖掘，平均带动每名学生每学期额外借阅一本高价值专著，年净增有效流通 4,000 册次。高校专业图书平均单价按 50 元计算，相当于盘活了原本面临折旧与纸张老化的 200,000 元馆藏资产；全校级推广则相当于年盘活 100 万元沉睡资产，极大提升了教育固定资产利用率。</w:t>
      </w:r>
    </w:p>
    <w:p w14:paraId="463DF5B0">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i w:val="0"/>
          <w:color w:val="000000"/>
          <w:kern w:val="0"/>
          <w:sz w:val="24"/>
          <w:lang w:eastAsia="zh-CN"/>
        </w:rPr>
      </w:pPr>
      <w:r>
        <w:rPr>
          <w:rFonts w:hint="eastAsia" w:ascii="Times New Roman" w:hAnsi="Times New Roman" w:eastAsia="宋体"/>
          <w:b w:val="0"/>
          <w:i w:val="0"/>
          <w:color w:val="000000"/>
          <w:kern w:val="0"/>
          <w:sz w:val="24"/>
          <w:lang w:eastAsia="zh-CN"/>
        </w:rPr>
        <w:t>节约时间精力、提升学术生产力（年节约 3,600 至 18,000 小时）：传统检索模式下学生平均需花费 15 分钟逐本甄别网页列表。书途智启将精准选书时间压缩至 3 分钟内，单次节约 12 分钟。单专业按日均 50 次深度检索测算，年节约学习时间达：50次/天 × 12分钟 × 365天 = 3,650 小时；全校级应用每年节约 18,000 小时优质学术时间，转化效益不可估量。</w:t>
      </w:r>
    </w:p>
    <w:p w14:paraId="3C197A30">
      <w:pPr>
        <w:keepNext/>
        <w:spacing w:before="280" w:after="120"/>
        <w:rPr>
          <w:rFonts w:ascii="Times New Roman" w:hAnsi="Times New Roman" w:eastAsia="黑体" w:cstheme="majorBidi"/>
          <w:b w:val="0"/>
          <w:bCs/>
          <w:color w:val="000000"/>
          <w:kern w:val="0"/>
          <w:sz w:val="28"/>
          <w:szCs w:val="26"/>
          <w:lang w:val="en-US" w:eastAsia="en-US" w:bidi="ar-SA"/>
        </w:rPr>
      </w:pPr>
      <w:r>
        <w:rPr>
          <w:rFonts w:ascii="Times New Roman" w:hAnsi="Times New Roman" w:eastAsia="黑体" w:cstheme="majorBidi"/>
          <w:b w:val="0"/>
          <w:bCs/>
          <w:color w:val="000000"/>
          <w:kern w:val="0"/>
          <w:sz w:val="28"/>
          <w:szCs w:val="26"/>
          <w:lang w:val="en-US" w:eastAsia="en-US" w:bidi="ar-SA"/>
        </w:rPr>
        <w:t>12.2 深远的人文关怀与社会育人效益</w:t>
      </w:r>
    </w:p>
    <w:p w14:paraId="53CADEC6">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i w:val="0"/>
          <w:color w:val="000000"/>
          <w:kern w:val="0"/>
          <w:sz w:val="24"/>
          <w:lang w:eastAsia="zh-CN"/>
        </w:rPr>
      </w:pPr>
      <w:r>
        <w:rPr>
          <w:rFonts w:hint="eastAsia" w:ascii="Times New Roman" w:hAnsi="Times New Roman" w:eastAsia="宋体"/>
          <w:b w:val="0"/>
          <w:i w:val="0"/>
          <w:color w:val="000000"/>
          <w:kern w:val="0"/>
          <w:sz w:val="24"/>
          <w:lang w:eastAsia="zh-CN"/>
        </w:rPr>
        <w:t>在育人使命与社会价值层面，书途智启深度践行“因材施教”的现代教育理念，推动高校图书馆由被动借还的传统“藏书阁”，真正升华演进为滋养拔尖创新人才成长的“个性化第二课堂”。系统依托独创的“能力-难度动态自适应匹配”机制，打破了以往“千人一面”的机械检索束缚，确保处于不同学术起点的学子皆能借阅到“跳一跳便能够得着”的适读佳作——既帮助专业基础薄弱的初学者通过通俗读物重建求知自信、实现概念破冰，又为拔尖学子精准直推进阶经典专著以拓展学术前沿视野。更重要的是，系统为数字教育注入了深厚的人文关怀，成功塑造了一位有温度、有长期记忆的专属数字导师。它彻底摒弃了传统冰冷机械的单向检索框交互，能够敏锐洞悉读者的专业认知短板与学科断层，更在学子遭遇学习瓶颈、备考受挫或面临方向抉择的关键节点，给予温暖的共情鼓励与条理清晰的研习指引，切实缓解了青年大学生的学业焦虑与选书迷茫，在数字化转型浪潮中生动传递了智慧科技的温润温度与育人初心。</w:t>
      </w:r>
    </w:p>
    <w:p w14:paraId="2AC28AB7">
      <w:pPr>
        <w:keepNext/>
        <w:spacing w:before="280" w:after="120"/>
        <w:rPr>
          <w:rFonts w:ascii="Times New Roman" w:hAnsi="Times New Roman" w:eastAsia="黑体" w:cstheme="majorBidi"/>
          <w:b w:val="0"/>
          <w:bCs/>
          <w:color w:val="000000"/>
          <w:kern w:val="0"/>
          <w:sz w:val="28"/>
          <w:szCs w:val="26"/>
          <w:lang w:val="en-US" w:eastAsia="en-US" w:bidi="ar-SA"/>
        </w:rPr>
      </w:pPr>
      <w:r>
        <w:rPr>
          <w:rFonts w:ascii="Times New Roman" w:hAnsi="Times New Roman" w:eastAsia="黑体" w:cstheme="majorBidi"/>
          <w:b w:val="0"/>
          <w:bCs/>
          <w:color w:val="000000"/>
          <w:kern w:val="0"/>
          <w:sz w:val="28"/>
          <w:szCs w:val="26"/>
          <w:lang w:val="en-US" w:eastAsia="en-US" w:bidi="ar-SA"/>
        </w:rPr>
        <w:t>12.3 商业化模式探索与多校园推广路线</w:t>
      </w:r>
    </w:p>
    <w:p w14:paraId="65770E68">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i w:val="0"/>
          <w:color w:val="000000"/>
          <w:kern w:val="0"/>
          <w:sz w:val="24"/>
          <w:lang w:eastAsia="zh-CN"/>
        </w:rPr>
      </w:pPr>
      <w:r>
        <w:rPr>
          <w:rFonts w:hint="eastAsia" w:ascii="Times New Roman" w:hAnsi="Times New Roman" w:eastAsia="宋体"/>
          <w:b w:val="0"/>
          <w:i w:val="0"/>
          <w:color w:val="000000"/>
          <w:kern w:val="0"/>
          <w:sz w:val="24"/>
          <w:lang w:eastAsia="zh-CN"/>
        </w:rPr>
        <w:t>虽然项目以服务校园公益为立足点，但其出色的架构具备极为明确的商业化横向延伸潜力：</w:t>
      </w:r>
    </w:p>
    <w:p w14:paraId="047A6A82">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i w:val="0"/>
          <w:color w:val="000000"/>
          <w:kern w:val="0"/>
          <w:sz w:val="24"/>
          <w:lang w:eastAsia="zh-CN"/>
        </w:rPr>
      </w:pPr>
      <w:r>
        <w:rPr>
          <w:rFonts w:hint="eastAsia" w:ascii="Times New Roman" w:hAnsi="Times New Roman" w:eastAsia="宋体"/>
          <w:b w:val="0"/>
          <w:i w:val="0"/>
          <w:color w:val="000000"/>
          <w:kern w:val="0"/>
          <w:sz w:val="24"/>
          <w:lang w:eastAsia="zh-CN"/>
        </w:rPr>
        <w:t>其一为“智慧图书馆 SaaS / 私有化专有套件授权模式”，可将成熟的 Docker 镜像与管理中台向全国其他高职及本科高校推广，收取标准化部署与年度知识库运维费；其二为“新形态高校阅读社区增值模式”，在系统成熟后可引入高校文创衍生品联动、正版学术电子书一键购买分销分成等轻商业化闭环，实现社会效益与自我造血机制的双轮驱动。</w:t>
      </w:r>
    </w:p>
    <w:p w14:paraId="2716B37D">
      <w:pPr>
        <w:rPr>
          <w:rFonts w:hint="eastAsia" w:ascii="Times New Roman" w:hAnsi="Times New Roman" w:eastAsia="宋体"/>
          <w:b w:val="0"/>
          <w:i w:val="0"/>
          <w:color w:val="000000"/>
          <w:kern w:val="0"/>
          <w:sz w:val="24"/>
          <w:lang w:eastAsia="zh-CN"/>
        </w:rPr>
      </w:pPr>
      <w:r>
        <w:rPr>
          <w:rFonts w:hint="eastAsia" w:ascii="Times New Roman" w:hAnsi="Times New Roman" w:eastAsia="宋体"/>
          <w:b w:val="0"/>
          <w:i w:val="0"/>
          <w:color w:val="000000"/>
          <w:kern w:val="0"/>
          <w:sz w:val="24"/>
          <w:lang w:eastAsia="zh-CN"/>
        </w:rPr>
        <w:br w:type="page"/>
      </w:r>
    </w:p>
    <w:p w14:paraId="719FD90E">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i w:val="0"/>
          <w:color w:val="000000"/>
          <w:kern w:val="0"/>
          <w:sz w:val="24"/>
          <w:lang w:eastAsia="zh-CN"/>
        </w:rPr>
      </w:pPr>
    </w:p>
    <w:p w14:paraId="415A4774">
      <w:pPr>
        <w:pStyle w:val="3"/>
        <w:keepNext/>
        <w:widowControl/>
        <w:suppressAutoHyphens/>
        <w:bidi w:val="0"/>
        <w:spacing w:before="0" w:after="120" w:line="360" w:lineRule="auto"/>
        <w:ind w:firstLine="482"/>
        <w:jc w:val="center"/>
        <w:rPr>
          <w:rFonts w:hint="eastAsia" w:ascii="黑体" w:hAnsi="黑体" w:eastAsia="黑体" w:cs="黑体"/>
          <w:b w:val="0"/>
          <w:bCs/>
          <w:color w:val="000000"/>
          <w:kern w:val="0"/>
          <w:sz w:val="30"/>
        </w:rPr>
      </w:pPr>
      <w:bookmarkStart w:id="38" w:name="_Toc14736"/>
      <w:r>
        <w:rPr>
          <w:rFonts w:hint="eastAsia" w:ascii="黑体" w:hAnsi="黑体" w:eastAsia="黑体" w:cs="黑体"/>
          <w:b w:val="0"/>
          <w:bCs/>
          <w:color w:val="000000"/>
          <w:kern w:val="0"/>
          <w:sz w:val="30"/>
        </w:rPr>
        <w:t>第十三章 项目风险评估与应对防御策略</w:t>
      </w:r>
      <w:bookmarkEnd w:id="38"/>
    </w:p>
    <w:p w14:paraId="3F0C17DE">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i w:val="0"/>
          <w:color w:val="000000"/>
          <w:kern w:val="0"/>
          <w:sz w:val="24"/>
          <w:lang w:eastAsia="zh-CN"/>
        </w:rPr>
      </w:pPr>
      <w:r>
        <w:rPr>
          <w:rFonts w:hint="eastAsia" w:ascii="Times New Roman" w:hAnsi="Times New Roman" w:eastAsia="宋体"/>
          <w:b w:val="0"/>
          <w:i w:val="0"/>
          <w:color w:val="000000"/>
          <w:kern w:val="0"/>
          <w:sz w:val="24"/>
          <w:lang w:eastAsia="zh-CN"/>
        </w:rPr>
        <w:t>任何优秀的创新工程都必须经受复杂现实环境的考验。团队在研发全程前瞻预判了四大关键风险，并部署了密不透风的防御预案。</w:t>
      </w:r>
      <w:r>
        <w:rPr>
          <w:rFonts w:hint="eastAsia" w:ascii="Times New Roman" w:hAnsi="Times New Roman" w:eastAsia="宋体"/>
          <w:b w:val="0"/>
          <w:i w:val="0"/>
          <w:color w:val="000000"/>
          <w:kern w:val="0"/>
          <w:sz w:val="24"/>
          <w:lang w:eastAsia="zh-CN"/>
        </w:rPr>
        <w:br w:type="textWrapping"/>
      </w:r>
      <w:r>
        <w:rPr>
          <w:rFonts w:hint="eastAsia" w:ascii="Times New Roman" w:hAnsi="Times New Roman" w:eastAsia="宋体"/>
          <w:b w:val="0"/>
          <w:i w:val="0"/>
          <w:color w:val="000000"/>
          <w:kern w:val="0"/>
          <w:sz w:val="24"/>
          <w:lang w:eastAsia="zh-CN"/>
        </w:rPr>
        <w:t>为确保项目在工程研发、规模推广与实际运营过程中的稳健运行，书途智启团队针对技术、数据、隐私及运营四大潜在风险维度，制定了详尽周密的全套应对与阻断防御预案：</w:t>
      </w:r>
    </w:p>
    <w:p w14:paraId="4821F27D">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i w:val="0"/>
          <w:color w:val="000000"/>
          <w:kern w:val="0"/>
          <w:sz w:val="24"/>
          <w:lang w:eastAsia="zh-CN"/>
        </w:rPr>
      </w:pPr>
      <w:r>
        <w:rPr>
          <w:rFonts w:hint="eastAsia" w:ascii="Times New Roman" w:hAnsi="Times New Roman" w:eastAsia="宋体"/>
          <w:b w:val="0"/>
          <w:i w:val="0"/>
          <w:color w:val="000000"/>
          <w:kern w:val="0"/>
          <w:sz w:val="24"/>
          <w:lang w:eastAsia="zh-CN"/>
        </w:rPr>
        <w:t>首先，在技术风险层面，针对外部第三方商业大模型 API 可能突发的严重网络超时、服务降级、并发超频限流（429）乃至突发宕机隐患（发生概率中等、潜在影响度高），系统研发并内建了全链路多级确定性降级链条。一旦感知到外部通信受阻，系统将在毫秒级内自动切换至本地六维量化数学评分引擎与基于已审核标签的动态模板拼接机制，确保前台推荐流水线服务零宕机、零中断，实现断网环境下的完全独立闭环。</w:t>
      </w:r>
    </w:p>
    <w:p w14:paraId="372D3DAA">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i w:val="0"/>
          <w:color w:val="000000"/>
          <w:kern w:val="0"/>
          <w:sz w:val="24"/>
          <w:lang w:eastAsia="zh-CN"/>
        </w:rPr>
      </w:pPr>
      <w:r>
        <w:rPr>
          <w:rFonts w:hint="eastAsia" w:ascii="Times New Roman" w:hAnsi="Times New Roman" w:eastAsia="宋体"/>
          <w:b w:val="0"/>
          <w:i w:val="0"/>
          <w:color w:val="000000"/>
          <w:kern w:val="0"/>
          <w:sz w:val="24"/>
          <w:lang w:eastAsia="zh-CN"/>
        </w:rPr>
        <w:t>其次，在数据风险层面，针对未来在不同高校推广部署时面临的各校馆藏导出 Excel 字段缺失、字符编码混乱、缺少统一标准 ISBN 等异构数据兼容难题（发生概率中等、潜在影响度中等），系统的数据工程流水线深度集成了智能模糊列名映射机制与 ISBN 加权模校验容错修复算法，能够对 10 位老旧书号实现自动补齐转换，对破损脏数据进行隔离标记，全方位兼容全国主流图书管理系统（如汇文、金盘等）的数据导出规范。</w:t>
      </w:r>
    </w:p>
    <w:p w14:paraId="6EAA50A8">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i w:val="0"/>
          <w:color w:val="000000"/>
          <w:kern w:val="0"/>
          <w:sz w:val="24"/>
          <w:lang w:eastAsia="zh-CN"/>
        </w:rPr>
      </w:pPr>
      <w:r>
        <w:rPr>
          <w:rFonts w:hint="eastAsia" w:ascii="Times New Roman" w:hAnsi="Times New Roman" w:eastAsia="宋体"/>
          <w:b w:val="0"/>
          <w:i w:val="0"/>
          <w:color w:val="000000"/>
          <w:kern w:val="0"/>
          <w:sz w:val="24"/>
          <w:lang w:eastAsia="zh-CN"/>
        </w:rPr>
        <w:t>第三，在隐私安全风险层面，针对学生在与 AI 馆员对话中流露出的个人学业短板、成绩困惑及借阅偏好可能面临的非授权泄露风险（发生概率极低、潜在影响度极高），项目坚决捍卫数据伦理底线。所有对话事实与长短期动态记忆资产严格加密固化于高校本地自建数据库，严禁任何形式的云端回传或商业倒卖；同时赋予学生绝对的“自主控制权”，提供物理级防覆写隐私锁及单条记忆一键擦除功能，全校借阅评测日志亦全面实行匿名化脱敏存储，从源头封堵隐私泄露隐患。</w:t>
      </w:r>
    </w:p>
    <w:p w14:paraId="7B4A0227">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eastAsia" w:ascii="宋体" w:hAnsi="宋体" w:eastAsia="宋体"/>
          <w:b w:val="0"/>
          <w:i w:val="0"/>
          <w:color w:val="auto"/>
          <w:sz w:val="22"/>
          <w:lang w:eastAsia="zh-CN"/>
        </w:rPr>
      </w:pPr>
      <w:r>
        <w:rPr>
          <w:rFonts w:hint="eastAsia" w:ascii="Times New Roman" w:hAnsi="Times New Roman" w:eastAsia="宋体"/>
          <w:b w:val="0"/>
          <w:i w:val="0"/>
          <w:color w:val="000000"/>
          <w:kern w:val="0"/>
          <w:sz w:val="24"/>
          <w:lang w:eastAsia="zh-CN"/>
        </w:rPr>
        <w:t>最后，在运营推广风险层面，针对系统上线初期学生知晓率不足、仍习惯于旧有机械检索范式、可能面临的交互冷启动与活跃度偏低挑战（发生概率中等、潜在影响度中等），团队规划了完善的人机协同落地运营策略。通过联合各院系辅导员体系、学生会学风建设部门开展“智慧科创导读周”系列主题宣讲，并依托系统内建的三阶段研习路径与通关成就勋章体系，举办“学术借阅通关打卡”等微型校园社群激励活动，以点带面迅速激活读者交互生态，构建起高黏性的数字化研习氛围</w:t>
      </w:r>
      <w:r>
        <w:rPr>
          <w:rFonts w:hint="eastAsia" w:ascii="宋体" w:hAnsi="宋体" w:eastAsia="宋体"/>
          <w:b w:val="0"/>
          <w:i w:val="0"/>
          <w:color w:val="auto"/>
          <w:sz w:val="22"/>
          <w:lang w:eastAsia="zh-CN"/>
        </w:rPr>
        <w:t>。</w:t>
      </w:r>
    </w:p>
    <w:p w14:paraId="62189752">
      <w:pPr>
        <w:spacing w:after="120" w:line="324" w:lineRule="auto"/>
        <w:ind w:firstLine="420"/>
        <w:rPr>
          <w:rFonts w:hint="eastAsia" w:eastAsia="宋体"/>
          <w:color w:val="auto"/>
          <w:lang w:eastAsia="zh-CN"/>
        </w:rPr>
      </w:pPr>
    </w:p>
    <w:p w14:paraId="00D1B423">
      <w:pPr>
        <w:spacing w:after="120"/>
        <w:rPr>
          <w:color w:val="auto"/>
        </w:rPr>
      </w:pPr>
    </w:p>
    <w:p w14:paraId="0F2FB4CA">
      <w:pPr>
        <w:pStyle w:val="3"/>
        <w:keepNext/>
        <w:widowControl/>
        <w:suppressAutoHyphens/>
        <w:bidi w:val="0"/>
        <w:spacing w:before="0" w:after="120" w:line="360" w:lineRule="auto"/>
        <w:ind w:firstLine="482"/>
        <w:jc w:val="center"/>
        <w:rPr>
          <w:rFonts w:hint="eastAsia" w:ascii="黑体" w:hAnsi="黑体" w:eastAsia="黑体" w:cs="黑体"/>
          <w:b w:val="0"/>
          <w:bCs/>
          <w:color w:val="000000"/>
          <w:kern w:val="0"/>
          <w:sz w:val="30"/>
        </w:rPr>
      </w:pPr>
      <w:bookmarkStart w:id="39" w:name="_Toc28773"/>
      <w:r>
        <w:rPr>
          <w:rFonts w:hint="eastAsia" w:ascii="黑体" w:hAnsi="黑体" w:eastAsia="黑体" w:cs="黑体"/>
          <w:b w:val="0"/>
          <w:bCs/>
          <w:color w:val="000000"/>
          <w:kern w:val="0"/>
          <w:sz w:val="30"/>
        </w:rPr>
        <w:t>第十四章 结语与项目申报承诺</w:t>
      </w:r>
      <w:bookmarkEnd w:id="39"/>
    </w:p>
    <w:p w14:paraId="61B976E4">
      <w:pPr>
        <w:keepNext/>
        <w:spacing w:before="280" w:after="120"/>
        <w:rPr>
          <w:rFonts w:ascii="Times New Roman" w:hAnsi="Times New Roman" w:eastAsia="黑体" w:cstheme="majorBidi"/>
          <w:b w:val="0"/>
          <w:bCs/>
          <w:color w:val="000000"/>
          <w:kern w:val="0"/>
          <w:sz w:val="28"/>
          <w:szCs w:val="26"/>
          <w:lang w:val="en-US" w:eastAsia="en-US" w:bidi="ar-SA"/>
        </w:rPr>
      </w:pPr>
      <w:r>
        <w:rPr>
          <w:rFonts w:ascii="Times New Roman" w:hAnsi="Times New Roman" w:eastAsia="黑体" w:cstheme="majorBidi"/>
          <w:b w:val="0"/>
          <w:bCs/>
          <w:color w:val="000000"/>
          <w:kern w:val="0"/>
          <w:sz w:val="28"/>
          <w:szCs w:val="26"/>
          <w:lang w:val="en-US" w:eastAsia="en-US" w:bidi="ar-SA"/>
        </w:rPr>
        <w:t>14.1 结语与未来愿景</w:t>
      </w:r>
    </w:p>
    <w:p w14:paraId="68BEE30D">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i w:val="0"/>
          <w:color w:val="000000"/>
          <w:kern w:val="0"/>
          <w:sz w:val="24"/>
          <w:lang w:eastAsia="zh-CN"/>
        </w:rPr>
      </w:pPr>
      <w:r>
        <w:rPr>
          <w:rFonts w:hint="eastAsia" w:ascii="Times New Roman" w:hAnsi="Times New Roman" w:eastAsia="宋体"/>
          <w:b w:val="0"/>
          <w:i w:val="0"/>
          <w:color w:val="000000"/>
          <w:kern w:val="0"/>
          <w:sz w:val="24"/>
          <w:lang w:eastAsia="zh-CN"/>
        </w:rPr>
        <w:t>书籍是人类进步的阶梯，而当数字科技赋予这道阶梯以智慧的灵性，每一位勇攀高峰的学子都将走得更加踏实、从容、自信。</w:t>
      </w:r>
    </w:p>
    <w:p w14:paraId="413AF0B0">
      <w:pPr>
        <w:keepNext w:val="0"/>
        <w:keepLines w:val="0"/>
        <w:pageBreakBefore w:val="0"/>
        <w:widowControl/>
        <w:suppressAutoHyphens/>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i w:val="0"/>
          <w:color w:val="000000"/>
          <w:kern w:val="0"/>
          <w:sz w:val="24"/>
          <w:lang w:eastAsia="zh-CN"/>
        </w:rPr>
      </w:pPr>
      <w:r>
        <w:rPr>
          <w:rFonts w:hint="eastAsia" w:ascii="Times New Roman" w:hAnsi="Times New Roman" w:eastAsia="宋体"/>
          <w:b w:val="0"/>
          <w:i w:val="0"/>
          <w:color w:val="000000"/>
          <w:kern w:val="0"/>
          <w:sz w:val="24"/>
          <w:lang w:eastAsia="zh-CN"/>
        </w:rPr>
        <w:t>“书途智启（BookPath AI）”诞生于当代高校的求真求美土壤中。它不仅是一套融合了 FastAPI、Vue 3、PostgreSQL、Chroma 与 DeepSeek 大模型的工业级全栈软件产品，更是一次青年大学生用前沿人工智能技术回馈母校、赋能同侪、探索教育公平与个性化成长的深情实践。我们坚信，伴随着系统的推广部署，高校图书馆沉睡的学术典藏将焕发前所未有的生机，广大学子也必将在 AI 导师的引领下，以书为途，智启未来，成长为担当民族复兴大任的时代栋梁！</w:t>
      </w:r>
    </w:p>
    <w:p w14:paraId="451016B6">
      <w:pPr>
        <w:spacing w:after="80"/>
        <w:rPr>
          <w:color w:val="auto"/>
        </w:rPr>
      </w:pPr>
    </w:p>
    <w:sectPr>
      <w:footerReference r:id="rId5" w:type="default"/>
      <w:pgSz w:w="12240" w:h="15840"/>
      <w:pgMar w:top="1440" w:right="1474" w:bottom="1440" w:left="1701" w:header="720" w:footer="720" w:gutter="0"/>
      <w:pgNumType w:fmt="numberInDash"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微软雅黑">
    <w:panose1 w:val="020B0503020204020204"/>
    <w:charset w:val="86"/>
    <w:family w:val="swiss"/>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7CC5BB">
    <w:pPr>
      <w:pStyle w:val="24"/>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09B2BA">
                          <w:pPr>
                            <w:pStyle w:val="2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0609B2BA">
                    <w:pPr>
                      <w:pStyle w:val="2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6846C6E5"/>
    <w:multiLevelType w:val="singleLevel"/>
    <w:tmpl w:val="6846C6E5"/>
    <w:lvl w:ilvl="0" w:tentative="0">
      <w:start w:val="1"/>
      <w:numFmt w:val="decimal"/>
      <w:lvlText w:val="%1."/>
      <w:lvlJc w:val="left"/>
      <w:pPr>
        <w:ind w:left="425" w:hanging="425"/>
      </w:pPr>
      <w:rPr>
        <w:rFonts w:hint="default"/>
      </w:rPr>
    </w:lvl>
  </w:abstractNum>
  <w:abstractNum w:abstractNumId="7">
    <w:nsid w:val="6BB6D39C"/>
    <w:multiLevelType w:val="singleLevel"/>
    <w:tmpl w:val="6BB6D39C"/>
    <w:lvl w:ilvl="0" w:tentative="0">
      <w:start w:val="1"/>
      <w:numFmt w:val="decimal"/>
      <w:lvlText w:val="%1."/>
      <w:lvlJc w:val="left"/>
      <w:pPr>
        <w:ind w:left="425" w:hanging="425"/>
      </w:pPr>
      <w:rPr>
        <w:rFonts w:hint="default"/>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F28727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uiPriority w:val="1"/>
  </w:style>
  <w:style w:type="table" w:default="1" w:styleId="35">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9"/>
    <w:unhideWhenUsed/>
    <w:uiPriority w:val="99"/>
    <w:pPr>
      <w:tabs>
        <w:tab w:val="center" w:pos="4680"/>
        <w:tab w:val="right" w:pos="9360"/>
      </w:tabs>
      <w:spacing w:after="0" w:line="240" w:lineRule="auto"/>
    </w:pPr>
  </w:style>
  <w:style w:type="paragraph" w:styleId="25">
    <w:name w:val="header"/>
    <w:basedOn w:val="1"/>
    <w:link w:val="138"/>
    <w:unhideWhenUsed/>
    <w:uiPriority w:val="99"/>
    <w:pPr>
      <w:tabs>
        <w:tab w:val="center" w:pos="4680"/>
        <w:tab w:val="right" w:pos="9360"/>
      </w:tabs>
      <w:spacing w:after="0" w:line="240" w:lineRule="auto"/>
    </w:pPr>
  </w:style>
  <w:style w:type="paragraph" w:styleId="26">
    <w:name w:val="toc 1"/>
    <w:basedOn w:val="1"/>
    <w:next w:val="1"/>
    <w:semiHidden/>
    <w:unhideWhenUsed/>
    <w:uiPriority w:val="39"/>
  </w:style>
  <w:style w:type="paragraph" w:styleId="2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semiHidden/>
    <w:unhideWhenUsed/>
    <w:uiPriority w:val="39"/>
    <w:pPr>
      <w:ind w:left="420" w:leftChars="200"/>
    </w:pPr>
  </w:style>
  <w:style w:type="paragraph" w:styleId="30">
    <w:name w:val="Body Text 2"/>
    <w:basedOn w:val="1"/>
    <w:link w:val="148"/>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Normal (Web)"/>
    <w:basedOn w:val="1"/>
    <w:semiHidden/>
    <w:unhideWhenUsed/>
    <w:uiPriority w:val="99"/>
    <w:rPr>
      <w:sz w:val="24"/>
    </w:rPr>
  </w:style>
  <w:style w:type="paragraph" w:styleId="33">
    <w:name w:val="List Continue 3"/>
    <w:basedOn w:val="1"/>
    <w:unhideWhenUsed/>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5"/>
    <w:uiPriority w:val="99"/>
  </w:style>
  <w:style w:type="character" w:customStyle="1" w:styleId="139">
    <w:name w:val="Footer Char"/>
    <w:basedOn w:val="135"/>
    <w:link w:val="24"/>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uiPriority w:val="99"/>
  </w:style>
  <w:style w:type="character" w:customStyle="1" w:styleId="148">
    <w:name w:val="Body Text 2 Char"/>
    <w:basedOn w:val="135"/>
    <w:link w:val="30"/>
    <w:uiPriority w:val="99"/>
  </w:style>
  <w:style w:type="character" w:customStyle="1" w:styleId="149">
    <w:name w:val="Body Text 3 Char"/>
    <w:basedOn w:val="135"/>
    <w:link w:val="17"/>
    <w:uiPriority w:val="99"/>
    <w:rPr>
      <w:sz w:val="16"/>
      <w:szCs w:val="16"/>
    </w:rPr>
  </w:style>
  <w:style w:type="character" w:customStyle="1" w:styleId="150">
    <w:name w:val="Macro Text Char"/>
    <w:basedOn w:val="135"/>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uiPriority w:val="29"/>
    <w:rPr>
      <w:i/>
      <w:iCs/>
      <w:color w:val="000000" w:themeColor="text1"/>
      <w14:textFill>
        <w14:solidFill>
          <w14:schemeClr w14:val="tx1"/>
        </w14:solidFill>
      </w14:textFill>
    </w:rPr>
  </w:style>
  <w:style w:type="character" w:customStyle="1" w:styleId="153">
    <w:name w:val="Heading 4 Char"/>
    <w:basedOn w:val="135"/>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CaptionCN"/>
    <w:qFormat/>
    <w:uiPriority w:val="0"/>
    <w:pPr>
      <w:widowControl/>
      <w:suppressAutoHyphens/>
      <w:bidi w:val="0"/>
      <w:spacing w:before="0" w:after="120" w:line="276" w:lineRule="auto"/>
      <w:ind w:firstLine="0"/>
      <w:jc w:val="center"/>
    </w:pPr>
    <w:rPr>
      <w:rFonts w:ascii="Times New Roman" w:hAnsi="Times New Roman" w:eastAsia="宋体" w:cstheme="minorBidi"/>
      <w:color w:val="auto"/>
      <w:kern w:val="0"/>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jpe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33</Pages>
  <Words>3443</Words>
  <Characters>3716</Characters>
  <Lines>0</Lines>
  <Paragraphs>0</Paragraphs>
  <TotalTime>6</TotalTime>
  <ScaleCrop>false</ScaleCrop>
  <LinksUpToDate>false</LinksUpToDate>
  <CharactersWithSpaces>3825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柒号</cp:lastModifiedBy>
  <dcterms:modified xsi:type="dcterms:W3CDTF">2026-09-06T10:25:11Z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eyJoZGlkIjoiNTQ2NDdkYzdmZGJkYWUyYjA2YmM3YjE2ZDIzN2I4ZjIiLCJ1c2VySWQiOiIxNjA3OTA0NDI3In0=</vt:lpwstr>
  </property>
  <property fmtid="{D5CDD505-2E9C-101B-9397-08002B2CF9AE}" pid="3" name="KSOProductBuildVer">
    <vt:lpwstr>2052-12.1.0.28505</vt:lpwstr>
  </property>
  <property fmtid="{D5CDD505-2E9C-101B-9397-08002B2CF9AE}" pid="4" name="ICV">
    <vt:lpwstr>BFDD2B2376664352877C5182BA580A83_12</vt:lpwstr>
  </property>
</Properties>
</file>