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0D2137"/>
          <w:sz w:val="72"/>
          <w:szCs w:val="72"/>
        </w:rPr>
        <w:t xml:space="preserve">TwinVal</w:t>
      </w:r>
    </w:p>
    <w:p>
      <w:pPr>
        <w:spacing w:before="0" w:after="120"/>
        <w:jc w:val="center"/>
      </w:pPr>
      <w:r>
        <w:rPr>
          <w:rFonts w:ascii="Arial" w:cs="Arial" w:eastAsia="Arial" w:hAnsi="Arial"/>
          <w:b/>
          <w:bCs/>
          <w:color w:val="0E6DC2"/>
          <w:sz w:val="36"/>
          <w:szCs w:val="36"/>
        </w:rPr>
        <w:t xml:space="preserve">Backend Architecture &amp; Technical Reference</w:t>
      </w:r>
    </w:p>
    <w:p>
      <w:pPr>
        <w:spacing w:before="0" w:after="480"/>
        <w:jc w:val="center"/>
      </w:pPr>
      <w:r>
        <w:rPr>
          <w:rFonts w:ascii="Arial" w:cs="Arial" w:eastAsia="Arial" w:hAnsi="Arial"/>
          <w:i/>
          <w:iCs/>
          <w:color w:val="6B7280"/>
          <w:sz w:val="24"/>
          <w:szCs w:val="24"/>
        </w:rPr>
        <w:t xml:space="preserve">digital_twin_exchange_v2.py · Version 2.0 · March 2026</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none" w:color="FFFFFF" w:sz="0"/>
              <w:left w:val="none" w:color="FFFFFF" w:sz="0"/>
              <w:bottom w:val="none" w:color="FFFFFF" w:sz="0"/>
              <w:right w:val="none" w:color="FFFFFF" w:sz="0"/>
            </w:tcBorders>
            <w:shd w:fill="0D2137" w:val="clear"/>
            <w:tcMar>
              <w:top w:type="dxa" w:w="220"/>
              <w:left w:type="dxa" w:w="360"/>
              <w:bottom w:type="dxa" w:w="220"/>
              <w:right w:type="dxa" w:w="360"/>
            </w:tcMar>
          </w:tcPr>
          <w:p>
            <w:pPr>
              <w:jc w:val="center"/>
            </w:pPr>
            <w:r>
              <w:rPr>
                <w:rFonts w:ascii="Arial" w:cs="Arial" w:eastAsia="Arial" w:hAnsi="Arial"/>
                <w:b/>
                <w:bCs/>
                <w:color w:val="FFFFFF"/>
                <w:sz w:val="22"/>
                <w:szCs w:val="22"/>
              </w:rPr>
              <w:t xml:space="preserve">Real-Time Digital Twin Property Valuation &amp; Exchange System</w:t>
            </w:r>
          </w:p>
          <w:p>
            <w:pPr>
              <w:spacing w:before="80"/>
              <w:jc w:val="center"/>
            </w:pPr>
            <w:r>
              <w:rPr>
                <w:rFonts w:ascii="Arial" w:cs="Arial" w:eastAsia="Arial" w:hAnsi="Arial"/>
                <w:i/>
                <w:iCs/>
                <w:color w:val="93C5FD"/>
                <w:sz w:val="20"/>
                <w:szCs w:val="20"/>
              </w:rPr>
              <w:t xml:space="preserve">10 Patent Elements · 6 Core Classes · SHA-256 Hash Chain · ASHRAE GEPIII Data</w:t>
            </w:r>
          </w:p>
        </w:tc>
      </w:tr>
    </w:tbl>
    <w:p>
      <w:pPr>
        <w:spacing w:before="0"/>
      </w:pPr>
      <w:r>
        <w:br w:type="page"/>
      </w:r>
    </w:p>
    <w:p>
      <w:pPr>
        <w:pStyle w:val="Heading1"/>
        <w:spacing w:before="400" w:after="160"/>
      </w:pPr>
      <w:r>
        <w:rPr>
          <w:rFonts w:ascii="Arial" w:cs="Arial" w:eastAsia="Arial" w:hAnsi="Arial"/>
          <w:b/>
          <w:bCs/>
          <w:color w:val="0D2137"/>
          <w:sz w:val="40"/>
          <w:szCs w:val="40"/>
        </w:rPr>
        <w:t xml:space="preserve">1. Executive Summary</w:t>
      </w:r>
    </w:p>
    <w:p>
      <w:pPr>
        <w:spacing w:before="80" w:after="80" w:line="280"/>
        <w:jc w:val="left"/>
      </w:pPr>
      <w:r>
        <w:rPr>
          <w:rFonts w:ascii="Arial" w:cs="Arial" w:eastAsia="Arial" w:hAnsi="Arial"/>
          <w:b w:val="false"/>
          <w:bCs w:val="false"/>
          <w:i w:val="false"/>
          <w:iCs w:val="false"/>
          <w:color w:val="374151"/>
          <w:sz w:val="22"/>
          <w:szCs w:val="22"/>
        </w:rPr>
        <w:t xml:space="preserve">The TwinVal backend is a Python application that implements the complete pipeline described in patent application 2527401IN-CS. It translates live sensor data into a cryptographically verifiable, continuously updated property market value, and feeds that value into a sensor-regulated multi-property exchange with automated market controls.</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application is structured around six core Python classes, each mapping directly to one or more patent elements. All ten patent elements are implemented and testable in the current codebase. The backend is built on Streamlit for its live-update interface and uses NumPy, SciPy, Plotly, and Pandas for computation and visualisation.</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This document explains every component of the backend: what it does, how it works, the mathematical formulas it implements, and the patent element it satisfies. A dedicated section covers the ASHRAE GEPIII dataset used as the sensor data source for the demo, why it was chosen, and how it will be replaced in production.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DC2" w:sz="14"/>
              <w:left w:val="single" w:color="D1D5DB" w:sz="1"/>
              <w:bottom w:val="single" w:color="D1D5DB" w:sz="1"/>
              <w:right w:val="single" w:color="D1D5DB" w:sz="1"/>
            </w:tcBorders>
            <w:shd w:fill="EFF6FF" w:val="clear"/>
            <w:tcMar>
              <w:top w:type="dxa" w:w="120"/>
              <w:left w:type="dxa" w:w="200"/>
              <w:bottom w:type="dxa" w:w="120"/>
              <w:right w:type="dxa" w:w="200"/>
            </w:tcMar>
          </w:tcPr>
          <w:p>
            <w:pPr>
              <w:spacing w:before="0" w:after="60"/>
            </w:pPr>
            <w:r>
              <w:rPr>
                <w:rFonts w:ascii="Arial" w:cs="Arial" w:eastAsia="Arial" w:hAnsi="Arial"/>
                <w:b/>
                <w:bCs/>
                <w:color w:val="0E6DC2"/>
                <w:sz w:val="20"/>
                <w:szCs w:val="20"/>
              </w:rPr>
              <w:t xml:space="preserve">Codebase Reference</w:t>
            </w:r>
          </w:p>
          <w:p>
            <w:pPr>
              <w:spacing w:before="0" w:after="0"/>
            </w:pPr>
            <w:r>
              <w:rPr>
                <w:rFonts w:ascii="Arial" w:cs="Arial" w:eastAsia="Arial" w:hAnsi="Arial"/>
                <w:color w:val="374151"/>
                <w:sz w:val="20"/>
                <w:szCs w:val="20"/>
              </w:rPr>
              <w:t xml:space="preserve">Filename: digital_twin_exchange_v2.py  |  Version: 2.0 (ASHRAE Live Data Edition)  |  Framework: Streamlit  |  Lines: ~1,435  |  Patent filing: 2527401IN-CS</w:t>
            </w:r>
          </w:p>
        </w:tc>
      </w:tr>
    </w:tbl>
    <w:p>
      <w:pPr>
        <w:spacing w:before="100" w:after="0"/>
      </w:pPr>
      <w:r>
        <w:t xml:space="preserve"/>
      </w:r>
    </w:p>
    <w:p>
      <w:pPr>
        <w:spacing w:before="0"/>
      </w:pPr>
      <w:r>
        <w:br w:type="page"/>
      </w:r>
    </w:p>
    <w:p>
      <w:pPr>
        <w:pStyle w:val="Heading1"/>
        <w:spacing w:before="400" w:after="160"/>
      </w:pPr>
      <w:r>
        <w:rPr>
          <w:rFonts w:ascii="Arial" w:cs="Arial" w:eastAsia="Arial" w:hAnsi="Arial"/>
          <w:b/>
          <w:bCs/>
          <w:color w:val="0D2137"/>
          <w:sz w:val="40"/>
          <w:szCs w:val="40"/>
        </w:rPr>
        <w:t xml:space="preserve">2. System Architecture</w:t>
      </w:r>
    </w:p>
    <w:p>
      <w:pPr>
        <w:spacing w:before="80" w:after="80" w:line="280"/>
        <w:jc w:val="left"/>
      </w:pPr>
      <w:r>
        <w:rPr>
          <w:rFonts w:ascii="Arial" w:cs="Arial" w:eastAsia="Arial" w:hAnsi="Arial"/>
          <w:b w:val="false"/>
          <w:bCs w:val="false"/>
          <w:i w:val="false"/>
          <w:iCs w:val="false"/>
          <w:color w:val="374151"/>
          <w:sz w:val="22"/>
          <w:szCs w:val="22"/>
        </w:rPr>
        <w:t xml:space="preserve">The backend is a linear pipeline: raw sensor data enters at the top, flows through preprocessing, digital twin modelling, indicator computation, valuation, and cryptographic verification, and exits as a signed valuation token that can be published to the property exchange. Every stage in this pipeline corresponds to a specific patent element.</w:t>
      </w:r>
    </w:p>
    <w:p>
      <w:pPr>
        <w:spacing w:before="80" w:after="0"/>
      </w:pPr>
      <w:r>
        <w:t xml:space="preserve"/>
      </w:r>
    </w:p>
    <w:p>
      <w:pPr>
        <w:pStyle w:val="Heading3"/>
        <w:spacing w:before="240" w:after="80"/>
      </w:pPr>
      <w:r>
        <w:rPr>
          <w:rFonts w:ascii="Arial" w:cs="Arial" w:eastAsia="Arial" w:hAnsi="Arial"/>
          <w:b/>
          <w:bCs/>
          <w:color w:val="0E6DC2"/>
          <w:sz w:val="24"/>
          <w:szCs w:val="24"/>
        </w:rPr>
        <w:t xml:space="preserve">2.1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SENSOR ENGINE (Element B/B1)</w:t>
            </w:r>
          </w:p>
          <w:p>
            <w:pPr>
              <w:spacing w:before="20" w:after="20"/>
            </w:pPr>
            <w:r>
              <w:rPr>
                <w:rFonts w:ascii="Courier New" w:cs="Courier New" w:eastAsia="Courier New" w:hAnsi="Courier New"/>
                <w:color w:val="94D4B8"/>
                <w:sz w:val="18"/>
                <w:szCs w:val="18"/>
              </w:rPr>
              <w:t xml:space="preserve">       |  Raw multi-modal readings: vibration, strain, moisture, temperature,</w:t>
            </w:r>
          </w:p>
          <w:p>
            <w:pPr>
              <w:spacing w:before="20" w:after="20"/>
            </w:pPr>
            <w:r>
              <w:rPr>
                <w:rFonts w:ascii="Courier New" w:cs="Courier New" w:eastAsia="Courier New" w:hAnsi="Courier New"/>
                <w:color w:val="94D4B8"/>
                <w:sz w:val="18"/>
                <w:szCs w:val="18"/>
              </w:rPr>
              <w:t xml:space="preserve">       |  occupancy, electrical_load, air_quality  +  ASHRAE meter values</w:t>
            </w:r>
          </w:p>
          <w:p>
            <w:pPr>
              <w:spacing w:before="20" w:after="20"/>
            </w:pPr>
            <w:r>
              <w:rPr>
                <w:rFonts w:ascii="Courier New" w:cs="Courier New" w:eastAsia="Courier New" w:hAnsi="Courier New"/>
                <w:color w:val="94D4B8"/>
                <w:sz w:val="18"/>
                <w:szCs w:val="18"/>
              </w:rPr>
              <w:t xml:space="preserve">       v</w:t>
            </w:r>
          </w:p>
          <w:p>
            <w:pPr>
              <w:spacing w:before="20" w:after="20"/>
            </w:pPr>
            <w:r>
              <w:rPr>
                <w:rFonts w:ascii="Courier New" w:cs="Courier New" w:eastAsia="Courier New" w:hAnsi="Courier New"/>
                <w:color w:val="94D4B8"/>
                <w:sz w:val="18"/>
                <w:szCs w:val="18"/>
              </w:rPr>
              <w:t xml:space="preserve">DATA PREPROCESSOR (Element C/C1)</w:t>
            </w:r>
          </w:p>
          <w:p>
            <w:pPr>
              <w:spacing w:before="20" w:after="20"/>
            </w:pPr>
            <w:r>
              <w:rPr>
                <w:rFonts w:ascii="Courier New" w:cs="Courier New" w:eastAsia="Courier New" w:hAnsi="Courier New"/>
                <w:color w:val="94D4B8"/>
                <w:sz w:val="18"/>
                <w:szCs w:val="18"/>
              </w:rPr>
              <w:t xml:space="preserve">       |  Savitzky-Golay denoising  +  z-score normalization  +  alignment</w:t>
            </w:r>
          </w:p>
          <w:p>
            <w:pPr>
              <w:spacing w:before="20" w:after="20"/>
            </w:pPr>
            <w:r>
              <w:rPr>
                <w:rFonts w:ascii="Courier New" w:cs="Courier New" w:eastAsia="Courier New" w:hAnsi="Courier New"/>
                <w:color w:val="94D4B8"/>
                <w:sz w:val="18"/>
                <w:szCs w:val="18"/>
              </w:rPr>
              <w:t xml:space="preserve">       v</w:t>
            </w:r>
          </w:p>
          <w:p>
            <w:pPr>
              <w:spacing w:before="20" w:after="20"/>
            </w:pPr>
            <w:r>
              <w:rPr>
                <w:rFonts w:ascii="Courier New" w:cs="Courier New" w:eastAsia="Courier New" w:hAnsi="Courier New"/>
                <w:color w:val="94D4B8"/>
                <w:sz w:val="18"/>
                <w:szCs w:val="18"/>
              </w:rPr>
              <w:t xml:space="preserve">DIGITAL TWIN MODEL (Element D/D1)</w:t>
            </w:r>
          </w:p>
          <w:p>
            <w:pPr>
              <w:spacing w:before="20" w:after="20"/>
            </w:pPr>
            <w:r>
              <w:rPr>
                <w:rFonts w:ascii="Courier New" w:cs="Courier New" w:eastAsia="Courier New" w:hAnsi="Courier New"/>
                <w:color w:val="94D4B8"/>
                <w:sz w:val="18"/>
                <w:szCs w:val="18"/>
              </w:rPr>
              <w:t xml:space="preserve">       |  Continuously updated state: structural_integrity, environmental_</w:t>
            </w:r>
          </w:p>
          <w:p>
            <w:pPr>
              <w:spacing w:before="20" w:after="20"/>
            </w:pPr>
            <w:r>
              <w:rPr>
                <w:rFonts w:ascii="Courier New" w:cs="Courier New" w:eastAsia="Courier New" w:hAnsi="Courier New"/>
                <w:color w:val="94D4B8"/>
                <w:sz w:val="18"/>
                <w:szCs w:val="18"/>
              </w:rPr>
              <w:t xml:space="preserve">       |  condition, usage_intensity, deterioration_level, overall_health</w:t>
            </w:r>
          </w:p>
          <w:p>
            <w:pPr>
              <w:spacing w:before="20" w:after="20"/>
            </w:pPr>
            <w:r>
              <w:rPr>
                <w:rFonts w:ascii="Courier New" w:cs="Courier New" w:eastAsia="Courier New" w:hAnsi="Courier New"/>
                <w:color w:val="94D4B8"/>
                <w:sz w:val="18"/>
                <w:szCs w:val="18"/>
              </w:rPr>
              <w:t xml:space="preserve">       v</w:t>
            </w:r>
          </w:p>
          <w:p>
            <w:pPr>
              <w:spacing w:before="20" w:after="20"/>
            </w:pPr>
            <w:r>
              <w:rPr>
                <w:rFonts w:ascii="Courier New" w:cs="Courier New" w:eastAsia="Courier New" w:hAnsi="Courier New"/>
                <w:color w:val="94D4B8"/>
                <w:sz w:val="18"/>
                <w:szCs w:val="18"/>
              </w:rPr>
              <w:t xml:space="preserve">TECHNICAL INDICATORS ENGINE (Element E/E1)</w:t>
            </w:r>
          </w:p>
          <w:p>
            <w:pPr>
              <w:spacing w:before="20" w:after="20"/>
            </w:pPr>
            <w:r>
              <w:rPr>
                <w:rFonts w:ascii="Courier New" w:cs="Courier New" w:eastAsia="Courier New" w:hAnsi="Courier New"/>
                <w:color w:val="94D4B8"/>
                <w:sz w:val="18"/>
                <w:szCs w:val="18"/>
              </w:rPr>
              <w:t xml:space="preserve">       |  SHF  ESF  USS  PDP  CI   (all outputs in [0, 1])</w:t>
            </w:r>
          </w:p>
          <w:p>
            <w:pPr>
              <w:spacing w:before="20" w:after="20"/>
            </w:pPr>
            <w:r>
              <w:rPr>
                <w:rFonts w:ascii="Courier New" w:cs="Courier New" w:eastAsia="Courier New" w:hAnsi="Courier New"/>
                <w:color w:val="94D4B8"/>
                <w:sz w:val="18"/>
                <w:szCs w:val="18"/>
              </w:rPr>
              <w:t xml:space="preserve">       v</w:t>
            </w:r>
          </w:p>
          <w:p>
            <w:pPr>
              <w:spacing w:before="20" w:after="20"/>
            </w:pPr>
            <w:r>
              <w:rPr>
                <w:rFonts w:ascii="Courier New" w:cs="Courier New" w:eastAsia="Courier New" w:hAnsi="Courier New"/>
                <w:color w:val="94D4B8"/>
                <w:sz w:val="18"/>
                <w:szCs w:val="18"/>
              </w:rPr>
              <w:t xml:space="preserve">PROPERTY VALUATION ENGINE (Element F/F1/F2/F2.1)</w:t>
            </w:r>
          </w:p>
          <w:p>
            <w:pPr>
              <w:spacing w:before="20" w:after="20"/>
            </w:pPr>
            <w:r>
              <w:rPr>
                <w:rFonts w:ascii="Courier New" w:cs="Courier New" w:eastAsia="Courier New" w:hAnsi="Courier New"/>
                <w:color w:val="94D4B8"/>
                <w:sz w:val="18"/>
                <w:szCs w:val="18"/>
              </w:rPr>
              <w:t xml:space="preserve">       |  RTPMV = Land_Value + Structure_Value x (SHF x ESF x USS x PDP x CI)</w:t>
            </w:r>
          </w:p>
          <w:p>
            <w:pPr>
              <w:spacing w:before="20" w:after="20"/>
            </w:pPr>
            <w:r>
              <w:rPr>
                <w:rFonts w:ascii="Courier New" w:cs="Courier New" w:eastAsia="Courier New" w:hAnsi="Courier New"/>
                <w:color w:val="94D4B8"/>
                <w:sz w:val="18"/>
                <w:szCs w:val="18"/>
              </w:rPr>
              <w:t xml:space="preserve">       v</w:t>
            </w:r>
          </w:p>
          <w:p>
            <w:pPr>
              <w:spacing w:before="20" w:after="20"/>
            </w:pPr>
            <w:r>
              <w:rPr>
                <w:rFonts w:ascii="Courier New" w:cs="Courier New" w:eastAsia="Courier New" w:hAnsi="Courier New"/>
                <w:color w:val="94D4B8"/>
                <w:sz w:val="18"/>
                <w:szCs w:val="18"/>
              </w:rPr>
              <w:t xml:space="preserve">HASH-CHAIN VERIFICATION (Element G/G1)</w:t>
            </w:r>
          </w:p>
          <w:p>
            <w:pPr>
              <w:spacing w:before="20" w:after="20"/>
            </w:pPr>
            <w:r>
              <w:rPr>
                <w:rFonts w:ascii="Courier New" w:cs="Courier New" w:eastAsia="Courier New" w:hAnsi="Courier New"/>
                <w:color w:val="94D4B8"/>
                <w:sz w:val="18"/>
                <w:szCs w:val="18"/>
              </w:rPr>
              <w:t xml:space="preserve">       |  SHA-256 block  +  Valuation Token  +  chain integrity check</w:t>
            </w:r>
          </w:p>
          <w:p>
            <w:pPr>
              <w:spacing w:before="20" w:after="20"/>
            </w:pPr>
            <w:r>
              <w:rPr>
                <w:rFonts w:ascii="Courier New" w:cs="Courier New" w:eastAsia="Courier New" w:hAnsi="Courier New"/>
                <w:color w:val="94D4B8"/>
                <w:sz w:val="18"/>
                <w:szCs w:val="18"/>
              </w:rPr>
              <w:t xml:space="preserve">       v</w:t>
            </w:r>
          </w:p>
          <w:p>
            <w:pPr>
              <w:spacing w:before="20" w:after="20"/>
            </w:pPr>
            <w:r>
              <w:rPr>
                <w:rFonts w:ascii="Courier New" w:cs="Courier New" w:eastAsia="Courier New" w:hAnsi="Courier New"/>
                <w:color w:val="94D4B8"/>
                <w:sz w:val="18"/>
                <w:szCs w:val="18"/>
              </w:rPr>
              <w:t xml:space="preserve">PROPERTY EXCHANGE (Element H/H1/H1.1)</w:t>
            </w:r>
          </w:p>
          <w:p>
            <w:pPr>
              <w:spacing w:before="20" w:after="20"/>
            </w:pPr>
            <w:r>
              <w:rPr>
                <w:rFonts w:ascii="Courier New" w:cs="Courier New" w:eastAsia="Courier New" w:hAnsi="Courier New"/>
                <w:color w:val="94D4B8"/>
                <w:sz w:val="18"/>
                <w:szCs w:val="18"/>
              </w:rPr>
              <w:t xml:space="preserve">       |  Live bid/ask  +  dynamic spread  +  market controls  +  order book</w:t>
            </w:r>
          </w:p>
          <w:p>
            <w:pPr>
              <w:spacing w:before="20" w:after="20"/>
            </w:pPr>
            <w:r>
              <w:rPr>
                <w:rFonts w:ascii="Courier New" w:cs="Courier New" w:eastAsia="Courier New" w:hAnsi="Courier New"/>
                <w:color w:val="94D4B8"/>
                <w:sz w:val="18"/>
                <w:szCs w:val="18"/>
              </w:rPr>
              <w:t xml:space="preserve">       v</w:t>
            </w:r>
          </w:p>
          <w:p>
            <w:pPr>
              <w:spacing w:before="20" w:after="20"/>
            </w:pPr>
            <w:r>
              <w:rPr>
                <w:rFonts w:ascii="Courier New" w:cs="Courier New" w:eastAsia="Courier New" w:hAnsi="Courier New"/>
                <w:color w:val="94D4B8"/>
                <w:sz w:val="18"/>
                <w:szCs w:val="18"/>
              </w:rPr>
              <w:t xml:space="preserve">BUILDING ORCHESTRATOR  (ties all of the above per property)</w:t>
            </w:r>
          </w:p>
        </w:tc>
      </w:tr>
    </w:tbl>
    <w:p>
      <w:pPr>
        <w:spacing w:before="100" w:after="0"/>
      </w:pPr>
      <w:r>
        <w:t xml:space="preserve"/>
      </w:r>
    </w:p>
    <w:p>
      <w:pPr>
        <w:pStyle w:val="Heading3"/>
        <w:spacing w:before="240" w:after="80"/>
      </w:pPr>
      <w:r>
        <w:rPr>
          <w:rFonts w:ascii="Arial" w:cs="Arial" w:eastAsia="Arial" w:hAnsi="Arial"/>
          <w:b/>
          <w:bCs/>
          <w:color w:val="0E6DC2"/>
          <w:sz w:val="24"/>
          <w:szCs w:val="24"/>
        </w:rPr>
        <w:t xml:space="preserve">2.2  Class Map to Patent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Class</w:t>
            </w:r>
          </w:p>
        </w:tc>
        <w:tc>
          <w:tcPr>
            <w:tcW w:type="dxa" w:w="24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Patent Elements</w:t>
            </w:r>
          </w:p>
        </w:tc>
        <w:tc>
          <w:tcPr>
            <w:tcW w:type="dxa" w:w="376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Responsibility</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ASHRAESensorEngine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B, B1</w:t>
            </w:r>
          </w:p>
        </w:tc>
        <w:tc>
          <w:tcPr>
            <w:tcW w:type="dxa" w:w="3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Generates all sensor types from ASHRAE statistical distributions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DataPreprocessor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 C1</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Denoises and normalises raw sensor values before indicator computation</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DigitalTwinModel</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D, D1</w:t>
            </w:r>
          </w:p>
        </w:tc>
        <w:tc>
          <w:tcPr>
            <w:tcW w:type="dxa" w:w="3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Maintains a live state object representing the building's physical condition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TechnicalIndicatorsEngine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 E1</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Computes SHF, ESF, USS, PDP, and CI from preprocessed sensor values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PropertyValuationEngine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F, F1, F2, F2.1</w:t>
            </w:r>
          </w:p>
        </w:tc>
        <w:tc>
          <w:tcPr>
            <w:tcW w:type="dxa" w:w="3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Computes RTPMV from indicators and baseline market 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HashChainVerification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 G1</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Produces SHA-256 hash-chained audit records and valuation tokens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PropertyExchange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H, H1, H1.1</w:t>
            </w:r>
          </w:p>
        </w:tc>
        <w:tc>
          <w:tcPr>
            <w:tcW w:type="dxa" w:w="3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Manages the multi-property order book and sensor-triggered market controls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BuildingOrchestrator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All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Ties all classes into a single per-building processing cycle</w:t>
            </w:r>
          </w:p>
        </w:tc>
      </w:tr>
    </w:tbl>
    <w:p>
      <w:pPr>
        <w:spacing w:before="100" w:after="0"/>
      </w:pPr>
      <w:r>
        <w:t xml:space="preserve"/>
      </w:r>
    </w:p>
    <w:p>
      <w:pPr>
        <w:spacing w:before="0"/>
      </w:pPr>
      <w:r>
        <w:br w:type="page"/>
      </w:r>
    </w:p>
    <w:p>
      <w:pPr>
        <w:pStyle w:val="Heading1"/>
        <w:spacing w:before="400" w:after="160"/>
      </w:pPr>
      <w:r>
        <w:rPr>
          <w:rFonts w:ascii="Arial" w:cs="Arial" w:eastAsia="Arial" w:hAnsi="Arial"/>
          <w:b/>
          <w:bCs/>
          <w:color w:val="0D2137"/>
          <w:sz w:val="40"/>
          <w:szCs w:val="40"/>
        </w:rPr>
        <w:t xml:space="preserve">3. ASHRAE GEPIII — The Demo Data Source</w:t>
      </w:r>
    </w:p>
    <w:p>
      <w:pPr>
        <w:pStyle w:val="Heading2"/>
        <w:pBdr>
          <w:bottom w:val="single" w:color="0E6DC2" w:sz="10" w:space="4"/>
        </w:pBdr>
        <w:spacing w:before="320" w:after="100"/>
      </w:pPr>
      <w:r>
        <w:rPr>
          <w:rFonts w:ascii="Arial" w:cs="Arial" w:eastAsia="Arial" w:hAnsi="Arial"/>
          <w:b/>
          <w:bCs/>
          <w:color w:val="0D2137"/>
          <w:sz w:val="28"/>
          <w:szCs w:val="28"/>
        </w:rPr>
        <w:t xml:space="preserve">3.1  What is ASHRAE?</w:t>
      </w:r>
    </w:p>
    <w:p>
      <w:pPr>
        <w:spacing w:before="80" w:after="80" w:line="280"/>
        <w:jc w:val="left"/>
      </w:pPr>
      <w:r>
        <w:rPr>
          <w:rFonts w:ascii="Arial" w:cs="Arial" w:eastAsia="Arial" w:hAnsi="Arial"/>
          <w:b w:val="false"/>
          <w:bCs w:val="false"/>
          <w:i w:val="false"/>
          <w:iCs w:val="false"/>
          <w:color w:val="374151"/>
          <w:sz w:val="22"/>
          <w:szCs w:val="22"/>
        </w:rPr>
        <w:t xml:space="preserve">ASHRAE stands for the American Society of Heating, Refrigerating and Air-Conditioning Engineers. It is the foremost international authority on building mechanical systems, energy performance standards, and indoor environmental quality. ASHRAE publishes the standards that govern how buildings are designed, operated, and measured globally — including ASHRAE Standard 55 (Thermal Comfort), Standard 62.1 (Ventilation), Standard 90.1 (Energy Efficiency), and the Handbook of Fundamentals, which is the primary reference for building energy modelling worldwide.</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ASHRAE also organises major data science competitions. The Great Energy Predictor III (GEPIII) competition, hosted on Kaggle in 2019, released one of the largest publicly available building energy datasets in history:</w:t>
      </w:r>
    </w:p>
    <w:p>
      <w:pPr>
        <w:spacing w:before="6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1,448 commercial and institutional buildings across 16 sites</w:t>
      </w:r>
    </w:p>
    <w:p>
      <w:pPr>
        <w:pStyle w:val="ListParagraph"/>
        <w:numPr>
          <w:ilvl w:val="0"/>
          <w:numId w:val="2"/>
        </w:numPr>
        <w:spacing w:before="40" w:after="40"/>
      </w:pPr>
      <w:r>
        <w:rPr>
          <w:rFonts w:ascii="Arial" w:cs="Arial" w:eastAsia="Arial" w:hAnsi="Arial"/>
          <w:color w:val="374151"/>
          <w:sz w:val="22"/>
          <w:szCs w:val="22"/>
        </w:rPr>
        <w:t xml:space="preserve">Over 20 million hourly meter readings spanning calendar year 2016</w:t>
      </w:r>
    </w:p>
    <w:p>
      <w:pPr>
        <w:pStyle w:val="ListParagraph"/>
        <w:numPr>
          <w:ilvl w:val="0"/>
          <w:numId w:val="2"/>
        </w:numPr>
        <w:spacing w:before="40" w:after="40"/>
      </w:pPr>
      <w:r>
        <w:rPr>
          <w:rFonts w:ascii="Arial" w:cs="Arial" w:eastAsia="Arial" w:hAnsi="Arial"/>
          <w:color w:val="374151"/>
          <w:sz w:val="22"/>
          <w:szCs w:val="22"/>
        </w:rPr>
        <w:t xml:space="preserve">Four meter types per building: electricity (meter 0), chilled water (meter 1), steam (meter 2), hot water (meter 3)</w:t>
      </w:r>
    </w:p>
    <w:p>
      <w:pPr>
        <w:pStyle w:val="ListParagraph"/>
        <w:numPr>
          <w:ilvl w:val="0"/>
          <w:numId w:val="2"/>
        </w:numPr>
        <w:spacing w:before="40" w:after="40"/>
      </w:pPr>
      <w:r>
        <w:rPr>
          <w:rFonts w:ascii="Arial" w:cs="Arial" w:eastAsia="Arial" w:hAnsi="Arial"/>
          <w:color w:val="374151"/>
          <w:sz w:val="22"/>
          <w:szCs w:val="22"/>
        </w:rPr>
        <w:t xml:space="preserve">Building metadata for every property: primary use category, gross floor area in square feet, year built, floor count, and site identifier</w:t>
      </w:r>
    </w:p>
    <w:p>
      <w:pPr>
        <w:pStyle w:val="ListParagraph"/>
        <w:numPr>
          <w:ilvl w:val="0"/>
          <w:numId w:val="2"/>
        </w:numPr>
        <w:spacing w:before="40" w:after="40"/>
      </w:pPr>
      <w:r>
        <w:rPr>
          <w:rFonts w:ascii="Arial" w:cs="Arial" w:eastAsia="Arial" w:hAnsi="Arial"/>
          <w:color w:val="374151"/>
          <w:sz w:val="22"/>
          <w:szCs w:val="22"/>
        </w:rPr>
        <w:t xml:space="preserve">Hourly weather data per site: air temperature, dew point temperature, relative humidity, wind speed, sea level pressure, cloud coverage, and precipitation depth</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C6E" w:sz="14"/>
              <w:left w:val="single" w:color="D1D5DB" w:sz="1"/>
              <w:bottom w:val="single" w:color="D1D5DB" w:sz="1"/>
              <w:right w:val="single" w:color="D1D5DB" w:sz="1"/>
            </w:tcBorders>
            <w:shd w:fill="F0FDF4" w:val="clear"/>
            <w:tcMar>
              <w:top w:type="dxa" w:w="120"/>
              <w:left w:type="dxa" w:w="200"/>
              <w:bottom w:type="dxa" w:w="120"/>
              <w:right w:type="dxa" w:w="200"/>
            </w:tcMar>
          </w:tcPr>
          <w:p>
            <w:pPr>
              <w:spacing w:before="0" w:after="60"/>
            </w:pPr>
            <w:r>
              <w:rPr>
                <w:rFonts w:ascii="Arial" w:cs="Arial" w:eastAsia="Arial" w:hAnsi="Arial"/>
                <w:b/>
                <w:bCs/>
                <w:color w:val="0A8C6E"/>
                <w:sz w:val="20"/>
                <w:szCs w:val="20"/>
              </w:rPr>
              <w:t xml:space="preserve">Data Citation</w:t>
            </w:r>
          </w:p>
          <w:p>
            <w:pPr>
              <w:spacing w:before="0" w:after="0"/>
            </w:pPr>
            <w:r>
              <w:rPr>
                <w:rFonts w:ascii="Arial" w:cs="Arial" w:eastAsia="Arial" w:hAnsi="Arial"/>
                <w:color w:val="374151"/>
                <w:sz w:val="20"/>
                <w:szCs w:val="20"/>
              </w:rPr>
              <w:t xml:space="preserve">ASHRAE Great Energy Predictor III, Kaggle 2019. Building Data Genome Project 2. Dataset: building_metadata.csv, train.csv, weather_train.csv. 16 sites, 1,448 buildings, 20M+ hourly readings. Publicly available under the ASHRAE competition terms.</w:t>
            </w:r>
          </w:p>
        </w:tc>
      </w:tr>
    </w:tbl>
    <w:p>
      <w:pPr>
        <w:spacing w:before="100" w:after="0"/>
      </w:pPr>
      <w:r>
        <w:t xml:space="preserve"/>
      </w:r>
    </w:p>
    <w:p>
      <w:pPr>
        <w:pStyle w:val="Heading2"/>
        <w:pBdr>
          <w:bottom w:val="single" w:color="0E6DC2" w:sz="10" w:space="4"/>
        </w:pBdr>
        <w:spacing w:before="320" w:after="100"/>
      </w:pPr>
      <w:r>
        <w:rPr>
          <w:rFonts w:ascii="Arial" w:cs="Arial" w:eastAsia="Arial" w:hAnsi="Arial"/>
          <w:b/>
          <w:bCs/>
          <w:color w:val="0D2137"/>
          <w:sz w:val="28"/>
          <w:szCs w:val="28"/>
        </w:rPr>
        <w:t xml:space="preserve">3.2  Why ASHRAE GEPIII Was Chosen for This Demo</w:t>
      </w:r>
    </w:p>
    <w:p>
      <w:pPr>
        <w:spacing w:before="80" w:after="80" w:line="280"/>
        <w:jc w:val="left"/>
      </w:pPr>
      <w:r>
        <w:rPr>
          <w:rFonts w:ascii="Arial" w:cs="Arial" w:eastAsia="Arial" w:hAnsi="Arial"/>
          <w:b w:val="false"/>
          <w:bCs w:val="false"/>
          <w:i w:val="false"/>
          <w:iCs w:val="false"/>
          <w:color w:val="374151"/>
          <w:sz w:val="22"/>
          <w:szCs w:val="22"/>
        </w:rPr>
        <w:t xml:space="preserve">The demo requires sensor data that is statistically realistic, publicly verifiable, and credible to institutional stakeholders including investors, engineers, and regulators. ASHRAE GEPIII satisfies all three criteria in a way that synthetically generated data cannot.</w:t>
      </w:r>
    </w:p>
    <w:p>
      <w:pPr>
        <w:spacing w:before="80" w:after="0"/>
      </w:pPr>
      <w:r>
        <w:t xml:space="preserve"/>
      </w:r>
    </w:p>
    <w:p>
      <w:pPr>
        <w:pStyle w:val="Heading3"/>
        <w:spacing w:before="240" w:after="80"/>
      </w:pPr>
      <w:r>
        <w:rPr>
          <w:rFonts w:ascii="Arial" w:cs="Arial" w:eastAsia="Arial" w:hAnsi="Arial"/>
          <w:b/>
          <w:bCs/>
          <w:color w:val="0E6DC2"/>
          <w:sz w:val="24"/>
          <w:szCs w:val="24"/>
        </w:rPr>
        <w:t xml:space="preserve">Reason 1: Real Statistical Distributions</w:t>
      </w:r>
    </w:p>
    <w:p>
      <w:pPr>
        <w:spacing w:before="80" w:after="80" w:line="280"/>
        <w:jc w:val="left"/>
      </w:pPr>
      <w:r>
        <w:rPr>
          <w:rFonts w:ascii="Arial" w:cs="Arial" w:eastAsia="Arial" w:hAnsi="Arial"/>
          <w:b w:val="false"/>
          <w:bCs w:val="false"/>
          <w:i w:val="false"/>
          <w:iCs w:val="false"/>
          <w:color w:val="374151"/>
          <w:sz w:val="22"/>
          <w:szCs w:val="22"/>
        </w:rPr>
        <w:t xml:space="preserve">The building energy profiles in GEPIII are derived from actual hourly meter readings — not arbitrary numbers. When the TwinVal backend generates a sensor reading for the Engineering Building II (UCF-EDU-104), it draws from the actual mean, standard deviation, peak hour, weekend factor, and seasonal amplitude observed in that building's ASHRAE meter records. This means the patterns in the demo data exhibit the same diurnal cycles, weekend load reductions, and seasonal variations that a real IoT sensor network would capture.</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Reason 2: Engineer-Certifiable Parameters</w:t>
      </w:r>
    </w:p>
    <w:p>
      <w:pPr>
        <w:spacing w:before="80" w:after="80" w:line="280"/>
        <w:jc w:val="left"/>
      </w:pPr>
      <w:r>
        <w:rPr>
          <w:rFonts w:ascii="Arial" w:cs="Arial" w:eastAsia="Arial" w:hAnsi="Arial"/>
          <w:b w:val="false"/>
          <w:bCs w:val="false"/>
          <w:i w:val="false"/>
          <w:iCs w:val="false"/>
          <w:color w:val="374151"/>
          <w:sz w:val="22"/>
          <w:szCs w:val="22"/>
        </w:rPr>
        <w:t xml:space="preserve">A core regulatory requirement for TwinVal is that all valuation parameters must be certifiable by a qualified engineer. ASHRAE parameters are not arbitrary internal choices — they are published, peer-reviewed, and embedded in international standards. When TwinVal sets a temperature deviation threshold in the Environmental Stress Factor formula, that threshold can be traced directly to ASHRAE Standard 55 comfort criteria. This traceability is what makes the parameters certifiable, which is what makes the resulting valuations defensible before Bank Negara Malaysia and the Securities Commission.</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Reason 3: Multi-Sensor Completeness</w:t>
      </w:r>
    </w:p>
    <w:p>
      <w:pPr>
        <w:spacing w:before="80" w:after="80" w:line="280"/>
        <w:jc w:val="left"/>
      </w:pPr>
      <w:r>
        <w:rPr>
          <w:rFonts w:ascii="Arial" w:cs="Arial" w:eastAsia="Arial" w:hAnsi="Arial"/>
          <w:b w:val="false"/>
          <w:bCs w:val="false"/>
          <w:i w:val="false"/>
          <w:iCs w:val="false"/>
          <w:color w:val="374151"/>
          <w:sz w:val="22"/>
          <w:szCs w:val="22"/>
        </w:rPr>
        <w:t xml:space="preserve">The patent requires multi-modal sensor input covering structural, environmental, and utility dimensions. ASHRAE GEPIII provides all the input types needed to derive the required sensor channels:</w:t>
      </w:r>
    </w:p>
    <w:p>
      <w:pPr>
        <w:spacing w:before="6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Electricity meter readings → electrical load normalisation → occupancy derivation (diurnal electricity pattern)</w:t>
      </w:r>
    </w:p>
    <w:p>
      <w:pPr>
        <w:pStyle w:val="ListParagraph"/>
        <w:numPr>
          <w:ilvl w:val="0"/>
          <w:numId w:val="2"/>
        </w:numPr>
        <w:spacing w:before="40" w:after="40"/>
      </w:pPr>
      <w:r>
        <w:rPr>
          <w:rFonts w:ascii="Arial" w:cs="Arial" w:eastAsia="Arial" w:hAnsi="Arial"/>
          <w:color w:val="374151"/>
          <w:sz w:val="22"/>
          <w:szCs w:val="22"/>
        </w:rPr>
        <w:t xml:space="preserve">Chilled water and hot water readings → thermal load → temperature and HVAC efficiency</w:t>
      </w:r>
    </w:p>
    <w:p>
      <w:pPr>
        <w:pStyle w:val="ListParagraph"/>
        <w:numPr>
          <w:ilvl w:val="0"/>
          <w:numId w:val="2"/>
        </w:numPr>
        <w:spacing w:before="40" w:after="40"/>
      </w:pPr>
      <w:r>
        <w:rPr>
          <w:rFonts w:ascii="Arial" w:cs="Arial" w:eastAsia="Arial" w:hAnsi="Arial"/>
          <w:color w:val="374151"/>
          <w:sz w:val="22"/>
          <w:szCs w:val="22"/>
        </w:rPr>
        <w:t xml:space="preserve">Weather data (humidity, dew point, precipitation) → moisture stress</w:t>
      </w:r>
    </w:p>
    <w:p>
      <w:pPr>
        <w:pStyle w:val="ListParagraph"/>
        <w:numPr>
          <w:ilvl w:val="0"/>
          <w:numId w:val="2"/>
        </w:numPr>
        <w:spacing w:before="40" w:after="40"/>
      </w:pPr>
      <w:r>
        <w:rPr>
          <w:rFonts w:ascii="Arial" w:cs="Arial" w:eastAsia="Arial" w:hAnsi="Arial"/>
          <w:color w:val="374151"/>
          <w:sz w:val="22"/>
          <w:szCs w:val="22"/>
        </w:rPr>
        <w:t xml:space="preserve">Wind speed from weather data → structural vibration component</w:t>
      </w:r>
    </w:p>
    <w:p>
      <w:pPr>
        <w:pStyle w:val="ListParagraph"/>
        <w:numPr>
          <w:ilvl w:val="0"/>
          <w:numId w:val="2"/>
        </w:numPr>
        <w:spacing w:before="40" w:after="40"/>
      </w:pPr>
      <w:r>
        <w:rPr>
          <w:rFonts w:ascii="Arial" w:cs="Arial" w:eastAsia="Arial" w:hAnsi="Arial"/>
          <w:color w:val="374151"/>
          <w:sz w:val="22"/>
          <w:szCs w:val="22"/>
        </w:rPr>
        <w:t xml:space="preserve">Electricity load × HVAC efficiency → air quality derivation</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Each of the seven sensor types required by patent Element B1 is therefore grounded in an ASHRAE data source, not in an arbitrary simulation.</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Reason 4: Institutional Credibility</w:t>
      </w:r>
    </w:p>
    <w:p>
      <w:pPr>
        <w:spacing w:before="80" w:after="80" w:line="280"/>
        <w:jc w:val="left"/>
      </w:pPr>
      <w:r>
        <w:rPr>
          <w:rFonts w:ascii="Arial" w:cs="Arial" w:eastAsia="Arial" w:hAnsi="Arial"/>
          <w:b w:val="false"/>
          <w:bCs w:val="false"/>
          <w:i w:val="false"/>
          <w:iCs w:val="false"/>
          <w:color w:val="374151"/>
          <w:sz w:val="22"/>
          <w:szCs w:val="22"/>
        </w:rPr>
        <w:t xml:space="preserve">When presenting TwinVal to REIT portfolio managers, institutional investors, or regulators, the phrase 'data derived from ASHRAE's Great Energy Predictor III competition' carries immediate technical credibility. ASHRAE is the organisation that sets the standards these buildings are designed and operated to meet. Using ASHRAE data as the demo data source is not a coincidence — it is a deliberate positioning choice that anchors TwinVal in the same standards ecosystem its target customers already operate within.</w:t>
      </w:r>
    </w:p>
    <w:p>
      <w:pPr>
        <w:spacing w:before="100" w:after="0"/>
      </w:pPr>
      <w:r>
        <w:t xml:space="preserve"/>
      </w:r>
    </w:p>
    <w:p>
      <w:pPr>
        <w:pStyle w:val="Heading2"/>
        <w:pBdr>
          <w:bottom w:val="single" w:color="0E6DC2" w:sz="10" w:space="4"/>
        </w:pBdr>
        <w:spacing w:before="320" w:after="100"/>
      </w:pPr>
      <w:r>
        <w:rPr>
          <w:rFonts w:ascii="Arial" w:cs="Arial" w:eastAsia="Arial" w:hAnsi="Arial"/>
          <w:b/>
          <w:bCs/>
          <w:color w:val="0D2137"/>
          <w:sz w:val="28"/>
          <w:szCs w:val="28"/>
        </w:rPr>
        <w:t xml:space="preserve">3.3  How ASHRAE Data Is Used in the Code</w:t>
      </w:r>
    </w:p>
    <w:p>
      <w:pPr>
        <w:spacing w:before="80" w:after="80" w:line="280"/>
        <w:jc w:val="left"/>
      </w:pPr>
      <w:r>
        <w:rPr>
          <w:rFonts w:ascii="Arial" w:cs="Arial" w:eastAsia="Arial" w:hAnsi="Arial"/>
          <w:b w:val="false"/>
          <w:bCs w:val="false"/>
          <w:i w:val="false"/>
          <w:iCs w:val="false"/>
          <w:color w:val="374151"/>
          <w:sz w:val="22"/>
          <w:szCs w:val="22"/>
        </w:rPr>
        <w:t xml:space="preserve">The ASHRAE data is not loaded from files in the demo. Instead, the statistical parameters from the GEPIII dataset for Site 1 buildings (University of Central Florida, Orlando) have been extracted and embedded directly in the ASHRAE_BUILDINGS dictionary and SITE1_WEATHER dictionary at the top of the codebase.</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For each building, the following parameters are stored and used to generate synthetic but statistically faithful readings at each processing cycle: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Parameter</w:t>
            </w:r>
          </w:p>
        </w:tc>
        <w:tc>
          <w:tcPr>
            <w:tcW w:type="dxa" w:w="32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Source in GEPIII</w:t>
            </w:r>
          </w:p>
        </w:tc>
        <w:tc>
          <w:tcPr>
            <w:tcW w:type="dxa" w:w="356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Used For</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mean (kWh)</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Arithmetic mean of all hourly readings for that meter type</w:t>
            </w:r>
          </w:p>
        </w:tc>
        <w:tc>
          <w:tcPr>
            <w:tcW w:type="dxa" w:w="3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Base load for each simulated reading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std (kWh)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Standard deviation of hourly readings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Gaussian noise applied to each reading</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peak_hour</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Hour of day with highest average consumption</w:t>
            </w:r>
          </w:p>
        </w:tc>
        <w:tc>
          <w:tcPr>
            <w:tcW w:type="dxa" w:w="3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Diurnal Gaussian pattern centred on this hour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weekend_factor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Ratio of weekend mean to weekday mean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Multiplied in when day_of_week &gt;= 5</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seasonal_amp</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Peak-to-trough seasonal amplitude normalised to mean</w:t>
            </w:r>
          </w:p>
        </w:tc>
        <w:tc>
          <w:tcPr>
            <w:tcW w:type="dxa" w:w="3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Sinusoidal seasonal modulation, peaks in summer</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sensor engine (ASHRAESensorEngine) uses these parameters in a composed formula for each simulated hour: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reading = mean x diurnal(hour) x weekend_factor x seasonal(day_of_year)</w:t>
            </w:r>
          </w:p>
          <w:p>
            <w:pPr>
              <w:spacing w:before="20" w:after="20"/>
            </w:pPr>
            <w:r>
              <w:rPr>
                <w:rFonts w:ascii="Courier New" w:cs="Courier New" w:eastAsia="Courier New" w:hAnsi="Courier New"/>
                <w:color w:val="94D4B8"/>
                <w:sz w:val="18"/>
                <w:szCs w:val="18"/>
              </w:rPr>
              <w:t xml:space="preserve">       + Gaussian(0, std x 0.3)</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diurnal(h) = exp( -0.5 x ((h - peak_hour) / 4.0)^2 )</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seasonal(doy) = 1 + seasonal_amp x sin( 2*pi*(doy - 172) / 365 )</w:t>
            </w:r>
          </w:p>
          <w:p>
            <w:pPr>
              <w:spacing w:before="20" w:after="20"/>
            </w:pPr>
            <w:r>
              <w:rPr>
                <w:rFonts w:ascii="Courier New" w:cs="Courier New" w:eastAsia="Courier New" w:hAnsi="Courier New"/>
                <w:color w:val="94D4B8"/>
                <w:sz w:val="18"/>
                <w:szCs w:val="18"/>
              </w:rPr>
              <w:t xml:space="preserve">                                         # peaks at summer solstice (~day 172)</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raw meter readings are then mapped to the seven patent-required sensor dimensions using derived physical models — for example, electrical load is normalised against building capacity, moisture is computed from humidity and dew point proximity, and vibration is estimated from HVAC electrical load plus wind-driven structural excitation.</w:t>
      </w:r>
    </w:p>
    <w:p>
      <w:pPr>
        <w:spacing w:before="100" w:after="0"/>
      </w:pPr>
      <w:r>
        <w:t xml:space="preserve"/>
      </w:r>
    </w:p>
    <w:p>
      <w:pPr>
        <w:pStyle w:val="Heading2"/>
        <w:pBdr>
          <w:bottom w:val="single" w:color="0E6DC2" w:sz="10" w:space="4"/>
        </w:pBdr>
        <w:spacing w:before="320" w:after="100"/>
      </w:pPr>
      <w:r>
        <w:rPr>
          <w:rFonts w:ascii="Arial" w:cs="Arial" w:eastAsia="Arial" w:hAnsi="Arial"/>
          <w:b/>
          <w:bCs/>
          <w:color w:val="0D2137"/>
          <w:sz w:val="28"/>
          <w:szCs w:val="28"/>
        </w:rPr>
        <w:t xml:space="preserve">3.4  Buildings in the Demo</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1200"/>
        <w:gridCol w:w="1000"/>
        <w:gridCol w:w="2760"/>
      </w:tblGrid>
      <w:tr>
        <w:trPr>
          <w:tblHeader/>
        </w:trPr>
        <w:tc>
          <w:tcPr>
            <w:tcW w:type="dxa" w:w="16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28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Name</w:t>
            </w:r>
          </w:p>
        </w:tc>
        <w:tc>
          <w:tcPr>
            <w:tcW w:type="dxa" w:w="20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Sq Ft</w:t>
            </w:r>
          </w:p>
        </w:tc>
        <w:tc>
          <w:tcPr>
            <w:tcW w:type="dxa" w:w="10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Built</w:t>
            </w:r>
          </w:p>
        </w:tc>
        <w:tc>
          <w:tcPr>
            <w:tcW w:type="dxa" w:w="276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Meters Available</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UCF-EDU-104</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Engineering Building II</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Education</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227,012</w:t>
            </w:r>
          </w:p>
        </w:tc>
        <w:tc>
          <w:tcPr>
            <w:tcW w:type="dxa" w:w="1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1975</w:t>
            </w:r>
          </w:p>
        </w:tc>
        <w:tc>
          <w:tcPr>
            <w:tcW w:type="dxa" w:w="2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Electricity, Chilled Water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UCF-OFF-105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Administration Building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Office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145,800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1982</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Electricity, Chilled Water, Hot Water</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UCF-LAB-112</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Research Pavilion</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Technology/Science</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89,500</w:t>
            </w:r>
          </w:p>
        </w:tc>
        <w:tc>
          <w:tcPr>
            <w:tcW w:type="dxa" w:w="1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2003</w:t>
            </w:r>
          </w:p>
        </w:tc>
        <w:tc>
          <w:tcPr>
            <w:tcW w:type="dxa" w:w="2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Electricity, Chilled Water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UCF-RES-108</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Tower III Residential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Lodging/Residential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186,300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1998</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Electricity, Hot Water</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All four buildings share the same ASHRAE Site 1 weather profile (hot-humid climate zone 2A), meaning external environmental conditions are consistent across the portfolio, while each building's internal load profile differs based on its primary use and construction year.</w:t>
      </w:r>
    </w:p>
    <w:p>
      <w:pPr>
        <w:spacing w:before="100" w:after="0"/>
      </w:pPr>
      <w:r>
        <w:t xml:space="preserve"/>
      </w:r>
    </w:p>
    <w:p>
      <w:pPr>
        <w:pStyle w:val="Heading2"/>
        <w:pBdr>
          <w:bottom w:val="single" w:color="0E6DC2" w:sz="10" w:space="4"/>
        </w:pBdr>
        <w:spacing w:before="320" w:after="100"/>
      </w:pPr>
      <w:r>
        <w:rPr>
          <w:rFonts w:ascii="Arial" w:cs="Arial" w:eastAsia="Arial" w:hAnsi="Arial"/>
          <w:b/>
          <w:bCs/>
          <w:color w:val="0D2137"/>
          <w:sz w:val="28"/>
          <w:szCs w:val="28"/>
        </w:rPr>
        <w:t xml:space="preserve">3.5  How ASHRAE Will Be Replaced in Production</w:t>
      </w:r>
    </w:p>
    <w:p>
      <w:pPr>
        <w:spacing w:before="80" w:after="80" w:line="280"/>
        <w:jc w:val="left"/>
      </w:pPr>
      <w:r>
        <w:rPr>
          <w:rFonts w:ascii="Arial" w:cs="Arial" w:eastAsia="Arial" w:hAnsi="Arial"/>
          <w:b w:val="false"/>
          <w:bCs w:val="false"/>
          <w:i w:val="false"/>
          <w:iCs w:val="false"/>
          <w:color w:val="374151"/>
          <w:sz w:val="22"/>
          <w:szCs w:val="22"/>
        </w:rPr>
        <w:t xml:space="preserve">ASHRAE GEPIII data serves one purpose: to make the demo credible and testable in the absence of a live IoT sensor network. It will be replaced at two distinct stages of the production transition.</w:t>
      </w:r>
    </w:p>
    <w:p>
      <w:pPr>
        <w:spacing w:before="80" w:after="0"/>
      </w:pPr>
      <w:r>
        <w:t xml:space="preserve"/>
      </w:r>
    </w:p>
    <w:p>
      <w:pPr>
        <w:pStyle w:val="Heading3"/>
        <w:spacing w:before="240" w:after="80"/>
      </w:pPr>
      <w:r>
        <w:rPr>
          <w:rFonts w:ascii="Arial" w:cs="Arial" w:eastAsia="Arial" w:hAnsi="Arial"/>
          <w:b/>
          <w:bCs/>
          <w:color w:val="0E6DC2"/>
          <w:sz w:val="24"/>
          <w:szCs w:val="24"/>
        </w:rPr>
        <w:t xml:space="preserve">Stage 1 — Phyphox Zero-Cost Sensor Bridge (Immediate Path)</w:t>
      </w:r>
    </w:p>
    <w:p>
      <w:pPr>
        <w:spacing w:before="80" w:after="80" w:line="280"/>
        <w:jc w:val="left"/>
      </w:pPr>
      <w:r>
        <w:rPr>
          <w:rFonts w:ascii="Arial" w:cs="Arial" w:eastAsia="Arial" w:hAnsi="Arial"/>
          <w:b w:val="false"/>
          <w:bCs w:val="false"/>
          <w:i w:val="false"/>
          <w:iCs w:val="false"/>
          <w:color w:val="374151"/>
          <w:sz w:val="22"/>
          <w:szCs w:val="22"/>
        </w:rPr>
        <w:t xml:space="preserve">Before deploying dedicated IoT hardware, TwinVal can capture live sensor data using the Phyphox app (developed by RWTH Aachen University and used in peer-reviewed research). The Samsung S24 Ultra or equivalent device provides accelerometer (vibration/strain proxy), barometer, magnetometer, and environmental sensors. The Phyphox HTTP interface streams readings in JSON over a local network.</w:t>
      </w:r>
    </w:p>
    <w:p>
      <w:pPr>
        <w:spacing w:before="6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In the production codebase, the ASHRAESensorEngine class would be swapped for a PhyphoxSensorBridge class implementing the same interface but fetching from the Phyphox HTTP API instead of drawing from statistical distributions. The rest of the pipeline — preprocessor, twin, indicators, valuation, hash chain, exchange — requires no modification, because the pipeline is defined by the sensor interface contract, not by the data source.</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Stage 2 — Full IoT Sensor Deployment (Pilot Phase)</w:t>
      </w:r>
    </w:p>
    <w:p>
      <w:pPr>
        <w:spacing w:before="80" w:after="80" w:line="280"/>
        <w:jc w:val="left"/>
      </w:pPr>
      <w:r>
        <w:rPr>
          <w:rFonts w:ascii="Arial" w:cs="Arial" w:eastAsia="Arial" w:hAnsi="Arial"/>
          <w:b w:val="false"/>
          <w:bCs w:val="false"/>
          <w:i w:val="false"/>
          <w:iCs w:val="false"/>
          <w:color w:val="374151"/>
          <w:sz w:val="22"/>
          <w:szCs w:val="22"/>
        </w:rPr>
        <w:t xml:space="preserve">The production sensor network will consist of dedicated IoT hardware calibrated and certified by a registered structural/MEP engineer, in accordance with ASHRAE standards and the parameter certification requirements of the TwinVal patent. The following sensor types will be physically deployed:</w:t>
      </w:r>
    </w:p>
    <w:p>
      <w:pPr>
        <w:spacing w:before="6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Structural sensors: MEMS accelerometers for vibration, strain gauges for load measurement</w:t>
      </w:r>
    </w:p>
    <w:p>
      <w:pPr>
        <w:pStyle w:val="ListParagraph"/>
        <w:numPr>
          <w:ilvl w:val="0"/>
          <w:numId w:val="2"/>
        </w:numPr>
        <w:spacing w:before="40" w:after="40"/>
      </w:pPr>
      <w:r>
        <w:rPr>
          <w:rFonts w:ascii="Arial" w:cs="Arial" w:eastAsia="Arial" w:hAnsi="Arial"/>
          <w:color w:val="374151"/>
          <w:sz w:val="22"/>
          <w:szCs w:val="22"/>
        </w:rPr>
        <w:t xml:space="preserve">Environmental sensors: Temperature/humidity (DHT22 or equivalent), dew point, CO2/VOC for air quality</w:t>
      </w:r>
    </w:p>
    <w:p>
      <w:pPr>
        <w:pStyle w:val="ListParagraph"/>
        <w:numPr>
          <w:ilvl w:val="0"/>
          <w:numId w:val="2"/>
        </w:numPr>
        <w:spacing w:before="40" w:after="40"/>
      </w:pPr>
      <w:r>
        <w:rPr>
          <w:rFonts w:ascii="Arial" w:cs="Arial" w:eastAsia="Arial" w:hAnsi="Arial"/>
          <w:color w:val="374151"/>
          <w:sz w:val="22"/>
          <w:szCs w:val="22"/>
        </w:rPr>
        <w:t xml:space="preserve">Utility sensors: CT clamps on electrical panels (kWh), BTU meters on chilled/hot water circuits</w:t>
      </w:r>
    </w:p>
    <w:p>
      <w:pPr>
        <w:pStyle w:val="ListParagraph"/>
        <w:numPr>
          <w:ilvl w:val="0"/>
          <w:numId w:val="2"/>
        </w:numPr>
        <w:spacing w:before="40" w:after="40"/>
      </w:pPr>
      <w:r>
        <w:rPr>
          <w:rFonts w:ascii="Arial" w:cs="Arial" w:eastAsia="Arial" w:hAnsi="Arial"/>
          <w:color w:val="374151"/>
          <w:sz w:val="22"/>
          <w:szCs w:val="22"/>
        </w:rPr>
        <w:t xml:space="preserve">Occupancy sensors: PIR motion sensors or BACnet integration with building access control systems</w:t>
      </w:r>
    </w:p>
    <w:p>
      <w:pPr>
        <w:pStyle w:val="ListParagraph"/>
        <w:numPr>
          <w:ilvl w:val="0"/>
          <w:numId w:val="2"/>
        </w:numPr>
        <w:spacing w:before="40" w:after="40"/>
      </w:pPr>
      <w:r>
        <w:rPr>
          <w:rFonts w:ascii="Arial" w:cs="Arial" w:eastAsia="Arial" w:hAnsi="Arial"/>
          <w:color w:val="374151"/>
          <w:sz w:val="22"/>
          <w:szCs w:val="22"/>
        </w:rPr>
        <w:t xml:space="preserve">Weather station: Roof-mounted for localised air temperature, wind speed, and precipitation</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Each sensor's output maps to the same normalised [0, 1] input contract that the DataPreprocessor currently consumes from ASHRAE-derived values. The engineer responsible for sensor calibration will certify the mapping function — specifically, the thresholds used to normalise raw physical readings (e.g., strain in microstrain, temperature in degrees Celsius) into the normalised scale. These certified mappings replace the ASHRAE statistical profiles and constitute the parameter certification layer required for regulatory traceability.</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Backward Compatibility Design</w:t>
      </w:r>
    </w:p>
    <w:p>
      <w:pPr>
        <w:spacing w:before="80" w:after="80" w:line="280"/>
        <w:jc w:val="left"/>
      </w:pPr>
      <w:r>
        <w:rPr>
          <w:rFonts w:ascii="Arial" w:cs="Arial" w:eastAsia="Arial" w:hAnsi="Arial"/>
          <w:b w:val="false"/>
          <w:bCs w:val="false"/>
          <w:i w:val="false"/>
          <w:iCs w:val="false"/>
          <w:color w:val="374151"/>
          <w:sz w:val="22"/>
          <w:szCs w:val="22"/>
        </w:rPr>
        <w:t xml:space="preserve">The codebase was deliberately architected so that ASHRAE data is isolated in a single class (ASHRAESensorEngine) and a single data dictionary (ASHRAE_BUILDINGS). All downstream classes receive the same seven-value sensor dictionary regardless of data source. Replacing the sensor source requires changing one class and one configuration dictionary — nothing else in the patent-protected pipeline needs to change.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 Current (demo):</w:t>
            </w:r>
          </w:p>
          <w:p>
            <w:pPr>
              <w:spacing w:before="20" w:after="20"/>
            </w:pPr>
            <w:r>
              <w:rPr>
                <w:rFonts w:ascii="Courier New" w:cs="Courier New" w:eastAsia="Courier New" w:hAnsi="Courier New"/>
                <w:color w:val="94D4B8"/>
                <w:sz w:val="18"/>
                <w:szCs w:val="18"/>
              </w:rPr>
              <w:t xml:space="preserve">self.sensor_engine = ASHRAESensorEngine(building_key)</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 Stage 1 (Phyphox):</w:t>
            </w:r>
          </w:p>
          <w:p>
            <w:pPr>
              <w:spacing w:before="20" w:after="20"/>
            </w:pPr>
            <w:r>
              <w:rPr>
                <w:rFonts w:ascii="Courier New" w:cs="Courier New" w:eastAsia="Courier New" w:hAnsi="Courier New"/>
                <w:color w:val="94D4B8"/>
                <w:sz w:val="18"/>
                <w:szCs w:val="18"/>
              </w:rPr>
              <w:t xml:space="preserve">self.sensor_engine = PhyphoxSensorBridge(device_ip, building_key)</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 Stage 2 (IoT hardware):</w:t>
            </w:r>
          </w:p>
          <w:p>
            <w:pPr>
              <w:spacing w:before="20" w:after="20"/>
            </w:pPr>
            <w:r>
              <w:rPr>
                <w:rFonts w:ascii="Courier New" w:cs="Courier New" w:eastAsia="Courier New" w:hAnsi="Courier New"/>
                <w:color w:val="94D4B8"/>
                <w:sz w:val="18"/>
                <w:szCs w:val="18"/>
              </w:rPr>
              <w:t xml:space="preserve">self.sensor_engine = CertifiedIoTSensorNetwork(building_key, config)</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 All three return the same dict structure:</w:t>
            </w:r>
          </w:p>
          <w:p>
            <w:pPr>
              <w:spacing w:before="20" w:after="20"/>
            </w:pPr>
            <w:r>
              <w:rPr>
                <w:rFonts w:ascii="Courier New" w:cs="Courier New" w:eastAsia="Courier New" w:hAnsi="Courier New"/>
                <w:color w:val="94D4B8"/>
                <w:sz w:val="18"/>
                <w:szCs w:val="18"/>
              </w:rPr>
              <w:t xml:space="preserve"># { vibration, strain, moisture, temperature, occupancy,</w:t>
            </w:r>
          </w:p>
          <w:p>
            <w:pPr>
              <w:spacing w:before="20" w:after="20"/>
            </w:pPr>
            <w:r>
              <w:rPr>
                <w:rFonts w:ascii="Courier New" w:cs="Courier New" w:eastAsia="Courier New" w:hAnsi="Courier New"/>
                <w:color w:val="94D4B8"/>
                <w:sz w:val="18"/>
                <w:szCs w:val="18"/>
              </w:rPr>
              <w:t xml:space="preserve">#   electrical_load, air_quality }  -- all values in [0, 1]</w:t>
            </w:r>
          </w:p>
        </w:tc>
      </w:tr>
    </w:tbl>
    <w:p>
      <w:pPr>
        <w:spacing w:before="100" w:after="0"/>
      </w:pPr>
      <w:r>
        <w:t xml:space="preserve"/>
      </w:r>
    </w:p>
    <w:p>
      <w:pPr>
        <w:spacing w:before="0"/>
      </w:pPr>
      <w:r>
        <w:br w:type="page"/>
      </w:r>
    </w:p>
    <w:p>
      <w:pPr>
        <w:pStyle w:val="Heading1"/>
        <w:spacing w:before="400" w:after="160"/>
      </w:pPr>
      <w:r>
        <w:rPr>
          <w:rFonts w:ascii="Arial" w:cs="Arial" w:eastAsia="Arial" w:hAnsi="Arial"/>
          <w:b/>
          <w:bCs/>
          <w:color w:val="0D2137"/>
          <w:sz w:val="40"/>
          <w:szCs w:val="40"/>
        </w:rPr>
        <w:t xml:space="preserve">4. Core Classes — Detailed Reference</w:t>
      </w:r>
    </w:p>
    <w:p>
      <w:pPr>
        <w:pStyle w:val="Heading2"/>
        <w:pBdr>
          <w:bottom w:val="single" w:color="0E6DC2" w:sz="10" w:space="4"/>
        </w:pBdr>
        <w:spacing w:before="320" w:after="100"/>
      </w:pPr>
      <w:r>
        <w:rPr>
          <w:rFonts w:ascii="Arial" w:cs="Arial" w:eastAsia="Arial" w:hAnsi="Arial"/>
          <w:b/>
          <w:bCs/>
          <w:color w:val="0D2137"/>
          <w:sz w:val="28"/>
          <w:szCs w:val="28"/>
        </w:rPr>
        <w:t xml:space="preserve">4.1  ASHRAESensorEngine  (Patent Element B / B1)</w:t>
      </w:r>
    </w:p>
    <w:p>
      <w:pPr>
        <w:spacing w:before="80" w:after="80" w:line="280"/>
        <w:jc w:val="left"/>
      </w:pPr>
      <w:r>
        <w:rPr>
          <w:rFonts w:ascii="Arial" w:cs="Arial" w:eastAsia="Arial" w:hAnsi="Arial"/>
          <w:b w:val="false"/>
          <w:bCs w:val="false"/>
          <w:i w:val="false"/>
          <w:iCs w:val="false"/>
          <w:color w:val="374151"/>
          <w:sz w:val="22"/>
          <w:szCs w:val="22"/>
        </w:rPr>
        <w:t xml:space="preserve">Element B requires a multi-modal IoT sensor network providing readings across structural, environmental, and utility dimensions. ASHRAESensorEngine fulfils this requirement by generating statistically faithful readings for seven distinct sensor types derived from ASHRAE meter profiles and weather data.</w:t>
      </w:r>
    </w:p>
    <w:p>
      <w:pPr>
        <w:spacing w:before="80" w:after="0"/>
      </w:pPr>
      <w:r>
        <w:t xml:space="preserve"/>
      </w:r>
    </w:p>
    <w:p>
      <w:pPr>
        <w:pStyle w:val="Heading3"/>
        <w:spacing w:before="240" w:after="80"/>
      </w:pPr>
      <w:r>
        <w:rPr>
          <w:rFonts w:ascii="Arial" w:cs="Arial" w:eastAsia="Arial" w:hAnsi="Arial"/>
          <w:b/>
          <w:bCs/>
          <w:color w:val="0E6DC2"/>
          <w:sz w:val="24"/>
          <w:szCs w:val="24"/>
        </w:rPr>
        <w:t xml:space="preserve">Sensor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Sensor Channel</w:t>
            </w:r>
          </w:p>
        </w:tc>
        <w:tc>
          <w:tcPr>
            <w:tcW w:type="dxa" w:w="38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Derivation Method</w:t>
            </w:r>
          </w:p>
        </w:tc>
        <w:tc>
          <w:tcPr>
            <w:tcW w:type="dxa" w:w="316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Physical Analogue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vibration</w:t>
            </w:r>
          </w:p>
        </w:tc>
        <w:tc>
          <w:tcPr>
            <w:tcW w:type="dxa" w:w="3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HVAC electrical load × 0.15 + wind-driven structural base</w:t>
            </w:r>
          </w:p>
        </w:tc>
        <w:tc>
          <w:tcPr>
            <w:tcW w:type="dxa" w:w="3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MEMS accelerometer on structural member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strain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Thermal expansion (temperature) + occupancy floor loading</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Strain gauge on load-bearing element</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moisture</w:t>
            </w:r>
          </w:p>
        </w:tc>
        <w:tc>
          <w:tcPr>
            <w:tcW w:type="dxa" w:w="3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0.5 × humidity + 0.3 × dew proximity + 0.2 × precipitation</w:t>
            </w:r>
          </w:p>
        </w:tc>
        <w:tc>
          <w:tcPr>
            <w:tcW w:type="dxa" w:w="3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Capacitive humidity/dew sensor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temperature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Deviation of air temperature from 22°C comfort baseline, normalised by ÷ 20</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Thermistor or PT100 probe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occupancy</w:t>
            </w:r>
          </w:p>
        </w:tc>
        <w:tc>
          <w:tcPr>
            <w:tcW w:type="dxa" w:w="3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Gaussian centred on electricity peak hour × weekend reduction factor</w:t>
            </w:r>
          </w:p>
        </w:tc>
        <w:tc>
          <w:tcPr>
            <w:tcW w:type="dxa" w:w="3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PIR motion sensor / access control count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electrical_load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Electricity kWh reading ÷ (mean × 2.5 building capacity)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CT clamp on main electrical panel</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air_quality</w:t>
            </w:r>
          </w:p>
        </w:tc>
        <w:tc>
          <w:tcPr>
            <w:tcW w:type="dxa" w:w="3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1 − (occupancy × 0.4) × HVAC efficiency; inverted so higher = worse</w:t>
            </w:r>
          </w:p>
        </w:tc>
        <w:tc>
          <w:tcPr>
            <w:tcW w:type="dxa" w:w="3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CO2 / VOC electrochemical sensor</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Each reading is bounded to [0, 1] using np.clip. The output dictionary is deterministic for a given hour index and building seed, allowing reproducibility in testing while maintaining realistic statistical variation across cycles. Scenario overrides allow direct injection of extreme values for any sensor channel to simulate failure events.</w:t>
      </w:r>
    </w:p>
    <w:p>
      <w:pPr>
        <w:spacing w:before="100" w:after="0"/>
      </w:pPr>
      <w:r>
        <w:t xml:space="preserve"/>
      </w:r>
    </w:p>
    <w:p>
      <w:pPr>
        <w:pStyle w:val="Heading2"/>
        <w:pBdr>
          <w:bottom w:val="single" w:color="0E6DC2" w:sz="10" w:space="4"/>
        </w:pBdr>
        <w:spacing w:before="320" w:after="100"/>
      </w:pPr>
      <w:r>
        <w:rPr>
          <w:rFonts w:ascii="Arial" w:cs="Arial" w:eastAsia="Arial" w:hAnsi="Arial"/>
          <w:b/>
          <w:bCs/>
          <w:color w:val="0D2137"/>
          <w:sz w:val="28"/>
          <w:szCs w:val="28"/>
        </w:rPr>
        <w:t xml:space="preserve">4.2  DataPreprocessor  (Patent Element C / C1)</w:t>
      </w:r>
    </w:p>
    <w:p>
      <w:pPr>
        <w:spacing w:before="80" w:after="80" w:line="280"/>
        <w:jc w:val="left"/>
      </w:pPr>
      <w:r>
        <w:rPr>
          <w:rFonts w:ascii="Arial" w:cs="Arial" w:eastAsia="Arial" w:hAnsi="Arial"/>
          <w:b w:val="false"/>
          <w:bCs w:val="false"/>
          <w:i w:val="false"/>
          <w:iCs w:val="false"/>
          <w:color w:val="374151"/>
          <w:sz w:val="22"/>
          <w:szCs w:val="22"/>
        </w:rPr>
        <w:t xml:space="preserve">Raw sensor readings from IoT hardware are inherently noisy. Element C requires a preprocessing stage that denoises, normalises, and aligns multi-sensor readings before they are passed to the digital twin model or indicator computation.</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DataPreprocessor implements two operations per sensor channel per cycle:</w:t>
      </w:r>
    </w:p>
    <w:p>
      <w:pPr>
        <w:spacing w:before="60" w:after="0"/>
      </w:pPr>
      <w:r>
        <w:t xml:space="preserve"/>
      </w:r>
    </w:p>
    <w:p>
      <w:pPr>
        <w:pStyle w:val="ListParagraph"/>
        <w:numPr>
          <w:ilvl w:val="0"/>
          <w:numId w:val="2"/>
        </w:numPr>
        <w:spacing w:before="40" w:after="40"/>
      </w:pPr>
      <w:r>
        <w:rPr>
          <w:rFonts w:ascii="Arial" w:cs="Arial" w:eastAsia="Arial" w:hAnsi="Arial"/>
          <w:b/>
          <w:bCs/>
          <w:color w:val="0E6DC2"/>
          <w:sz w:val="22"/>
          <w:szCs w:val="22"/>
        </w:rPr>
        <w:t xml:space="preserve">Step 1.  </w:t>
      </w:r>
      <w:r>
        <w:rPr>
          <w:rFonts w:ascii="Arial" w:cs="Arial" w:eastAsia="Arial" w:hAnsi="Arial"/>
          <w:color w:val="374151"/>
          <w:sz w:val="22"/>
          <w:szCs w:val="22"/>
        </w:rPr>
        <w:t xml:space="preserve">Savitzky-Golay Denoising: A least-squares polynomial smoothing filter applied to a rolling window of the most recent 12 readings. The filter uses a window length of 5 (or the available history length if shorter) with polynomial order 2. Savitzky-Golay was chosen over a simple moving average because it preserves peaks and discontinuities in the signal — critical for detecting sudden structural events — while smoothing out high-frequency measurement noise.</w:t>
      </w:r>
    </w:p>
    <w:p>
      <w:pPr>
        <w:pStyle w:val="ListParagraph"/>
        <w:numPr>
          <w:ilvl w:val="0"/>
          <w:numId w:val="2"/>
        </w:numPr>
        <w:spacing w:before="40" w:after="40"/>
      </w:pPr>
      <w:r>
        <w:rPr>
          <w:rFonts w:ascii="Arial" w:cs="Arial" w:eastAsia="Arial" w:hAnsi="Arial"/>
          <w:b/>
          <w:bCs/>
          <w:color w:val="0E6DC2"/>
          <w:sz w:val="22"/>
          <w:szCs w:val="22"/>
        </w:rPr>
        <w:t xml:space="preserve">Step 2.  </w:t>
      </w:r>
      <w:r>
        <w:rPr>
          <w:rFonts w:ascii="Arial" w:cs="Arial" w:eastAsia="Arial" w:hAnsi="Arial"/>
          <w:color w:val="374151"/>
          <w:sz w:val="22"/>
          <w:szCs w:val="22"/>
        </w:rPr>
        <w:t xml:space="preserve">Clipping to [0, 1]: The denoised output is clipped to the normalised range. Because ASHRAE-derived values are already normalised, this primarily protects against numerical edge cases at the extremes.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 Savitzky-Golay with adaptive window:</w:t>
            </w:r>
          </w:p>
          <w:p>
            <w:pPr>
              <w:spacing w:before="20" w:after="20"/>
            </w:pPr>
            <w:r>
              <w:rPr>
                <w:rFonts w:ascii="Courier New" w:cs="Courier New" w:eastAsia="Courier New" w:hAnsi="Courier New"/>
                <w:color w:val="94D4B8"/>
                <w:sz w:val="18"/>
                <w:szCs w:val="18"/>
              </w:rPr>
              <w:t xml:space="preserve">if len(buffer) &gt;= 5:</w:t>
            </w:r>
          </w:p>
          <w:p>
            <w:pPr>
              <w:spacing w:before="20" w:after="20"/>
            </w:pPr>
            <w:r>
              <w:rPr>
                <w:rFonts w:ascii="Courier New" w:cs="Courier New" w:eastAsia="Courier New" w:hAnsi="Courier New"/>
                <w:color w:val="94D4B8"/>
                <w:sz w:val="18"/>
                <w:szCs w:val="18"/>
              </w:rPr>
              <w:t xml:space="preserve">    window = min(5, len(buffer))          # max window = 5</w:t>
            </w:r>
          </w:p>
          <w:p>
            <w:pPr>
              <w:spacing w:before="20" w:after="20"/>
            </w:pPr>
            <w:r>
              <w:rPr>
                <w:rFonts w:ascii="Courier New" w:cs="Courier New" w:eastAsia="Courier New" w:hAnsi="Courier New"/>
                <w:color w:val="94D4B8"/>
                <w:sz w:val="18"/>
                <w:szCs w:val="18"/>
              </w:rPr>
              <w:t xml:space="preserve">    if window % 2 == 0: window -= 1       # must be odd</w:t>
            </w:r>
          </w:p>
          <w:p>
            <w:pPr>
              <w:spacing w:before="20" w:after="20"/>
            </w:pPr>
            <w:r>
              <w:rPr>
                <w:rFonts w:ascii="Courier New" w:cs="Courier New" w:eastAsia="Courier New" w:hAnsi="Courier New"/>
                <w:color w:val="94D4B8"/>
                <w:sz w:val="18"/>
                <w:szCs w:val="18"/>
              </w:rPr>
              <w:t xml:space="preserve">    smoothed = savgol_filter(buffer, window, poly_order=2)</w:t>
            </w:r>
          </w:p>
          <w:p>
            <w:pPr>
              <w:spacing w:before="20" w:after="20"/>
            </w:pPr>
            <w:r>
              <w:rPr>
                <w:rFonts w:ascii="Courier New" w:cs="Courier New" w:eastAsia="Courier New" w:hAnsi="Courier New"/>
                <w:color w:val="94D4B8"/>
                <w:sz w:val="18"/>
                <w:szCs w:val="18"/>
              </w:rPr>
              <w:t xml:space="preserve">    denoised = smoothed[-1]               # most recent smoothed value</w:t>
            </w:r>
          </w:p>
          <w:p>
            <w:pPr>
              <w:spacing w:before="20" w:after="20"/>
            </w:pPr>
            <w:r>
              <w:rPr>
                <w:rFonts w:ascii="Courier New" w:cs="Courier New" w:eastAsia="Courier New" w:hAnsi="Courier New"/>
                <w:color w:val="94D4B8"/>
                <w:sz w:val="18"/>
                <w:szCs w:val="18"/>
              </w:rPr>
              <w:t xml:space="preserve">else:</w:t>
            </w:r>
          </w:p>
          <w:p>
            <w:pPr>
              <w:spacing w:before="20" w:after="20"/>
            </w:pPr>
            <w:r>
              <w:rPr>
                <w:rFonts w:ascii="Courier New" w:cs="Courier New" w:eastAsia="Courier New" w:hAnsi="Courier New"/>
                <w:color w:val="94D4B8"/>
                <w:sz w:val="18"/>
                <w:szCs w:val="18"/>
              </w:rPr>
              <w:t xml:space="preserve">    denoised = raw_value                  # insufficient history, pass through</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return float(np.clip(denoised, 0, 1))</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preprocessor maintains an independent rolling buffer for each sensor channel, meaning the denoising of vibration does not interfere with the denoising of moisture or occupancy. This per-channel independence is important for the CI calculation, which uses the variance of each channel's buffer to assess data reliability.</w:t>
      </w:r>
    </w:p>
    <w:p>
      <w:pPr>
        <w:spacing w:before="100" w:after="0"/>
      </w:pPr>
      <w:r>
        <w:t xml:space="preserve"/>
      </w:r>
    </w:p>
    <w:p>
      <w:pPr>
        <w:pStyle w:val="Heading2"/>
        <w:pBdr>
          <w:bottom w:val="single" w:color="0E6DC2" w:sz="10" w:space="4"/>
        </w:pBdr>
        <w:spacing w:before="320" w:after="100"/>
      </w:pPr>
      <w:r>
        <w:rPr>
          <w:rFonts w:ascii="Arial" w:cs="Arial" w:eastAsia="Arial" w:hAnsi="Arial"/>
          <w:b/>
          <w:bCs/>
          <w:color w:val="0D2137"/>
          <w:sz w:val="28"/>
          <w:szCs w:val="28"/>
        </w:rPr>
        <w:t xml:space="preserve">4.3  DigitalTwinModel  (Patent Element D / D1)</w:t>
      </w:r>
    </w:p>
    <w:p>
      <w:pPr>
        <w:spacing w:before="80" w:after="80" w:line="280"/>
        <w:jc w:val="left"/>
      </w:pPr>
      <w:r>
        <w:rPr>
          <w:rFonts w:ascii="Arial" w:cs="Arial" w:eastAsia="Arial" w:hAnsi="Arial"/>
          <w:b w:val="false"/>
          <w:bCs w:val="false"/>
          <w:i w:val="false"/>
          <w:iCs w:val="false"/>
          <w:color w:val="374151"/>
          <w:sz w:val="22"/>
          <w:szCs w:val="22"/>
        </w:rPr>
        <w:t xml:space="preserve">Element D requires a digital twin that continuously reflects the property's current physical state, historical behaviour, and environmental exposure. The DigitalTwinModel class maintains a live state dictionary that is updated on every processing cycle from the latest sensor readings and computed indicators.</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state object contains five dimensions: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0D2137"/>
                <w:sz w:val="20"/>
                <w:szCs w:val="20"/>
              </w:rPr>
              <w:t xml:space="preserve">structural_integrity</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Set to the current SHF value. Represents the structural health of the load-bearing system.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D2137"/>
                <w:sz w:val="20"/>
                <w:szCs w:val="20"/>
              </w:rPr>
              <w:t xml:space="preserve">environmental_condition</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Set to the current ESF value. Represents the quality of the thermal and air environment.</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0D2137"/>
                <w:sz w:val="20"/>
                <w:szCs w:val="20"/>
              </w:rPr>
              <w:t xml:space="preserve">usage_intensity</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Set to the current occupancy sensor reading. Represents demand load on the building.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D2137"/>
                <w:sz w:val="20"/>
                <w:szCs w:val="20"/>
              </w:rPr>
              <w:t xml:space="preserve">deterioration_level</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Set to 1 - PDP. Represents cumulative aging and long-term physical decline.</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0D2137"/>
                <w:sz w:val="20"/>
                <w:szCs w:val="20"/>
              </w:rPr>
              <w:t xml:space="preserve">overall_health</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Set to the computed health factor (SHF × ESF × USS × PDP × CI). Scalar summary.</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state history is maintained in a rolling deque of up to 500 records. This history is not yet exposed in the current demo UI but is available for trend analysis, predictive modelling, and the forward-looking deterioration forecasting described in the patent specification. The digital twin's property age — computed from the year_built field of the building's ASHRAE metadata — is passed to the PDP calculation to produce an age-adjusted deterioration penalty.</w:t>
      </w:r>
    </w:p>
    <w:p>
      <w:pPr>
        <w:spacing w:before="100" w:after="0"/>
      </w:pPr>
      <w:r>
        <w:t xml:space="preserve"/>
      </w:r>
    </w:p>
    <w:p>
      <w:pPr>
        <w:pStyle w:val="Heading2"/>
        <w:pBdr>
          <w:bottom w:val="single" w:color="0E6DC2" w:sz="10" w:space="4"/>
        </w:pBdr>
        <w:spacing w:before="320" w:after="100"/>
      </w:pPr>
      <w:r>
        <w:rPr>
          <w:rFonts w:ascii="Arial" w:cs="Arial" w:eastAsia="Arial" w:hAnsi="Arial"/>
          <w:b/>
          <w:bCs/>
          <w:color w:val="0D2137"/>
          <w:sz w:val="28"/>
          <w:szCs w:val="28"/>
        </w:rPr>
        <w:t xml:space="preserve">4.4  TechnicalIndicatorsEngine  (Patent Element E / E1)</w:t>
      </w:r>
    </w:p>
    <w:p>
      <w:pPr>
        <w:spacing w:before="80" w:after="80" w:line="280"/>
        <w:jc w:val="left"/>
      </w:pPr>
      <w:r>
        <w:rPr>
          <w:rFonts w:ascii="Arial" w:cs="Arial" w:eastAsia="Arial" w:hAnsi="Arial"/>
          <w:b w:val="false"/>
          <w:bCs w:val="false"/>
          <w:i w:val="false"/>
          <w:iCs w:val="false"/>
          <w:color w:val="374151"/>
          <w:sz w:val="22"/>
          <w:szCs w:val="22"/>
        </w:rPr>
        <w:t xml:space="preserve">This is the mathematical core of the valuation system. Element E requires five technical indicators, each computed from preprocessed sensor data using a distinct mathematical model. All five output values in [0, 1] where 1 represents optimal condition and 0 represents complete failure or maximum stress.</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All weights, exponents, thresholds, and model parameters are stored as configurable instance variables rather than hardcoded constants. This design choice was made at the explicit request of patent counsel to support broad claim language: the patent protects the logic and formula structure, not any particular set of numerical constants.</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Indicator 1: Structural Health Factor (SHF)</w:t>
      </w:r>
    </w:p>
    <w:p>
      <w:pPr>
        <w:spacing w:before="80" w:after="80" w:line="280"/>
        <w:jc w:val="left"/>
      </w:pPr>
      <w:r>
        <w:rPr>
          <w:rFonts w:ascii="Arial" w:cs="Arial" w:eastAsia="Arial" w:hAnsi="Arial"/>
          <w:b w:val="false"/>
          <w:bCs w:val="false"/>
          <w:i w:val="false"/>
          <w:iCs w:val="false"/>
          <w:color w:val="374151"/>
          <w:sz w:val="22"/>
          <w:szCs w:val="22"/>
        </w:rPr>
        <w:t xml:space="preserve">SHF measures the physical integrity of the load-bearing system. It is computed from vibration and strain sensor inputs using a quadratic penalty model: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s = shf_vib_weight x vibration + shf_strain_weight x strain</w:t>
            </w:r>
          </w:p>
          <w:p>
            <w:pPr>
              <w:spacing w:before="20" w:after="20"/>
            </w:pPr>
            <w:r>
              <w:rPr>
                <w:rFonts w:ascii="Courier New" w:cs="Courier New" w:eastAsia="Courier New" w:hAnsi="Courier New"/>
                <w:color w:val="94D4B8"/>
                <w:sz w:val="18"/>
                <w:szCs w:val="18"/>
              </w:rPr>
              <w:t xml:space="preserve">  = 0.6 x vibration + 0.4 x strain</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SHF = 1 - s^shf_exponent</w:t>
            </w:r>
          </w:p>
          <w:p>
            <w:pPr>
              <w:spacing w:before="20" w:after="20"/>
            </w:pPr>
            <w:r>
              <w:rPr>
                <w:rFonts w:ascii="Courier New" w:cs="Courier New" w:eastAsia="Courier New" w:hAnsi="Courier New"/>
                <w:color w:val="94D4B8"/>
                <w:sz w:val="18"/>
                <w:szCs w:val="18"/>
              </w:rPr>
              <w:t xml:space="preserve">    = 1 - s^2.0</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Output range: [0, 1]   where 1 = fully healthy structure</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quadratic exponent means that small structural events produce a proportionally small penalty, while large events (e.g., earthquake-induced strain or excessive vibration) produce a rapidly escalating penalty. This is consistent with structural engineering practice where damage is non-linear and condition degrades steeply beyond a threshold.</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Indicator 2: Environmental Stability Factor (ESF)</w:t>
      </w:r>
    </w:p>
    <w:p>
      <w:pPr>
        <w:spacing w:before="80" w:after="80" w:line="280"/>
        <w:jc w:val="left"/>
      </w:pPr>
      <w:r>
        <w:rPr>
          <w:rFonts w:ascii="Arial" w:cs="Arial" w:eastAsia="Arial" w:hAnsi="Arial"/>
          <w:b w:val="false"/>
          <w:bCs w:val="false"/>
          <w:i w:val="false"/>
          <w:iCs w:val="false"/>
          <w:color w:val="374151"/>
          <w:sz w:val="22"/>
          <w:szCs w:val="22"/>
        </w:rPr>
        <w:t xml:space="preserve">ESF measures the quality of the thermal and air environment. It uses a piecewise linear model with two configurable thresholds: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e = 0.4 x moisture + 0.3 x temperature + 0.3 x air_quality</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if   e &lt; tau1  (=0.3):  ESF = 1.0                        # acceptable zone</w:t>
            </w:r>
          </w:p>
          <w:p>
            <w:pPr>
              <w:spacing w:before="20" w:after="20"/>
            </w:pPr>
            <w:r>
              <w:rPr>
                <w:rFonts w:ascii="Courier New" w:cs="Courier New" w:eastAsia="Courier New" w:hAnsi="Courier New"/>
                <w:color w:val="94D4B8"/>
                <w:sz w:val="18"/>
                <w:szCs w:val="18"/>
              </w:rPr>
              <w:t xml:space="preserve">elif e &lt;= tau2 (=0.7):  ESF = 1.0 - frac x (1 - epsilon)  # degrading zone</w:t>
            </w:r>
          </w:p>
          <w:p>
            <w:pPr>
              <w:spacing w:before="20" w:after="20"/>
            </w:pPr>
            <w:r>
              <w:rPr>
                <w:rFonts w:ascii="Courier New" w:cs="Courier New" w:eastAsia="Courier New" w:hAnsi="Courier New"/>
                <w:color w:val="94D4B8"/>
                <w:sz w:val="18"/>
                <w:szCs w:val="18"/>
              </w:rPr>
              <w:t xml:space="preserve">else                    ESF = epsilon x 0.8               # critical zone</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where: frac = (e - tau1) / (tau2 - tau1)</w:t>
            </w:r>
          </w:p>
          <w:p>
            <w:pPr>
              <w:spacing w:before="20" w:after="20"/>
            </w:pPr>
            <w:r>
              <w:rPr>
                <w:rFonts w:ascii="Courier New" w:cs="Courier New" w:eastAsia="Courier New" w:hAnsi="Courier New"/>
                <w:color w:val="94D4B8"/>
                <w:sz w:val="18"/>
                <w:szCs w:val="18"/>
              </w:rPr>
              <w:t xml:space="preserve">       epsilon = 0.6  (minimum ESF in critical zone)</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piecewise structure reflects ASHRAE's zone-based approach to indoor environmental quality: conditions within acceptable ranges do not penalise the asset, conditions in the degrading zone produce a proportional penalty, and conditions in the critical zone impose a hard floor representing the minimum marketable condition.</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Indicator 3: Utility Systems Score (USS)</w:t>
      </w:r>
    </w:p>
    <w:p>
      <w:pPr>
        <w:spacing w:before="80" w:after="80" w:line="280"/>
        <w:jc w:val="left"/>
      </w:pPr>
      <w:r>
        <w:rPr>
          <w:rFonts w:ascii="Arial" w:cs="Arial" w:eastAsia="Arial" w:hAnsi="Arial"/>
          <w:b w:val="false"/>
          <w:bCs w:val="false"/>
          <w:i w:val="false"/>
          <w:iCs w:val="false"/>
          <w:color w:val="374151"/>
          <w:sz w:val="22"/>
          <w:szCs w:val="22"/>
        </w:rPr>
        <w:t xml:space="preserve">USS measures the wear and stress imposed by occupancy and electrical demand on building systems. It uses a power-law model that penalises high utilisation: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u = 0.5 x occupancy + 0.5 x electrical_load</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USS = 1 - u^gamma</w:t>
            </w:r>
          </w:p>
          <w:p>
            <w:pPr>
              <w:spacing w:before="20" w:after="20"/>
            </w:pPr>
            <w:r>
              <w:rPr>
                <w:rFonts w:ascii="Courier New" w:cs="Courier New" w:eastAsia="Courier New" w:hAnsi="Courier New"/>
                <w:color w:val="94D4B8"/>
                <w:sz w:val="18"/>
                <w:szCs w:val="18"/>
              </w:rPr>
              <w:t xml:space="preserve">    = 1 - u^2.0</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Output range: [0, 1]   where 1 = zero utilisation (fully rested systems)</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Note that USS does not penalise utilisation in absolute terms — a fully occupied building with a high electrical load is generating income. USS captures the wear cost of that utilisation, which is then incorporated into the health factor that modulates valuation. High income does not justify ignoring physical wear; the RTPMV formula accounts for both simultaneously.</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Indicator 4: Predictive Deterioration Penalty (PDP)</w:t>
      </w:r>
    </w:p>
    <w:p>
      <w:pPr>
        <w:spacing w:before="80" w:after="80" w:line="280"/>
        <w:jc w:val="left"/>
      </w:pPr>
      <w:r>
        <w:rPr>
          <w:rFonts w:ascii="Arial" w:cs="Arial" w:eastAsia="Arial" w:hAnsi="Arial"/>
          <w:b w:val="false"/>
          <w:bCs w:val="false"/>
          <w:i w:val="false"/>
          <w:iCs w:val="false"/>
          <w:color w:val="374151"/>
          <w:sz w:val="22"/>
          <w:szCs w:val="22"/>
        </w:rPr>
        <w:t xml:space="preserve">PDP models the long-term physical aging of the structure as a function of property age. It uses a logistic sigmoid function, which starts high (minimal penalty for young buildings), then declines steeply as the building approaches a mid-life threshold, then levels off (even very old buildings retain some irreducible value):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p = property_age_years / max_useful_life</w:t>
            </w:r>
          </w:p>
          <w:p>
            <w:pPr>
              <w:spacing w:before="20" w:after="20"/>
            </w:pPr>
            <w:r>
              <w:rPr>
                <w:rFonts w:ascii="Courier New" w:cs="Courier New" w:eastAsia="Courier New" w:hAnsi="Courier New"/>
                <w:color w:val="94D4B8"/>
                <w:sz w:val="18"/>
                <w:szCs w:val="18"/>
              </w:rPr>
              <w:t xml:space="preserve">  = property_age_years / 120</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PDP = 1 / (1 + exp( alpha x (p - theta) ))</w:t>
            </w:r>
          </w:p>
          <w:p>
            <w:pPr>
              <w:spacing w:before="20" w:after="20"/>
            </w:pPr>
            <w:r>
              <w:rPr>
                <w:rFonts w:ascii="Courier New" w:cs="Courier New" w:eastAsia="Courier New" w:hAnsi="Courier New"/>
                <w:color w:val="94D4B8"/>
                <w:sz w:val="18"/>
                <w:szCs w:val="18"/>
              </w:rPr>
              <w:t xml:space="preserve">    = 1 / (1 + exp( 8.0 x (p - 0.6) ))</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Sigmoid midpoint at p = theta = 0.6  (i.e., 72 years for 120-year useful life)</w:t>
            </w:r>
          </w:p>
          <w:p>
            <w:pPr>
              <w:spacing w:before="20" w:after="20"/>
            </w:pPr>
            <w:r>
              <w:rPr>
                <w:rFonts w:ascii="Courier New" w:cs="Courier New" w:eastAsia="Courier New" w:hAnsi="Courier New"/>
                <w:color w:val="94D4B8"/>
                <w:sz w:val="18"/>
                <w:szCs w:val="18"/>
              </w:rPr>
              <w:t xml:space="preserve">Output: 1.0 for new building, approaching 0.0 for very old structure</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sigmoid shape was chosen because it matches the observed pattern of building value depreciation: negligible penalty in the first decades, accelerating deterioration around mid-life, and a diminishing marginal penalty for very aged structures. The parameters alpha (steepness) and theta (midpoint) and max_useful_life are all configurable for different building types and construction standards.</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Indicator 5: Confidence Index (CI)</w:t>
      </w:r>
    </w:p>
    <w:p>
      <w:pPr>
        <w:spacing w:before="80" w:after="80" w:line="280"/>
        <w:jc w:val="left"/>
      </w:pPr>
      <w:r>
        <w:rPr>
          <w:rFonts w:ascii="Arial" w:cs="Arial" w:eastAsia="Arial" w:hAnsi="Arial"/>
          <w:b w:val="false"/>
          <w:bCs w:val="false"/>
          <w:i w:val="false"/>
          <w:iCs w:val="false"/>
          <w:color w:val="374151"/>
          <w:sz w:val="22"/>
          <w:szCs w:val="22"/>
        </w:rPr>
        <w:t xml:space="preserve">CI is unique among the five indicators in that it does not measure a physical property of the building. Instead, it measures the reliability of the sensor data itself. A low CI means the sensor readings have been highly variable or inconsistent, which could indicate sensor malfunction, data transmission errors, or physical conditions so extreme that readings are unreliable: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sigma_avg = mean( std(vibration_history),</w:t>
            </w:r>
          </w:p>
          <w:p>
            <w:pPr>
              <w:spacing w:before="20" w:after="20"/>
            </w:pPr>
            <w:r>
              <w:rPr>
                <w:rFonts w:ascii="Courier New" w:cs="Courier New" w:eastAsia="Courier New" w:hAnsi="Courier New"/>
                <w:color w:val="94D4B8"/>
                <w:sz w:val="18"/>
                <w:szCs w:val="18"/>
              </w:rPr>
              <w:t xml:space="preserve">                  std(environment_history),</w:t>
            </w:r>
          </w:p>
          <w:p>
            <w:pPr>
              <w:spacing w:before="20" w:after="20"/>
            </w:pPr>
            <w:r>
              <w:rPr>
                <w:rFonts w:ascii="Courier New" w:cs="Courier New" w:eastAsia="Courier New" w:hAnsi="Courier New"/>
                <w:color w:val="94D4B8"/>
                <w:sz w:val="18"/>
                <w:szCs w:val="18"/>
              </w:rPr>
              <w:t xml:space="preserve">                  std(usage_history) )</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CI = exp( -lambda_c x sigma_avg )</w:t>
            </w:r>
          </w:p>
          <w:p>
            <w:pPr>
              <w:spacing w:before="20" w:after="20"/>
            </w:pPr>
            <w:r>
              <w:rPr>
                <w:rFonts w:ascii="Courier New" w:cs="Courier New" w:eastAsia="Courier New" w:hAnsi="Courier New"/>
                <w:color w:val="94D4B8"/>
                <w:sz w:val="18"/>
                <w:szCs w:val="18"/>
              </w:rPr>
              <w:t xml:space="preserve">   = exp( -5.0 x sigma_avg )</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CI = 1.0  when sensor variance = 0   (perfectly stable readings)</w:t>
            </w:r>
          </w:p>
          <w:p>
            <w:pPr>
              <w:spacing w:before="20" w:after="20"/>
            </w:pPr>
            <w:r>
              <w:rPr>
                <w:rFonts w:ascii="Courier New" w:cs="Courier New" w:eastAsia="Courier New" w:hAnsi="Courier New"/>
                <w:color w:val="94D4B8"/>
                <w:sz w:val="18"/>
                <w:szCs w:val="18"/>
              </w:rPr>
              <w:t xml:space="preserve">CI -&gt; 0   as sensor variance grows (unreliable data)</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Minimum history required: 5 readings per channel (returns 1.0 if insufficient)</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CI is the mechanism by which the exchange's market controls are triggered. When CI drops below 0.6, the listing status shifts to RESTRICTED. When CI drops below 0.4, trading is HALTED entirely. This direct link between data quality and market access is the novel contribution identified by IPflair as having no prior art in real estate exchange systems.</w:t>
      </w:r>
    </w:p>
    <w:p>
      <w:pPr>
        <w:spacing w:before="100" w:after="0"/>
      </w:pPr>
      <w:r>
        <w:t xml:space="preserve"/>
      </w:r>
    </w:p>
    <w:p>
      <w:pPr>
        <w:pStyle w:val="Heading2"/>
        <w:pBdr>
          <w:bottom w:val="single" w:color="0E6DC2" w:sz="10" w:space="4"/>
        </w:pBdr>
        <w:spacing w:before="320" w:after="100"/>
      </w:pPr>
      <w:r>
        <w:rPr>
          <w:rFonts w:ascii="Arial" w:cs="Arial" w:eastAsia="Arial" w:hAnsi="Arial"/>
          <w:b/>
          <w:bCs/>
          <w:color w:val="0D2137"/>
          <w:sz w:val="28"/>
          <w:szCs w:val="28"/>
        </w:rPr>
        <w:t xml:space="preserve">4.5  PropertyValuationEngine  (Patent Elements F, F1, F2, F2.1)</w:t>
      </w:r>
    </w:p>
    <w:p>
      <w:pPr>
        <w:spacing w:before="80" w:after="80" w:line="280"/>
        <w:jc w:val="left"/>
      </w:pPr>
      <w:r>
        <w:rPr>
          <w:rFonts w:ascii="Arial" w:cs="Arial" w:eastAsia="Arial" w:hAnsi="Arial"/>
          <w:b w:val="false"/>
          <w:bCs w:val="false"/>
          <w:i w:val="false"/>
          <w:iCs w:val="false"/>
          <w:color w:val="374151"/>
          <w:sz w:val="22"/>
          <w:szCs w:val="22"/>
        </w:rPr>
        <w:t xml:space="preserve">This class computes the Real-Time Property Market Value (RTPMV). It implements the central formula of the patent: a multiplicative multi-factor model that adjusts the structure's value by the product of all five technical indicators, then adds a non-depreciating land value component.</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The RTPMV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Health_Factor = SHF x ESF x USS x PDP x CI</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Structure_Value = Base_MV - Land_Value</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RTPMV = Land_Value + (Structure_Value x Health_Factor)</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where:</w:t>
            </w:r>
          </w:p>
          <w:p>
            <w:pPr>
              <w:spacing w:before="20" w:after="20"/>
            </w:pPr>
            <w:r>
              <w:rPr>
                <w:rFonts w:ascii="Courier New" w:cs="Courier New" w:eastAsia="Courier New" w:hAnsi="Courier New"/>
                <w:color w:val="94D4B8"/>
                <w:sz w:val="18"/>
                <w:szCs w:val="18"/>
              </w:rPr>
              <w:t xml:space="preserve">  Base_MV  = Government assessed valuation  (default)</w:t>
            </w:r>
          </w:p>
          <w:p>
            <w:pPr>
              <w:spacing w:before="20" w:after="20"/>
            </w:pPr>
            <w:r>
              <w:rPr>
                <w:rFonts w:ascii="Courier New" w:cs="Courier New" w:eastAsia="Courier New" w:hAnsi="Courier New"/>
                <w:color w:val="94D4B8"/>
                <w:sz w:val="18"/>
                <w:szCs w:val="18"/>
              </w:rPr>
              <w:t xml:space="preserve">           = Manual analyst override          (if applied)</w:t>
            </w:r>
          </w:p>
          <w:p>
            <w:pPr>
              <w:spacing w:before="20" w:after="20"/>
            </w:pPr>
            <w:r>
              <w:rPr>
                <w:rFonts w:ascii="Courier New" w:cs="Courier New" w:eastAsia="Courier New" w:hAnsi="Courier New"/>
                <w:color w:val="94D4B8"/>
                <w:sz w:val="18"/>
                <w:szCs w:val="18"/>
              </w:rPr>
              <w:t xml:space="preserve">  Land_Value  = Non-depreciating land component (location-based)</w:t>
            </w:r>
          </w:p>
          <w:p>
            <w:pPr>
              <w:spacing w:before="20" w:after="20"/>
            </w:pPr>
            <w:r>
              <w:rPr>
                <w:rFonts w:ascii="Courier New" w:cs="Courier New" w:eastAsia="Courier New" w:hAnsi="Courier New"/>
                <w:color w:val="94D4B8"/>
                <w:sz w:val="18"/>
                <w:szCs w:val="18"/>
              </w:rPr>
              <w:t xml:space="preserve">  Health_Factor in [0, 1]  — product of all five indicators</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land value separation is a deliberate architectural choice consistent with established real estate valuation practice. Land does not depreciate with building condition — a structurally compromised building on prime land retains the land value. By separating the two components, RTPMV correctly reflects the dual nature of real property value.</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manual override function (Element F2.1) replaces Base_MV with an analyst-provided value. Critically, the Health Factor continues to modulate the override in real time — an analyst cannot produce an artificially stable RTPMV by applying an override while sensor data indicates the building is deteriorating.</w:t>
      </w:r>
    </w:p>
    <w:p>
      <w:pPr>
        <w:spacing w:before="80" w:after="0"/>
      </w:pPr>
      <w:r>
        <w:t xml:space="preserve"/>
      </w:r>
    </w:p>
    <w:p>
      <w:pPr>
        <w:pStyle w:val="Heading3"/>
        <w:spacing w:before="240" w:after="80"/>
      </w:pPr>
      <w:r>
        <w:rPr>
          <w:rFonts w:ascii="Arial" w:cs="Arial" w:eastAsia="Arial" w:hAnsi="Arial"/>
          <w:b/>
          <w:bCs/>
          <w:color w:val="0E6DC2"/>
          <w:sz w:val="24"/>
          <w:szCs w:val="24"/>
        </w:rPr>
        <w:t xml:space="preserve">Example Computation (UCF-EDU-104)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0D2137"/>
                <w:sz w:val="20"/>
                <w:szCs w:val="20"/>
              </w:rPr>
              <w:t xml:space="preserve">Government Valuation</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$45,200,000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D2137"/>
                <w:sz w:val="20"/>
                <w:szCs w:val="20"/>
              </w:rPr>
              <w:t xml:space="preserve">Land Value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$12,500,000</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0D2137"/>
                <w:sz w:val="20"/>
                <w:szCs w:val="20"/>
              </w:rPr>
              <w:t xml:space="preserve">Structure Value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$32,700,000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D2137"/>
                <w:sz w:val="20"/>
                <w:szCs w:val="20"/>
              </w:rPr>
              <w:t xml:space="preserve">SHF (structural healthy)</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0.94</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0D2137"/>
                <w:sz w:val="20"/>
                <w:szCs w:val="20"/>
              </w:rPr>
              <w:t xml:space="preserve">ESF (good environment)</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0.89</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D2137"/>
                <w:sz w:val="20"/>
                <w:szCs w:val="20"/>
              </w:rPr>
              <w:t xml:space="preserve">USS (moderate utilisation)</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0.87</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0D2137"/>
                <w:sz w:val="20"/>
                <w:szCs w:val="20"/>
              </w:rPr>
              <w:t xml:space="preserve">PDP (built 1975, ~50 yrs)</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0.76</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D2137"/>
                <w:sz w:val="20"/>
                <w:szCs w:val="20"/>
              </w:rPr>
              <w:t xml:space="preserve">CI (stable sensor data)</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0.93</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0D2137"/>
                <w:sz w:val="20"/>
                <w:szCs w:val="20"/>
              </w:rPr>
              <w:t xml:space="preserve">Health Factor = product of above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0.94 x 0.89 x 0.87 x 0.76 x 0.93 = 0.512</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D2137"/>
                <w:sz w:val="20"/>
                <w:szCs w:val="20"/>
              </w:rPr>
              <w:t xml:space="preserve">RTPMV</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$12,500,000 + ($32,700,000 x 0.512) = $29,240,000</w:t>
            </w:r>
          </w:p>
        </w:tc>
      </w:tr>
    </w:tbl>
    <w:p>
      <w:pPr>
        <w:spacing w:before="100" w:after="0"/>
      </w:pPr>
      <w:r>
        <w:t xml:space="preserve"/>
      </w:r>
    </w:p>
    <w:p>
      <w:pPr>
        <w:pStyle w:val="Heading2"/>
        <w:pBdr>
          <w:bottom w:val="single" w:color="0E6DC2" w:sz="10" w:space="4"/>
        </w:pBdr>
        <w:spacing w:before="320" w:after="100"/>
      </w:pPr>
      <w:r>
        <w:rPr>
          <w:rFonts w:ascii="Arial" w:cs="Arial" w:eastAsia="Arial" w:hAnsi="Arial"/>
          <w:b/>
          <w:bCs/>
          <w:color w:val="0D2137"/>
          <w:sz w:val="28"/>
          <w:szCs w:val="28"/>
        </w:rPr>
        <w:t xml:space="preserve">4.6  HashChainVerification  (Patent Elements G, G1)</w:t>
      </w:r>
    </w:p>
    <w:p>
      <w:pPr>
        <w:spacing w:before="80" w:after="80" w:line="280"/>
        <w:jc w:val="left"/>
      </w:pPr>
      <w:r>
        <w:rPr>
          <w:rFonts w:ascii="Arial" w:cs="Arial" w:eastAsia="Arial" w:hAnsi="Arial"/>
          <w:b w:val="false"/>
          <w:bCs w:val="false"/>
          <w:i w:val="false"/>
          <w:iCs w:val="false"/>
          <w:color w:val="374151"/>
          <w:sz w:val="22"/>
          <w:szCs w:val="22"/>
        </w:rPr>
        <w:t xml:space="preserve">Every valuation cycle produces a cryptographically signed record that is linked to the previous record in a tamper-evident chain. This is the audit mechanism required by financial regulators and described in Element G of the patent.</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Block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Block N: {</w:t>
            </w:r>
          </w:p>
          <w:p>
            <w:pPr>
              <w:spacing w:before="20" w:after="20"/>
            </w:pPr>
            <w:r>
              <w:rPr>
                <w:rFonts w:ascii="Courier New" w:cs="Courier New" w:eastAsia="Courier New" w:hAnsi="Courier New"/>
                <w:color w:val="94D4B8"/>
                <w:sz w:val="18"/>
                <w:szCs w:val="18"/>
              </w:rPr>
              <w:t xml:space="preserve">    block_index:    N,</w:t>
            </w:r>
          </w:p>
          <w:p>
            <w:pPr>
              <w:spacing w:before="20" w:after="20"/>
            </w:pPr>
            <w:r>
              <w:rPr>
                <w:rFonts w:ascii="Courier New" w:cs="Courier New" w:eastAsia="Courier New" w:hAnsi="Courier New"/>
                <w:color w:val="94D4B8"/>
                <w:sz w:val="18"/>
                <w:szCs w:val="18"/>
              </w:rPr>
              <w:t xml:space="preserve">    timestamp:      ISO 8601 datetime,</w:t>
            </w:r>
          </w:p>
          <w:p>
            <w:pPr>
              <w:spacing w:before="20" w:after="20"/>
            </w:pPr>
            <w:r>
              <w:rPr>
                <w:rFonts w:ascii="Courier New" w:cs="Courier New" w:eastAsia="Courier New" w:hAnsi="Courier New"/>
                <w:color w:val="94D4B8"/>
                <w:sz w:val="18"/>
                <w:szCs w:val="18"/>
              </w:rPr>
              <w:t xml:space="preserve">    property_id:    building key,</w:t>
            </w:r>
          </w:p>
          <w:p>
            <w:pPr>
              <w:spacing w:before="20" w:after="20"/>
            </w:pPr>
            <w:r>
              <w:rPr>
                <w:rFonts w:ascii="Courier New" w:cs="Courier New" w:eastAsia="Courier New" w:hAnsi="Courier New"/>
                <w:color w:val="94D4B8"/>
                <w:sz w:val="18"/>
                <w:szCs w:val="18"/>
              </w:rPr>
              <w:t xml:space="preserve">    sensor_summary: { vibration, strain, moisture, ..., air_quality },</w:t>
            </w:r>
          </w:p>
          <w:p>
            <w:pPr>
              <w:spacing w:before="20" w:after="20"/>
            </w:pPr>
            <w:r>
              <w:rPr>
                <w:rFonts w:ascii="Courier New" w:cs="Courier New" w:eastAsia="Courier New" w:hAnsi="Courier New"/>
                <w:color w:val="94D4B8"/>
                <w:sz w:val="18"/>
                <w:szCs w:val="18"/>
              </w:rPr>
              <w:t xml:space="preserve">    indicators:     { SHF, ESF, USS, PDP, CI },</w:t>
            </w:r>
          </w:p>
          <w:p>
            <w:pPr>
              <w:spacing w:before="20" w:after="20"/>
            </w:pPr>
            <w:r>
              <w:rPr>
                <w:rFonts w:ascii="Courier New" w:cs="Courier New" w:eastAsia="Courier New" w:hAnsi="Courier New"/>
                <w:color w:val="94D4B8"/>
                <w:sz w:val="18"/>
                <w:szCs w:val="18"/>
              </w:rPr>
              <w:t xml:space="preserve">    rtpmv:          computed value,</w:t>
            </w:r>
          </w:p>
          <w:p>
            <w:pPr>
              <w:spacing w:before="20" w:after="20"/>
            </w:pPr>
            <w:r>
              <w:rPr>
                <w:rFonts w:ascii="Courier New" w:cs="Courier New" w:eastAsia="Courier New" w:hAnsi="Courier New"/>
                <w:color w:val="94D4B8"/>
                <w:sz w:val="18"/>
                <w:szCs w:val="18"/>
              </w:rPr>
              <w:t xml:space="preserve">    health_factor:  computed value,</w:t>
            </w:r>
          </w:p>
          <w:p>
            <w:pPr>
              <w:spacing w:before="20" w:after="20"/>
            </w:pPr>
            <w:r>
              <w:rPr>
                <w:rFonts w:ascii="Courier New" w:cs="Courier New" w:eastAsia="Courier New" w:hAnsi="Courier New"/>
                <w:color w:val="94D4B8"/>
                <w:sz w:val="18"/>
                <w:szCs w:val="18"/>
              </w:rPr>
              <w:t xml:space="preserve">    prev_hash:      SHA-256 of Block N-1  (or '000...0' for genesis),</w:t>
            </w:r>
          </w:p>
          <w:p>
            <w:pPr>
              <w:spacing w:before="20" w:after="20"/>
            </w:pPr>
            <w:r>
              <w:rPr>
                <w:rFonts w:ascii="Courier New" w:cs="Courier New" w:eastAsia="Courier New" w:hAnsi="Courier New"/>
                <w:color w:val="94D4B8"/>
                <w:sz w:val="18"/>
                <w:szCs w:val="18"/>
              </w:rPr>
              <w:t xml:space="preserve">    block_hash:     SHA-256( canonical_JSON(above fields) )</w:t>
            </w:r>
          </w:p>
          <w:p>
            <w:pPr>
              <w:spacing w:before="20" w:after="20"/>
            </w:pPr>
            <w:r>
              <w:rPr>
                <w:rFonts w:ascii="Courier New" w:cs="Courier New" w:eastAsia="Courier New" w:hAnsi="Courier New"/>
                <w:color w:val="94D4B8"/>
                <w:sz w:val="18"/>
                <w:szCs w:val="18"/>
              </w:rPr>
              <w:t xml:space="preserve">}</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block_hash is computed over a canonical JSON serialisation of all fields except block_hash itself (sorted keys, no whitespace). This ensures that the hash is deterministic — the same record always produces the same hash regardless of Python dictionary ordering. The prev_hash field creates the chain: Block N contains the hash of Block N-1, which means modifying any historical record invalidates the hashes of all subsequent blocks.</w:t>
      </w:r>
    </w:p>
    <w:p>
      <w:pPr>
        <w:spacing w:before="80" w:after="0"/>
      </w:pPr>
      <w:r>
        <w:t xml:space="preserve"/>
      </w:r>
    </w:p>
    <w:p>
      <w:pPr>
        <w:pStyle w:val="Heading3"/>
        <w:spacing w:before="240" w:after="80"/>
      </w:pPr>
      <w:r>
        <w:rPr>
          <w:rFonts w:ascii="Arial" w:cs="Arial" w:eastAsia="Arial" w:hAnsi="Arial"/>
          <w:b/>
          <w:bCs/>
          <w:color w:val="0E6DC2"/>
          <w:sz w:val="24"/>
          <w:szCs w:val="24"/>
        </w:rPr>
        <w:t xml:space="preserve">Chain Integrity Verification</w:t>
      </w:r>
    </w:p>
    <w:p>
      <w:pPr>
        <w:spacing w:before="80" w:after="80" w:line="280"/>
        <w:jc w:val="left"/>
      </w:pPr>
      <w:r>
        <w:rPr>
          <w:rFonts w:ascii="Arial" w:cs="Arial" w:eastAsia="Arial" w:hAnsi="Arial"/>
          <w:b w:val="false"/>
          <w:bCs w:val="false"/>
          <w:i w:val="false"/>
          <w:iCs w:val="false"/>
          <w:color w:val="374151"/>
          <w:sz w:val="22"/>
          <w:szCs w:val="22"/>
        </w:rPr>
        <w:t xml:space="preserve">The verify_chain_integrity() method walks the entire chain and performs two checks for each block:</w:t>
      </w:r>
    </w:p>
    <w:p>
      <w:pPr>
        <w:spacing w:before="6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Linkage check: Confirms that each block's prev_hash matches the block_hash of the preceding block.</w:t>
      </w:r>
    </w:p>
    <w:p>
      <w:pPr>
        <w:pStyle w:val="ListParagraph"/>
        <w:numPr>
          <w:ilvl w:val="0"/>
          <w:numId w:val="2"/>
        </w:numPr>
        <w:spacing w:before="40" w:after="40"/>
      </w:pPr>
      <w:r>
        <w:rPr>
          <w:rFonts w:ascii="Arial" w:cs="Arial" w:eastAsia="Arial" w:hAnsi="Arial"/>
          <w:color w:val="374151"/>
          <w:sz w:val="22"/>
          <w:szCs w:val="22"/>
        </w:rPr>
        <w:t xml:space="preserve">Hash recomputation: Recomputes the block_hash from the stored record data and confirms it matches the stored hash.</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If either check fails at any block index, the method returns (False, break_index), identifying exactly where the chain was compromised. This enables independent verification by any stakeholder — regulators, auditors, lenders — without access to TwinVal's systems, simply by re-running the hash computation against the exported chain data.</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Valuation Tokens</w:t>
      </w:r>
    </w:p>
    <w:p>
      <w:pPr>
        <w:spacing w:before="80" w:after="80" w:line="280"/>
        <w:jc w:val="left"/>
      </w:pPr>
      <w:r>
        <w:rPr>
          <w:rFonts w:ascii="Arial" w:cs="Arial" w:eastAsia="Arial" w:hAnsi="Arial"/>
          <w:b w:val="false"/>
          <w:bCs w:val="false"/>
          <w:i w:val="false"/>
          <w:iCs w:val="false"/>
          <w:color w:val="374151"/>
          <w:sz w:val="22"/>
          <w:szCs w:val="22"/>
        </w:rPr>
        <w:t xml:space="preserve">In addition to chain blocks, the system generates a valuation token at each cycle. The token is a portable, self-contained summary of the valuation that can be shared with banks, insurers, or transaction counterparties without exposing the full sensor history. It contains: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0D2137"/>
                <w:sz w:val="20"/>
                <w:szCs w:val="20"/>
              </w:rPr>
              <w:t xml:space="preserve">token_id</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Format: VT-{property_id}-{block_count:06d}  — unique and sequential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D2137"/>
                <w:sz w:val="20"/>
                <w:szCs w:val="20"/>
              </w:rPr>
              <w:t xml:space="preserve">rtpmv</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The computed Real-Time Property Market Value at time of issue</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0D2137"/>
                <w:sz w:val="20"/>
                <w:szCs w:val="20"/>
              </w:rPr>
              <w:t xml:space="preserve">health_factor</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The composite health score at time of issue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D2137"/>
                <w:sz w:val="20"/>
                <w:szCs w:val="20"/>
              </w:rPr>
              <w:t xml:space="preserve">confidence_index</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The CI value at time of issue</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0D2137"/>
                <w:sz w:val="20"/>
                <w:szCs w:val="20"/>
              </w:rPr>
              <w:t xml:space="preserve">timestamp</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ISO 8601 datetime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D2137"/>
                <w:sz w:val="20"/>
                <w:szCs w:val="20"/>
              </w:rPr>
              <w:t xml:space="preserve">chain_head_hash</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SHA-256 hash of the most recent chain block at time of issue</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0D2137"/>
                <w:sz w:val="20"/>
                <w:szCs w:val="20"/>
              </w:rPr>
              <w:t xml:space="preserve">chain_length</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Total number of blocks in the chain at time of issue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D2137"/>
                <w:sz w:val="20"/>
                <w:szCs w:val="20"/>
              </w:rPr>
              <w:t xml:space="preserve">token_hash</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SHA-256 of the token's own canonical JSON — token self-certifies</w:t>
            </w:r>
          </w:p>
        </w:tc>
      </w:tr>
    </w:tbl>
    <w:p>
      <w:pPr>
        <w:spacing w:before="100" w:after="0"/>
      </w:pPr>
      <w:r>
        <w:t xml:space="preserve"/>
      </w:r>
    </w:p>
    <w:p>
      <w:pPr>
        <w:pStyle w:val="Heading2"/>
        <w:pBdr>
          <w:bottom w:val="single" w:color="0E6DC2" w:sz="10" w:space="4"/>
        </w:pBdr>
        <w:spacing w:before="320" w:after="100"/>
      </w:pPr>
      <w:r>
        <w:rPr>
          <w:rFonts w:ascii="Arial" w:cs="Arial" w:eastAsia="Arial" w:hAnsi="Arial"/>
          <w:b/>
          <w:bCs/>
          <w:color w:val="0D2137"/>
          <w:sz w:val="28"/>
          <w:szCs w:val="28"/>
        </w:rPr>
        <w:t xml:space="preserve">4.7  PropertyExchange  (Patent Elements H, H1, H1.1)</w:t>
      </w:r>
    </w:p>
    <w:p>
      <w:pPr>
        <w:spacing w:before="80" w:after="80" w:line="280"/>
        <w:jc w:val="left"/>
      </w:pPr>
      <w:r>
        <w:rPr>
          <w:rFonts w:ascii="Arial" w:cs="Arial" w:eastAsia="Arial" w:hAnsi="Arial"/>
          <w:b w:val="false"/>
          <w:bCs w:val="false"/>
          <w:i w:val="false"/>
          <w:iCs w:val="false"/>
          <w:color w:val="374151"/>
          <w:sz w:val="22"/>
          <w:szCs w:val="22"/>
        </w:rPr>
        <w:t xml:space="preserve">The PropertyExchange class manages the multi-property exchange: maintaining listings, computing dynamic bid-ask prices, enforcing sensor-triggered market controls, and managing a five-level order book for each listed property.</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Dynamic Bid-Ask Spread (Element H)</w:t>
      </w:r>
    </w:p>
    <w:p>
      <w:pPr>
        <w:spacing w:before="80" w:after="80" w:line="280"/>
        <w:jc w:val="left"/>
      </w:pPr>
      <w:r>
        <w:rPr>
          <w:rFonts w:ascii="Arial" w:cs="Arial" w:eastAsia="Arial" w:hAnsi="Arial"/>
          <w:b w:val="false"/>
          <w:bCs w:val="false"/>
          <w:i w:val="false"/>
          <w:iCs w:val="false"/>
          <w:color w:val="374151"/>
          <w:sz w:val="22"/>
          <w:szCs w:val="22"/>
        </w:rPr>
        <w:t xml:space="preserve">Unlike a fixed-spread exchange, TwinVal's spread is computed from the current sensor state on every cycle. A property with perfect sensor data and excellent health has a narrow spread; a property with degrading confidence or poor physical health has a wider spread that reflects the additional uncertainty priced into the transaction: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base_spread    = 0.03              # 3% baseline</w:t>
            </w:r>
          </w:p>
          <w:p>
            <w:pPr>
              <w:spacing w:before="20" w:after="20"/>
            </w:pPr>
            <w:r>
              <w:rPr>
                <w:rFonts w:ascii="Courier New" w:cs="Courier New" w:eastAsia="Courier New" w:hAnsi="Courier New"/>
                <w:color w:val="94D4B8"/>
                <w:sz w:val="18"/>
                <w:szCs w:val="18"/>
              </w:rPr>
              <w:t xml:space="preserve">ci_multiplier  = max(1.0, 2.0 - CI)  # widens as CI drops below 1.0</w:t>
            </w:r>
          </w:p>
          <w:p>
            <w:pPr>
              <w:spacing w:before="20" w:after="20"/>
            </w:pPr>
            <w:r>
              <w:rPr>
                <w:rFonts w:ascii="Courier New" w:cs="Courier New" w:eastAsia="Courier New" w:hAnsi="Courier New"/>
                <w:color w:val="94D4B8"/>
                <w:sz w:val="18"/>
                <w:szCs w:val="18"/>
              </w:rPr>
              <w:t xml:space="preserve">health_mult    = max(1.0, 1.5 - health x 0.5)  # widens as health drops</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total_spread = base_spread x ci_multiplier x health_multiplier</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bid = RTPMV x (1 - total_spread / 2)</w:t>
            </w:r>
          </w:p>
          <w:p>
            <w:pPr>
              <w:spacing w:before="20" w:after="20"/>
            </w:pPr>
            <w:r>
              <w:rPr>
                <w:rFonts w:ascii="Courier New" w:cs="Courier New" w:eastAsia="Courier New" w:hAnsi="Courier New"/>
                <w:color w:val="94D4B8"/>
                <w:sz w:val="18"/>
                <w:szCs w:val="18"/>
              </w:rPr>
              <w:t xml:space="preserve">ask = RTPMV x (1 + total_spread / 2)</w:t>
            </w:r>
          </w:p>
        </w:tc>
      </w:tr>
    </w:tbl>
    <w:p>
      <w:pPr>
        <w:spacing w:before="100" w:after="0"/>
      </w:pPr>
      <w:r>
        <w:t xml:space="preserve"/>
      </w:r>
    </w:p>
    <w:p>
      <w:pPr>
        <w:pStyle w:val="Heading3"/>
        <w:spacing w:before="240" w:after="80"/>
      </w:pPr>
      <w:r>
        <w:rPr>
          <w:rFonts w:ascii="Arial" w:cs="Arial" w:eastAsia="Arial" w:hAnsi="Arial"/>
          <w:b/>
          <w:bCs/>
          <w:color w:val="0E6DC2"/>
          <w:sz w:val="24"/>
          <w:szCs w:val="24"/>
        </w:rPr>
        <w:t xml:space="preserve">Sensor-Triggered Market Controls (Element H1.1)</w:t>
      </w:r>
    </w:p>
    <w:p>
      <w:pPr>
        <w:spacing w:before="80" w:after="80" w:line="280"/>
        <w:jc w:val="left"/>
      </w:pPr>
      <w:r>
        <w:rPr>
          <w:rFonts w:ascii="Arial" w:cs="Arial" w:eastAsia="Arial" w:hAnsi="Arial"/>
          <w:b w:val="false"/>
          <w:bCs w:val="false"/>
          <w:i w:val="false"/>
          <w:iCs w:val="false"/>
          <w:color w:val="374151"/>
          <w:sz w:val="22"/>
          <w:szCs w:val="22"/>
        </w:rPr>
        <w:t xml:space="preserve">Four rules are evaluated on every update. They execute in priority order and can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Trigger Condition</w:t>
            </w:r>
          </w:p>
        </w:tc>
        <w:tc>
          <w:tcPr>
            <w:tcW w:type="dxa" w:w="18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Status Applied</w:t>
            </w:r>
          </w:p>
        </w:tc>
        <w:tc>
          <w:tcPr>
            <w:tcW w:type="dxa" w:w="436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Effect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CI &lt; 0.4</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HALTED</w:t>
            </w:r>
          </w:p>
        </w:tc>
        <w:tc>
          <w:tcPr>
            <w:tcW w:type="dxa" w:w="4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All trading suspended. No transactions permitted until sensor reliability recovers.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CI &lt; 0.6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RESTRICTED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Manual approval required for any transaction. Spreads widen significantly.</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Health Factor &lt; 0.5</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ALERT</w:t>
            </w:r>
          </w:p>
        </w:tc>
        <w:tc>
          <w:tcPr>
            <w:tcW w:type="dxa" w:w="4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Physical inspection mandatory before transaction. Added to restrictions list.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Health Factor &lt; 0.7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NOTICE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Condition disclosure required to any buyer. Added to restrictions list.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Price volatility (std/mean of last 10 RTPMV) &gt; 8%</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CIRCUIT_BREAKER</w:t>
            </w:r>
          </w:p>
        </w:tc>
        <w:tc>
          <w:tcPr>
            <w:tcW w:type="dxa" w:w="4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Trading suspended. Mirrors SEC Rule 201 / LULD circuit breaker principles for equity markets.</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CIRCUIT_BREAKER rule is the property market equivalent of an equity circuit breaker. It is triggered by price movement rather than sensor state — if the RTPMV has moved more than 8% in standard deviation terms over the last 10 readings, trading is suspended regardless of CI or health. This protects against scenario-injected events causing chaotic price discovery.</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Order Book Generation</w:t>
      </w:r>
    </w:p>
    <w:p>
      <w:pPr>
        <w:spacing w:before="80" w:after="80" w:line="280"/>
        <w:jc w:val="left"/>
      </w:pPr>
      <w:r>
        <w:rPr>
          <w:rFonts w:ascii="Arial" w:cs="Arial" w:eastAsia="Arial" w:hAnsi="Arial"/>
          <w:b w:val="false"/>
          <w:bCs w:val="false"/>
          <w:i w:val="false"/>
          <w:iCs w:val="false"/>
          <w:color w:val="374151"/>
          <w:sz w:val="22"/>
          <w:szCs w:val="22"/>
        </w:rPr>
        <w:t xml:space="preserve">The exchange simulates a five-level order book for each property on every cycle. Bid prices are spaced at decreasing intervals below RTPMV, and ask prices at increasing intervals above. Volume at each level is proportional to CI — higher confidence attracts more depth, lower confidence thins the book. The tick size is fixed at $10,000 (minimum price increment), and all prices are rounded to the nearest tick.</w:t>
      </w:r>
    </w:p>
    <w:p>
      <w:pPr>
        <w:spacing w:before="100" w:after="0"/>
      </w:pPr>
      <w:r>
        <w:t xml:space="preserve"/>
      </w:r>
    </w:p>
    <w:p>
      <w:pPr>
        <w:spacing w:before="0"/>
      </w:pPr>
      <w:r>
        <w:br w:type="page"/>
      </w:r>
    </w:p>
    <w:p>
      <w:pPr>
        <w:pStyle w:val="Heading1"/>
        <w:spacing w:before="400" w:after="160"/>
      </w:pPr>
      <w:r>
        <w:rPr>
          <w:rFonts w:ascii="Arial" w:cs="Arial" w:eastAsia="Arial" w:hAnsi="Arial"/>
          <w:b/>
          <w:bCs/>
          <w:color w:val="0D2137"/>
          <w:sz w:val="40"/>
          <w:szCs w:val="40"/>
        </w:rPr>
        <w:t xml:space="preserve">5. BuildingOrchestrator — The Processing Cycle</w:t>
      </w:r>
    </w:p>
    <w:p>
      <w:pPr>
        <w:spacing w:before="80" w:after="80" w:line="280"/>
        <w:jc w:val="left"/>
      </w:pPr>
      <w:r>
        <w:rPr>
          <w:rFonts w:ascii="Arial" w:cs="Arial" w:eastAsia="Arial" w:hAnsi="Arial"/>
          <w:b w:val="false"/>
          <w:bCs w:val="false"/>
          <w:i w:val="false"/>
          <w:iCs w:val="false"/>
          <w:color w:val="374151"/>
          <w:sz w:val="22"/>
          <w:szCs w:val="22"/>
        </w:rPr>
        <w:t xml:space="preserve">The BuildingOrchestrator class ties all six components together for a single property. Each call to process_cycle() executes the complete pipeline in sequence and returns a comprehensive cycle data dictionary containing every intermediate value from raw sensor readings to the final hash chain block.</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Cycle Execution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94D4B8"/>
                <w:sz w:val="18"/>
                <w:szCs w:val="18"/>
              </w:rPr>
              <w:t xml:space="preserve">def process_cycle(scenario_overrides=None):</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  # Step 1 — Element B</w:t>
            </w:r>
          </w:p>
          <w:p>
            <w:pPr>
              <w:spacing w:before="20" w:after="20"/>
            </w:pPr>
            <w:r>
              <w:rPr>
                <w:rFonts w:ascii="Courier New" w:cs="Courier New" w:eastAsia="Courier New" w:hAnsi="Courier New"/>
                <w:color w:val="94D4B8"/>
                <w:sz w:val="18"/>
                <w:szCs w:val="18"/>
              </w:rPr>
              <w:t xml:space="preserve">  raw = sensor_engine.get_sensor_reading(scenario_overrides)</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  # Step 2 — Element C</w:t>
            </w:r>
          </w:p>
          <w:p>
            <w:pPr>
              <w:spacing w:before="20" w:after="20"/>
            </w:pPr>
            <w:r>
              <w:rPr>
                <w:rFonts w:ascii="Courier New" w:cs="Courier New" w:eastAsia="Courier New" w:hAnsi="Courier New"/>
                <w:color w:val="94D4B8"/>
                <w:sz w:val="18"/>
                <w:szCs w:val="18"/>
              </w:rPr>
              <w:t xml:space="preserve">  processed = { k: preprocessor.process(k, v) for k, v in raw.sensors }</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  # Step 3 — Element E</w:t>
            </w:r>
          </w:p>
          <w:p>
            <w:pPr>
              <w:spacing w:before="20" w:after="20"/>
            </w:pPr>
            <w:r>
              <w:rPr>
                <w:rFonts w:ascii="Courier New" w:cs="Courier New" w:eastAsia="Courier New" w:hAnsi="Courier New"/>
                <w:color w:val="94D4B8"/>
                <w:sz w:val="18"/>
                <w:szCs w:val="18"/>
              </w:rPr>
              <w:t xml:space="preserve">  shf = indicators.calculate_shf(processed.vibration, processed.strain)</w:t>
            </w:r>
          </w:p>
          <w:p>
            <w:pPr>
              <w:spacing w:before="20" w:after="20"/>
            </w:pPr>
            <w:r>
              <w:rPr>
                <w:rFonts w:ascii="Courier New" w:cs="Courier New" w:eastAsia="Courier New" w:hAnsi="Courier New"/>
                <w:color w:val="94D4B8"/>
                <w:sz w:val="18"/>
                <w:szCs w:val="18"/>
              </w:rPr>
              <w:t xml:space="preserve">  esf = indicators.calculate_esf(processed.moisture, processed.temperature,</w:t>
            </w:r>
          </w:p>
          <w:p>
            <w:pPr>
              <w:spacing w:before="20" w:after="20"/>
            </w:pPr>
            <w:r>
              <w:rPr>
                <w:rFonts w:ascii="Courier New" w:cs="Courier New" w:eastAsia="Courier New" w:hAnsi="Courier New"/>
                <w:color w:val="94D4B8"/>
                <w:sz w:val="18"/>
                <w:szCs w:val="18"/>
              </w:rPr>
              <w:t xml:space="preserve">                                 processed.air_quality)</w:t>
            </w:r>
          </w:p>
          <w:p>
            <w:pPr>
              <w:spacing w:before="20" w:after="20"/>
            </w:pPr>
            <w:r>
              <w:rPr>
                <w:rFonts w:ascii="Courier New" w:cs="Courier New" w:eastAsia="Courier New" w:hAnsi="Courier New"/>
                <w:color w:val="94D4B8"/>
                <w:sz w:val="18"/>
                <w:szCs w:val="18"/>
              </w:rPr>
              <w:t xml:space="preserve">  uss = indicators.calculate_uss(processed.occupancy, processed.electrical_load)</w:t>
            </w:r>
          </w:p>
          <w:p>
            <w:pPr>
              <w:spacing w:before="20" w:after="20"/>
            </w:pPr>
            <w:r>
              <w:rPr>
                <w:rFonts w:ascii="Courier New" w:cs="Courier New" w:eastAsia="Courier New" w:hAnsi="Courier New"/>
                <w:color w:val="94D4B8"/>
                <w:sz w:val="18"/>
                <w:szCs w:val="18"/>
              </w:rPr>
              <w:t xml:space="preserve">  pdp = indicators.calculate_pdp(twin.property_age)</w:t>
            </w:r>
          </w:p>
          <w:p>
            <w:pPr>
              <w:spacing w:before="20" w:after="20"/>
            </w:pPr>
            <w:r>
              <w:rPr>
                <w:rFonts w:ascii="Courier New" w:cs="Courier New" w:eastAsia="Courier New" w:hAnsi="Courier New"/>
                <w:color w:val="94D4B8"/>
                <w:sz w:val="18"/>
                <w:szCs w:val="18"/>
              </w:rPr>
              <w:t xml:space="preserve">  ci  = indicators.calculate_ci()   # computed from rolling buffer variance</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  # Step 4 — Element F</w:t>
            </w:r>
          </w:p>
          <w:p>
            <w:pPr>
              <w:spacing w:before="20" w:after="20"/>
            </w:pPr>
            <w:r>
              <w:rPr>
                <w:rFonts w:ascii="Courier New" w:cs="Courier New" w:eastAsia="Courier New" w:hAnsi="Courier New"/>
                <w:color w:val="94D4B8"/>
                <w:sz w:val="18"/>
                <w:szCs w:val="18"/>
              </w:rPr>
              <w:t xml:space="preserve">  rtpmv, health = valuation.calculate_rtpmv(shf, esf, uss, pdp, ci)</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  # Step 5 — Element D</w:t>
            </w:r>
          </w:p>
          <w:p>
            <w:pPr>
              <w:spacing w:before="20" w:after="20"/>
            </w:pPr>
            <w:r>
              <w:rPr>
                <w:rFonts w:ascii="Courier New" w:cs="Courier New" w:eastAsia="Courier New" w:hAnsi="Courier New"/>
                <w:color w:val="94D4B8"/>
                <w:sz w:val="18"/>
                <w:szCs w:val="18"/>
              </w:rPr>
              <w:t xml:space="preserve">  twin.update(sensors, indicators)</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  # Step 6 — Element G</w:t>
            </w:r>
          </w:p>
          <w:p>
            <w:pPr>
              <w:spacing w:before="20" w:after="20"/>
            </w:pPr>
            <w:r>
              <w:rPr>
                <w:rFonts w:ascii="Courier New" w:cs="Courier New" w:eastAsia="Courier New" w:hAnsi="Courier New"/>
                <w:color w:val="94D4B8"/>
                <w:sz w:val="18"/>
                <w:szCs w:val="18"/>
              </w:rPr>
              <w:t xml:space="preserve">  block = verification.add_record(...)</w:t>
            </w:r>
          </w:p>
          <w:p>
            <w:pPr>
              <w:spacing w:before="20" w:after="20"/>
            </w:pPr>
            <w:r>
              <w:rPr>
                <w:rFonts w:ascii="Courier New" w:cs="Courier New" w:eastAsia="Courier New" w:hAnsi="Courier New"/>
                <w:color w:val="94D4B8"/>
                <w:sz w:val="18"/>
                <w:szCs w:val="18"/>
              </w:rPr>
              <w:t xml:space="preserve">  token = verification.generate_token(...)</w:t>
            </w:r>
          </w:p>
          <w:p>
            <w:pPr>
              <w:spacing w:before="20" w:after="20"/>
            </w:pPr>
            <w:r>
              <w:rPr>
                <w:rFonts w:ascii="Courier New" w:cs="Courier New" w:eastAsia="Courier New" w:hAnsi="Courier New"/>
                <w:color w:val="94D4B8"/>
                <w:sz w:val="18"/>
                <w:szCs w:val="18"/>
              </w:rPr>
              <w:t xml:space="preserve"/>
            </w:r>
          </w:p>
          <w:p>
            <w:pPr>
              <w:spacing w:before="20" w:after="20"/>
            </w:pPr>
            <w:r>
              <w:rPr>
                <w:rFonts w:ascii="Courier New" w:cs="Courier New" w:eastAsia="Courier New" w:hAnsi="Courier New"/>
                <w:color w:val="94D4B8"/>
                <w:sz w:val="18"/>
                <w:szCs w:val="18"/>
              </w:rPr>
              <w:t xml:space="preserve">  return complete cycle data dictionary</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cycle runs in under 10 milliseconds per building in the current implementation. With four buildings, the complete portfolio update completes in approximately 40 milliseconds, far below the 0.8-second default cycle speed configured in the Streamlit session state.</w:t>
      </w:r>
    </w:p>
    <w:p>
      <w:pPr>
        <w:spacing w:before="100" w:after="0"/>
      </w:pPr>
      <w:r>
        <w:t xml:space="preserve"/>
      </w:r>
    </w:p>
    <w:p>
      <w:pPr>
        <w:spacing w:before="0"/>
      </w:pPr>
      <w:r>
        <w:br w:type="page"/>
      </w:r>
    </w:p>
    <w:p>
      <w:pPr>
        <w:pStyle w:val="Heading1"/>
        <w:spacing w:before="400" w:after="160"/>
      </w:pPr>
      <w:r>
        <w:rPr>
          <w:rFonts w:ascii="Arial" w:cs="Arial" w:eastAsia="Arial" w:hAnsi="Arial"/>
          <w:b/>
          <w:bCs/>
          <w:color w:val="0D2137"/>
          <w:sz w:val="40"/>
          <w:szCs w:val="40"/>
        </w:rPr>
        <w:t xml:space="preserve">6. Scenario Injection Engine</w:t>
      </w:r>
    </w:p>
    <w:p>
      <w:pPr>
        <w:spacing w:before="80" w:after="80" w:line="280"/>
        <w:jc w:val="left"/>
      </w:pPr>
      <w:r>
        <w:rPr>
          <w:rFonts w:ascii="Arial" w:cs="Arial" w:eastAsia="Arial" w:hAnsi="Arial"/>
          <w:b w:val="false"/>
          <w:bCs w:val="false"/>
          <w:i w:val="false"/>
          <w:iCs w:val="false"/>
          <w:color w:val="374151"/>
          <w:sz w:val="22"/>
          <w:szCs w:val="22"/>
        </w:rPr>
        <w:t xml:space="preserve">The backend includes a scenario injection mechanism that allows an operator to override any sensor channel with an extreme value for a single cycle. This is used in the demo to demonstrate the exchange's response to real-world events.</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Scenario overrides are applied inside the sensor engine before the reading is returned to the orchestrator. They bypass the ASHRAE statistical model and inject a direct numerical value into the specified sensor channel. The preprocessor, indicators, valuation, and exchange all then respond to this injected value in exactly the same way they would respond to a real sensor reading of the same magnitude.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Scenario</w:t>
            </w:r>
          </w:p>
        </w:tc>
        <w:tc>
          <w:tcPr>
            <w:tcW w:type="dxa" w:w="32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Sensors Overridden</w:t>
            </w:r>
          </w:p>
        </w:tc>
        <w:tc>
          <w:tcPr>
            <w:tcW w:type="dxa" w:w="376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Expected Response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Pipe Burst / Water Damage</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moisture → 0.95, air_quality → 0.80</w:t>
            </w:r>
          </w:p>
        </w:tc>
        <w:tc>
          <w:tcPr>
            <w:tcW w:type="dxa" w:w="3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ESF drops sharply; RTPMV falls; NOTICE restriction triggered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HVAC Failure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temperature → 0.85, electrical_load → 0.90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ESF and USS both deteriorate; spread widens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Structural Event / Earthquake</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vibration → 0.90, strain → 0.75</w:t>
            </w:r>
          </w:p>
        </w:tc>
        <w:tc>
          <w:tcPr>
            <w:tcW w:type="dxa" w:w="3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SHF collapses; health factor falls; RTPMV may trigger CIRCUIT_BREAKER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Extreme Weather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moisture → 0.88, temperature → 0.80, vibration → 0.55</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Multiple indicators impacted; CI may degrade if variance increases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Sensor Malfunction</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CI degrades naturally from variance</w:t>
            </w:r>
          </w:p>
        </w:tc>
        <w:tc>
          <w:tcPr>
            <w:tcW w:type="dxa" w:w="3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CI drops; RESTRICTED then HALTED; exchange suspends trading</w:t>
            </w:r>
          </w:p>
        </w:tc>
      </w:tr>
    </w:tbl>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The scenario injection mechanism is the primary demo tool for showing institutional stakeholders how the exchange responds to physical events. It demonstrates that TwinVal is not a static valuation platform — it is a live system that connects physical reality directly to market pricing in real time.</w:t>
      </w:r>
    </w:p>
    <w:p>
      <w:pPr>
        <w:spacing w:before="100" w:after="0"/>
      </w:pPr>
      <w:r>
        <w:t xml:space="preserve"/>
      </w:r>
    </w:p>
    <w:p>
      <w:pPr>
        <w:spacing w:before="0"/>
      </w:pPr>
      <w:r>
        <w:br w:type="page"/>
      </w:r>
    </w:p>
    <w:p>
      <w:pPr>
        <w:pStyle w:val="Heading1"/>
        <w:spacing w:before="400" w:after="160"/>
      </w:pPr>
      <w:r>
        <w:rPr>
          <w:rFonts w:ascii="Arial" w:cs="Arial" w:eastAsia="Arial" w:hAnsi="Arial"/>
          <w:b/>
          <w:bCs/>
          <w:color w:val="0D2137"/>
          <w:sz w:val="40"/>
          <w:szCs w:val="40"/>
        </w:rPr>
        <w:t xml:space="preserve">7. Data Export and Portability</w:t>
      </w:r>
    </w:p>
    <w:p>
      <w:pPr>
        <w:spacing w:before="80" w:after="80" w:line="280"/>
        <w:jc w:val="left"/>
      </w:pPr>
      <w:r>
        <w:rPr>
          <w:rFonts w:ascii="Arial" w:cs="Arial" w:eastAsia="Arial" w:hAnsi="Arial"/>
          <w:b w:val="false"/>
          <w:bCs w:val="false"/>
          <w:i w:val="false"/>
          <w:iCs w:val="false"/>
          <w:color w:val="374151"/>
          <w:sz w:val="22"/>
          <w:szCs w:val="22"/>
        </w:rPr>
        <w:t xml:space="preserve">When the system is paused after a live run, the full cycle history for all buildings can be exported as a flat CSV file. The export flattens the nested cycle data dictionary into a single row per cycle per building, containing:</w:t>
      </w:r>
    </w:p>
    <w:p>
      <w:pPr>
        <w:spacing w:before="8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Building identifier, timestamp, and cycle metadata</w:t>
      </w:r>
    </w:p>
    <w:p>
      <w:pPr>
        <w:pStyle w:val="ListParagraph"/>
        <w:numPr>
          <w:ilvl w:val="0"/>
          <w:numId w:val="2"/>
        </w:numPr>
        <w:spacing w:before="40" w:after="40"/>
      </w:pPr>
      <w:r>
        <w:rPr>
          <w:rFonts w:ascii="Arial" w:cs="Arial" w:eastAsia="Arial" w:hAnsi="Arial"/>
          <w:color w:val="374151"/>
          <w:sz w:val="22"/>
          <w:szCs w:val="22"/>
        </w:rPr>
        <w:t xml:space="preserve">All seven raw sensor readings</w:t>
      </w:r>
    </w:p>
    <w:p>
      <w:pPr>
        <w:pStyle w:val="ListParagraph"/>
        <w:numPr>
          <w:ilvl w:val="0"/>
          <w:numId w:val="2"/>
        </w:numPr>
        <w:spacing w:before="40" w:after="40"/>
      </w:pPr>
      <w:r>
        <w:rPr>
          <w:rFonts w:ascii="Arial" w:cs="Arial" w:eastAsia="Arial" w:hAnsi="Arial"/>
          <w:color w:val="374151"/>
          <w:sz w:val="22"/>
          <w:szCs w:val="22"/>
        </w:rPr>
        <w:t xml:space="preserve">All seven processed (denoised) sensor readings</w:t>
      </w:r>
    </w:p>
    <w:p>
      <w:pPr>
        <w:pStyle w:val="ListParagraph"/>
        <w:numPr>
          <w:ilvl w:val="0"/>
          <w:numId w:val="2"/>
        </w:numPr>
        <w:spacing w:before="40" w:after="40"/>
      </w:pPr>
      <w:r>
        <w:rPr>
          <w:rFonts w:ascii="Arial" w:cs="Arial" w:eastAsia="Arial" w:hAnsi="Arial"/>
          <w:color w:val="374151"/>
          <w:sz w:val="22"/>
          <w:szCs w:val="22"/>
        </w:rPr>
        <w:t xml:space="preserve">Raw ASHRAE meter readings for that cycle</w:t>
      </w:r>
    </w:p>
    <w:p>
      <w:pPr>
        <w:pStyle w:val="ListParagraph"/>
        <w:numPr>
          <w:ilvl w:val="0"/>
          <w:numId w:val="2"/>
        </w:numPr>
        <w:spacing w:before="40" w:after="40"/>
      </w:pPr>
      <w:r>
        <w:rPr>
          <w:rFonts w:ascii="Arial" w:cs="Arial" w:eastAsia="Arial" w:hAnsi="Arial"/>
          <w:color w:val="374151"/>
          <w:sz w:val="22"/>
          <w:szCs w:val="22"/>
        </w:rPr>
        <w:t xml:space="preserve">Weather data at that cycle's simulated hour</w:t>
      </w:r>
    </w:p>
    <w:p>
      <w:pPr>
        <w:pStyle w:val="ListParagraph"/>
        <w:numPr>
          <w:ilvl w:val="0"/>
          <w:numId w:val="2"/>
        </w:numPr>
        <w:spacing w:before="40" w:after="40"/>
      </w:pPr>
      <w:r>
        <w:rPr>
          <w:rFonts w:ascii="Arial" w:cs="Arial" w:eastAsia="Arial" w:hAnsi="Arial"/>
          <w:color w:val="374151"/>
          <w:sz w:val="22"/>
          <w:szCs w:val="22"/>
        </w:rPr>
        <w:t xml:space="preserve">All five technical indicators (SHF, ESF, USS, PDP, CI)</w:t>
      </w:r>
    </w:p>
    <w:p>
      <w:pPr>
        <w:pStyle w:val="ListParagraph"/>
        <w:numPr>
          <w:ilvl w:val="0"/>
          <w:numId w:val="2"/>
        </w:numPr>
        <w:spacing w:before="40" w:after="40"/>
      </w:pPr>
      <w:r>
        <w:rPr>
          <w:rFonts w:ascii="Arial" w:cs="Arial" w:eastAsia="Arial" w:hAnsi="Arial"/>
          <w:color w:val="374151"/>
          <w:sz w:val="22"/>
          <w:szCs w:val="22"/>
        </w:rPr>
        <w:t xml:space="preserve">RTPMV, health factor, base market value, land value, structure-adjusted value</w:t>
      </w:r>
    </w:p>
    <w:p>
      <w:pPr>
        <w:pStyle w:val="ListParagraph"/>
        <w:numPr>
          <w:ilvl w:val="0"/>
          <w:numId w:val="2"/>
        </w:numPr>
        <w:spacing w:before="40" w:after="40"/>
      </w:pPr>
      <w:r>
        <w:rPr>
          <w:rFonts w:ascii="Arial" w:cs="Arial" w:eastAsia="Arial" w:hAnsi="Arial"/>
          <w:color w:val="374151"/>
          <w:sz w:val="22"/>
          <w:szCs w:val="22"/>
        </w:rPr>
        <w:t xml:space="preserve">Override flag, government valuation, block hash</w:t>
      </w:r>
    </w:p>
    <w:p>
      <w:pPr>
        <w:spacing w:before="80" w:after="0"/>
      </w:pPr>
      <w:r>
        <w:t xml:space="preserve"/>
      </w:r>
    </w:p>
    <w:p>
      <w:pPr>
        <w:spacing w:before="80" w:after="80" w:line="280"/>
        <w:jc w:val="left"/>
      </w:pPr>
      <w:r>
        <w:rPr>
          <w:rFonts w:ascii="Arial" w:cs="Arial" w:eastAsia="Arial" w:hAnsi="Arial"/>
          <w:b w:val="false"/>
          <w:bCs w:val="false"/>
          <w:i w:val="false"/>
          <w:iCs w:val="false"/>
          <w:color w:val="374151"/>
          <w:sz w:val="22"/>
          <w:szCs w:val="22"/>
        </w:rPr>
        <w:t xml:space="preserve">This export format is designed for downstream analysis in Excel, Power BI, or Python. It is also the format that would be submitted to a regulator, auditor, or lender as the raw evidence underlying a valuation — with the block_hash column providing the cryptographic anchor to the immutable chain.</w:t>
      </w:r>
    </w:p>
    <w:p>
      <w:pPr>
        <w:spacing w:before="100" w:after="0"/>
      </w:pPr>
      <w:r>
        <w:t xml:space="preserve"/>
      </w:r>
    </w:p>
    <w:p>
      <w:pPr>
        <w:spacing w:before="0"/>
      </w:pPr>
      <w:r>
        <w:br w:type="page"/>
      </w:r>
    </w:p>
    <w:p>
      <w:pPr>
        <w:pStyle w:val="Heading1"/>
        <w:spacing w:before="400" w:after="160"/>
      </w:pPr>
      <w:r>
        <w:rPr>
          <w:rFonts w:ascii="Arial" w:cs="Arial" w:eastAsia="Arial" w:hAnsi="Arial"/>
          <w:b/>
          <w:bCs/>
          <w:color w:val="0D2137"/>
          <w:sz w:val="40"/>
          <w:szCs w:val="40"/>
        </w:rPr>
        <w:t xml:space="preserve">8. Patent Element Coverage Matrix</w:t>
      </w:r>
    </w:p>
    <w:p>
      <w:pPr>
        <w:spacing w:before="80" w:after="80" w:line="280"/>
        <w:jc w:val="left"/>
      </w:pPr>
      <w:r>
        <w:rPr>
          <w:rFonts w:ascii="Arial" w:cs="Arial" w:eastAsia="Arial" w:hAnsi="Arial"/>
          <w:b w:val="false"/>
          <w:bCs w:val="false"/>
          <w:i w:val="false"/>
          <w:iCs w:val="false"/>
          <w:color w:val="374151"/>
          <w:sz w:val="22"/>
          <w:szCs w:val="22"/>
        </w:rPr>
        <w:t xml:space="preserve">The following table provides a complete mapping between every patent element cited in the codebase and its implementation, enabling a patent examiner, attorney, or technical reviewer to trace from claim to code.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600"/>
        <w:gridCol w:w="1960"/>
      </w:tblGrid>
      <w:tr>
        <w:trPr>
          <w:tblHeader/>
        </w:trPr>
        <w:tc>
          <w:tcPr>
            <w:tcW w:type="dxa" w:w="12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Element</w:t>
            </w:r>
          </w:p>
        </w:tc>
        <w:tc>
          <w:tcPr>
            <w:tcW w:type="dxa" w:w="26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Claim Name</w:t>
            </w:r>
          </w:p>
        </w:tc>
        <w:tc>
          <w:tcPr>
            <w:tcW w:type="dxa" w:w="36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Implementing Class/Function</w:t>
            </w:r>
          </w:p>
        </w:tc>
        <w:tc>
          <w:tcPr>
            <w:tcW w:type="dxa" w:w="196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Status</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A</w:t>
            </w:r>
          </w:p>
        </w:tc>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Real-time digital twin valuation system</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BuildingOrchestrator.process_cycle()</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Multi-modal IoT sensor network</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ASHRAESensorEngine.get_sensor_reading()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Implemented (ASHRAE-derived)</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B1</w:t>
            </w:r>
          </w:p>
        </w:tc>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Specific sensor types (vibration, strain, moisture, temp, occupancy, elec, AQ)</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ASHRAESensorEngine — seven output channels</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Data preprocessing pipeline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DataPreprocessor.process()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C1</w:t>
            </w:r>
          </w:p>
        </w:tc>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Denoising, normalisation, alignment</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Savitzky-Golay filter + np.clip</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Digital twin model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DigitalTwinModel class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D1</w:t>
            </w:r>
          </w:p>
        </w:tc>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Continuously updated twin state</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DigitalTwinModel.update() per cycle</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Technical indicators engine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TechnicalIndicatorsEngine class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E1</w:t>
            </w:r>
          </w:p>
        </w:tc>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SHF, ESF, USS, PDP, CI formulas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calculate_shf/esf/uss/pdp/ci methods</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RTPMV valuation engine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PropertyValuationEngine.calculate_rtpmv()</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F1</w:t>
            </w:r>
          </w:p>
        </w:tc>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Multiplicative multi-factor formula</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RTPMV = Land + Structure × Health</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Government baseline as default MV</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PropertyValuationEngine.__init__()</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F2.1</w:t>
            </w:r>
          </w:p>
        </w:tc>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Manual override of base MV</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PropertyValuationEngine.update_mv()</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Cryptographic audit record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HashChainVerification.add_record()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G1</w:t>
            </w:r>
          </w:p>
        </w:tc>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SHA-256 hash-chain with prev_hash linkage</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Block structure + verify_chain_integrity()</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Multi-property exchange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PropertyExchange class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H1</w:t>
            </w:r>
          </w:p>
        </w:tc>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Live order book per property</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PropertyExchange._generate_order_depth()</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Implemented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H1.1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Sensor-triggered market controls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PropertyExchange.update_property() — 5 rules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Implemented</w:t>
            </w:r>
          </w:p>
        </w:tc>
      </w:tr>
    </w:tbl>
    <w:p>
      <w:pPr>
        <w:spacing w:before="100" w:after="0"/>
      </w:pPr>
      <w:r>
        <w:t xml:space="preserve"/>
      </w:r>
    </w:p>
    <w:p>
      <w:pPr>
        <w:spacing w:before="0"/>
      </w:pPr>
      <w:r>
        <w:br w:type="page"/>
      </w:r>
    </w:p>
    <w:p>
      <w:pPr>
        <w:pStyle w:val="Heading1"/>
        <w:spacing w:before="400" w:after="160"/>
      </w:pPr>
      <w:r>
        <w:rPr>
          <w:rFonts w:ascii="Arial" w:cs="Arial" w:eastAsia="Arial" w:hAnsi="Arial"/>
          <w:b/>
          <w:bCs/>
          <w:color w:val="0D2137"/>
          <w:sz w:val="40"/>
          <w:szCs w:val="40"/>
        </w:rPr>
        <w:t xml:space="preserve">9. Dependencies and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Library</w:t>
            </w:r>
          </w:p>
        </w:tc>
        <w:tc>
          <w:tcPr>
            <w:tcW w:type="dxa" w:w="140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W w:type="dxa" w:w="5560"/>
            <w:tcBorders>
              <w:top w:val="single" w:color="D1D5DB" w:sz="1"/>
              <w:left w:val="single" w:color="D1D5DB" w:sz="1"/>
              <w:bottom w:val="single" w:color="D1D5DB" w:sz="1"/>
              <w:right w:val="single" w:color="D1D5DB"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streamlit</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&gt;=1.28</w:t>
            </w:r>
          </w:p>
        </w:tc>
        <w:tc>
          <w:tcPr>
            <w:tcW w:type="dxa" w:w="5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Live-updating web UI framework; session state management; sidebar controls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numpy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&gt;=1.24</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Numerical operations: clip, exp, std, mean, random number generation</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scipy</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&gt;=1.11</w:t>
            </w:r>
          </w:p>
        </w:tc>
        <w:tc>
          <w:tcPr>
            <w:tcW w:type="dxa" w:w="5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Savitzky-Golay filter (scipy.signal.savgol_filter) in DataPreprocessor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plotly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&gt;=5.17</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Interactive sensor charts; exchange visualisation; price history gauges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pandas</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&gt;=2.0</w:t>
            </w:r>
          </w:p>
        </w:tc>
        <w:tc>
          <w:tcPr>
            <w:tcW w:type="dxa" w:w="5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DataFrame for valuation history table; CSV export serialisation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hashlib</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stdlib</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SHA-256 hash computation in HashChainVerification (Python standard library)</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json</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stdlib</w:t>
            </w:r>
          </w:p>
        </w:tc>
        <w:tc>
          <w:tcPr>
            <w:tcW w:type="dxa" w:w="5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Canonical JSON serialisation for deterministic hashing (Python standard library)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collections.deque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stdlib</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Rolling buffers in preprocessor, CI history, twin state history, exchange listings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datetime</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stdlib</w:t>
            </w:r>
          </w:p>
        </w:tc>
        <w:tc>
          <w:tcPr>
            <w:tcW w:type="dxa" w:w="5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Timestamp generation; property age computation; scenario time indexing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math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stdlib</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math.exp for logistic sigmoid in PDP; math.exp for CI computation</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copy</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stdlib</w:t>
            </w:r>
          </w:p>
        </w:tc>
        <w:tc>
          <w:tcPr>
            <w:tcW w:type="dxa" w:w="5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Deep copy of twin state for history recording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C6E" w:sz="14"/>
              <w:left w:val="single" w:color="D1D5DB" w:sz="1"/>
              <w:bottom w:val="single" w:color="D1D5DB" w:sz="1"/>
              <w:right w:val="single" w:color="D1D5DB" w:sz="1"/>
            </w:tcBorders>
            <w:shd w:fill="F0FDF4" w:val="clear"/>
            <w:tcMar>
              <w:top w:type="dxa" w:w="120"/>
              <w:left w:type="dxa" w:w="200"/>
              <w:bottom w:type="dxa" w:w="120"/>
              <w:right w:type="dxa" w:w="200"/>
            </w:tcMar>
          </w:tcPr>
          <w:p>
            <w:pPr>
              <w:spacing w:before="0" w:after="60"/>
            </w:pPr>
            <w:r>
              <w:rPr>
                <w:rFonts w:ascii="Arial" w:cs="Arial" w:eastAsia="Arial" w:hAnsi="Arial"/>
                <w:b/>
                <w:bCs/>
                <w:color w:val="0A8C6E"/>
                <w:sz w:val="20"/>
                <w:szCs w:val="20"/>
              </w:rPr>
              <w:t xml:space="preserve">Installation</w:t>
            </w:r>
          </w:p>
          <w:p>
            <w:pPr>
              <w:spacing w:before="0" w:after="0"/>
            </w:pPr>
            <w:r>
              <w:rPr>
                <w:rFonts w:ascii="Arial" w:cs="Arial" w:eastAsia="Arial" w:hAnsi="Arial"/>
                <w:color w:val="374151"/>
                <w:sz w:val="20"/>
                <w:szCs w:val="20"/>
              </w:rPr>
              <w:t xml:space="preserve">pip install streamlit numpy scipy plotly pandas
To run:  streamlit run digital_twin_exchange_v2.py</w:t>
            </w:r>
          </w:p>
        </w:tc>
      </w:tr>
    </w:tbl>
    <w:p>
      <w:pPr>
        <w:spacing w:before="100" w:after="0"/>
      </w:pPr>
      <w:r>
        <w:t xml:space="preserve"/>
      </w:r>
    </w:p>
    <w:p>
      <w:pPr>
        <w:spacing w:before="0"/>
      </w:pPr>
      <w:r>
        <w:br w:type="page"/>
      </w:r>
    </w:p>
    <w:p>
      <w:pPr>
        <w:pStyle w:val="Heading1"/>
        <w:spacing w:before="400" w:after="160"/>
      </w:pPr>
      <w:r>
        <w:rPr>
          <w:rFonts w:ascii="Arial" w:cs="Arial" w:eastAsia="Arial" w:hAnsi="Arial"/>
          <w:b/>
          <w:bCs/>
          <w:color w:val="0D2137"/>
          <w:sz w:val="40"/>
          <w:szCs w:val="40"/>
        </w:rPr>
        <w:t xml:space="preserve">10. Production Transition Roadmap</w:t>
      </w:r>
    </w:p>
    <w:p>
      <w:pPr>
        <w:spacing w:before="80" w:after="80" w:line="280"/>
        <w:jc w:val="left"/>
      </w:pPr>
      <w:r>
        <w:rPr>
          <w:rFonts w:ascii="Arial" w:cs="Arial" w:eastAsia="Arial" w:hAnsi="Arial"/>
          <w:b w:val="false"/>
          <w:bCs w:val="false"/>
          <w:i w:val="false"/>
          <w:iCs w:val="false"/>
          <w:color w:val="374151"/>
          <w:sz w:val="22"/>
          <w:szCs w:val="22"/>
        </w:rPr>
        <w:t xml:space="preserve">The current backend is a fully functional demonstration prototype. The following changes are required for production deployment, listed in implementation sequence:</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Phase 1 — Live Sensor Integration</w:t>
      </w:r>
    </w:p>
    <w:p>
      <w:pPr>
        <w:pStyle w:val="ListParagraph"/>
        <w:numPr>
          <w:ilvl w:val="0"/>
          <w:numId w:val="2"/>
        </w:numPr>
        <w:spacing w:before="40" w:after="40"/>
      </w:pPr>
      <w:r>
        <w:rPr>
          <w:rFonts w:ascii="Arial" w:cs="Arial" w:eastAsia="Arial" w:hAnsi="Arial"/>
          <w:color w:val="374151"/>
          <w:sz w:val="22"/>
          <w:szCs w:val="22"/>
        </w:rPr>
        <w:t xml:space="preserve">Replace ASHRAESensorEngine with a real sensor bridge class implementing the same seven-output interface contract</w:t>
      </w:r>
    </w:p>
    <w:p>
      <w:pPr>
        <w:pStyle w:val="ListParagraph"/>
        <w:numPr>
          <w:ilvl w:val="0"/>
          <w:numId w:val="2"/>
        </w:numPr>
        <w:spacing w:before="40" w:after="40"/>
      </w:pPr>
      <w:r>
        <w:rPr>
          <w:rFonts w:ascii="Arial" w:cs="Arial" w:eastAsia="Arial" w:hAnsi="Arial"/>
          <w:color w:val="374151"/>
          <w:sz w:val="22"/>
          <w:szCs w:val="22"/>
        </w:rPr>
        <w:t xml:space="preserve">Add persistent data storage (PostgreSQL or TimescaleDB) to replace the in-memory deque logs</w:t>
      </w:r>
    </w:p>
    <w:p>
      <w:pPr>
        <w:pStyle w:val="ListParagraph"/>
        <w:numPr>
          <w:ilvl w:val="0"/>
          <w:numId w:val="2"/>
        </w:numPr>
        <w:spacing w:before="40" w:after="40"/>
      </w:pPr>
      <w:r>
        <w:rPr>
          <w:rFonts w:ascii="Arial" w:cs="Arial" w:eastAsia="Arial" w:hAnsi="Arial"/>
          <w:color w:val="374151"/>
          <w:sz w:val="22"/>
          <w:szCs w:val="22"/>
        </w:rPr>
        <w:t xml:space="preserve">Add sensor health monitoring: detect and alert on missing, stuck, or out-of-range readings</w:t>
      </w:r>
    </w:p>
    <w:p>
      <w:pPr>
        <w:pStyle w:val="ListParagraph"/>
        <w:numPr>
          <w:ilvl w:val="0"/>
          <w:numId w:val="2"/>
        </w:numPr>
        <w:spacing w:before="40" w:after="40"/>
      </w:pPr>
      <w:r>
        <w:rPr>
          <w:rFonts w:ascii="Arial" w:cs="Arial" w:eastAsia="Arial" w:hAnsi="Arial"/>
          <w:color w:val="374151"/>
          <w:sz w:val="22"/>
          <w:szCs w:val="22"/>
        </w:rPr>
        <w:t xml:space="preserve">Implement sensor calibration configuration files (JSON or YAML) certified by a registered engineer</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Phase 2 — API Layer</w:t>
      </w:r>
    </w:p>
    <w:p>
      <w:pPr>
        <w:pStyle w:val="ListParagraph"/>
        <w:numPr>
          <w:ilvl w:val="0"/>
          <w:numId w:val="2"/>
        </w:numPr>
        <w:spacing w:before="40" w:after="40"/>
      </w:pPr>
      <w:r>
        <w:rPr>
          <w:rFonts w:ascii="Arial" w:cs="Arial" w:eastAsia="Arial" w:hAnsi="Arial"/>
          <w:color w:val="374151"/>
          <w:sz w:val="22"/>
          <w:szCs w:val="22"/>
        </w:rPr>
        <w:t xml:space="preserve">Expose RTPMV, health indicators, and valuation tokens via a REST API (FastAPI recommended)</w:t>
      </w:r>
    </w:p>
    <w:p>
      <w:pPr>
        <w:pStyle w:val="ListParagraph"/>
        <w:numPr>
          <w:ilvl w:val="0"/>
          <w:numId w:val="2"/>
        </w:numPr>
        <w:spacing w:before="40" w:after="40"/>
      </w:pPr>
      <w:r>
        <w:rPr>
          <w:rFonts w:ascii="Arial" w:cs="Arial" w:eastAsia="Arial" w:hAnsi="Arial"/>
          <w:color w:val="374151"/>
          <w:sz w:val="22"/>
          <w:szCs w:val="22"/>
        </w:rPr>
        <w:t xml:space="preserve">Implement webhook endpoints for push notifications on market control changes (HALTED, RESTRICTED)</w:t>
      </w:r>
    </w:p>
    <w:p>
      <w:pPr>
        <w:pStyle w:val="ListParagraph"/>
        <w:numPr>
          <w:ilvl w:val="0"/>
          <w:numId w:val="2"/>
        </w:numPr>
        <w:spacing w:before="40" w:after="40"/>
      </w:pPr>
      <w:r>
        <w:rPr>
          <w:rFonts w:ascii="Arial" w:cs="Arial" w:eastAsia="Arial" w:hAnsi="Arial"/>
          <w:color w:val="374151"/>
          <w:sz w:val="22"/>
          <w:szCs w:val="22"/>
        </w:rPr>
        <w:t xml:space="preserve">Add authentication and role-based access (portfolio manager vs. regulator vs. read-only API consumer)</w:t>
      </w:r>
    </w:p>
    <w:p>
      <w:pPr>
        <w:pStyle w:val="ListParagraph"/>
        <w:numPr>
          <w:ilvl w:val="0"/>
          <w:numId w:val="2"/>
        </w:numPr>
        <w:spacing w:before="40" w:after="40"/>
      </w:pPr>
      <w:r>
        <w:rPr>
          <w:rFonts w:ascii="Arial" w:cs="Arial" w:eastAsia="Arial" w:hAnsi="Arial"/>
          <w:color w:val="374151"/>
          <w:sz w:val="22"/>
          <w:szCs w:val="22"/>
        </w:rPr>
        <w:t xml:space="preserve">Integrate with existing property management systems via API adapters</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Phase 3 — Regulatory Hardening</w:t>
      </w:r>
    </w:p>
    <w:p>
      <w:pPr>
        <w:pStyle w:val="ListParagraph"/>
        <w:numPr>
          <w:ilvl w:val="0"/>
          <w:numId w:val="2"/>
        </w:numPr>
        <w:spacing w:before="40" w:after="40"/>
      </w:pPr>
      <w:r>
        <w:rPr>
          <w:rFonts w:ascii="Arial" w:cs="Arial" w:eastAsia="Arial" w:hAnsi="Arial"/>
          <w:color w:val="374151"/>
          <w:sz w:val="22"/>
          <w:szCs w:val="22"/>
        </w:rPr>
        <w:t xml:space="preserve">Move hash chain to an immutable append-only store (WORM storage or a permissioned ledger)</w:t>
      </w:r>
    </w:p>
    <w:p>
      <w:pPr>
        <w:pStyle w:val="ListParagraph"/>
        <w:numPr>
          <w:ilvl w:val="0"/>
          <w:numId w:val="2"/>
        </w:numPr>
        <w:spacing w:before="40" w:after="40"/>
      </w:pPr>
      <w:r>
        <w:rPr>
          <w:rFonts w:ascii="Arial" w:cs="Arial" w:eastAsia="Arial" w:hAnsi="Arial"/>
          <w:color w:val="374151"/>
          <w:sz w:val="22"/>
          <w:szCs w:val="22"/>
        </w:rPr>
        <w:t xml:space="preserve">Implement parameter versioning: when engineer-certified parameters are updated, the version change is itself recorded in the chain</w:t>
      </w:r>
    </w:p>
    <w:p>
      <w:pPr>
        <w:pStyle w:val="ListParagraph"/>
        <w:numPr>
          <w:ilvl w:val="0"/>
          <w:numId w:val="2"/>
        </w:numPr>
        <w:spacing w:before="40" w:after="40"/>
      </w:pPr>
      <w:r>
        <w:rPr>
          <w:rFonts w:ascii="Arial" w:cs="Arial" w:eastAsia="Arial" w:hAnsi="Arial"/>
          <w:color w:val="374151"/>
          <w:sz w:val="22"/>
          <w:szCs w:val="22"/>
        </w:rPr>
        <w:t xml:space="preserve">Add regulatory export endpoints producing audit packages in the format required by the relevant financial authority</w:t>
      </w:r>
    </w:p>
    <w:p>
      <w:pPr>
        <w:pStyle w:val="ListParagraph"/>
        <w:numPr>
          <w:ilvl w:val="0"/>
          <w:numId w:val="2"/>
        </w:numPr>
        <w:spacing w:before="40" w:after="40"/>
      </w:pPr>
      <w:r>
        <w:rPr>
          <w:rFonts w:ascii="Arial" w:cs="Arial" w:eastAsia="Arial" w:hAnsi="Arial"/>
          <w:color w:val="374151"/>
          <w:sz w:val="22"/>
          <w:szCs w:val="22"/>
        </w:rPr>
        <w:t xml:space="preserve">Implement the frozen parameter set feature described in the patent for statutory reporting mode</w:t>
      </w:r>
    </w:p>
    <w:p>
      <w:pPr>
        <w:spacing w:before="100" w:after="0"/>
      </w:pPr>
      <w:r>
        <w:t xml:space="preserve"/>
      </w:r>
    </w:p>
    <w:p>
      <w:pPr>
        <w:pStyle w:val="Heading3"/>
        <w:spacing w:before="240" w:after="80"/>
      </w:pPr>
      <w:r>
        <w:rPr>
          <w:rFonts w:ascii="Arial" w:cs="Arial" w:eastAsia="Arial" w:hAnsi="Arial"/>
          <w:b/>
          <w:bCs/>
          <w:color w:val="0E6DC2"/>
          <w:sz w:val="24"/>
          <w:szCs w:val="24"/>
        </w:rPr>
        <w:t xml:space="preserve">Phase 4 — Exchange Productionisation</w:t>
      </w:r>
    </w:p>
    <w:p>
      <w:pPr>
        <w:pStyle w:val="ListParagraph"/>
        <w:numPr>
          <w:ilvl w:val="0"/>
          <w:numId w:val="2"/>
        </w:numPr>
        <w:spacing w:before="40" w:after="40"/>
      </w:pPr>
      <w:r>
        <w:rPr>
          <w:rFonts w:ascii="Arial" w:cs="Arial" w:eastAsia="Arial" w:hAnsi="Arial"/>
          <w:color w:val="374151"/>
          <w:sz w:val="22"/>
          <w:szCs w:val="22"/>
        </w:rPr>
        <w:t xml:space="preserve">Replace simulated order book depth with real bid/ask orders from registered counterparties</w:t>
      </w:r>
    </w:p>
    <w:p>
      <w:pPr>
        <w:pStyle w:val="ListParagraph"/>
        <w:numPr>
          <w:ilvl w:val="0"/>
          <w:numId w:val="2"/>
        </w:numPr>
        <w:spacing w:before="40" w:after="40"/>
      </w:pPr>
      <w:r>
        <w:rPr>
          <w:rFonts w:ascii="Arial" w:cs="Arial" w:eastAsia="Arial" w:hAnsi="Arial"/>
          <w:color w:val="374151"/>
          <w:sz w:val="22"/>
          <w:szCs w:val="22"/>
        </w:rPr>
        <w:t xml:space="preserve">Implement transaction settlement logic for Murabahah, Ijarah, and Musharakah Mutanaqisah structures</w:t>
      </w:r>
    </w:p>
    <w:p>
      <w:pPr>
        <w:pStyle w:val="ListParagraph"/>
        <w:numPr>
          <w:ilvl w:val="0"/>
          <w:numId w:val="2"/>
        </w:numPr>
        <w:spacing w:before="40" w:after="40"/>
      </w:pPr>
      <w:r>
        <w:rPr>
          <w:rFonts w:ascii="Arial" w:cs="Arial" w:eastAsia="Arial" w:hAnsi="Arial"/>
          <w:color w:val="374151"/>
          <w:sz w:val="22"/>
          <w:szCs w:val="22"/>
        </w:rPr>
        <w:t xml:space="preserve">Add cross-property analytics: relative health ranking, portfolio-level aggregate health index, sector benchmarking</w:t>
      </w:r>
    </w:p>
    <w:p>
      <w:pPr>
        <w:pStyle w:val="ListParagraph"/>
        <w:numPr>
          <w:ilvl w:val="0"/>
          <w:numId w:val="2"/>
        </w:numPr>
        <w:spacing w:before="40" w:after="40"/>
      </w:pPr>
      <w:r>
        <w:rPr>
          <w:rFonts w:ascii="Arial" w:cs="Arial" w:eastAsia="Arial" w:hAnsi="Arial"/>
          <w:color w:val="374151"/>
          <w:sz w:val="22"/>
          <w:szCs w:val="22"/>
        </w:rPr>
        <w:t xml:space="preserve">Implement automatic restoration logic: when a HALTED property's sensor data recovers above thresholds, restore ACTIVE status with a logged audit event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4"/>
              <w:left w:val="single" w:color="D1D5DB" w:sz="1"/>
              <w:bottom w:val="single" w:color="D1D5DB" w:sz="1"/>
              <w:right w:val="single" w:color="D1D5DB" w:sz="1"/>
            </w:tcBorders>
            <w:shd w:fill="FFF7ED" w:val="clear"/>
            <w:tcMar>
              <w:top w:type="dxa" w:w="120"/>
              <w:left w:type="dxa" w:w="200"/>
              <w:bottom w:type="dxa" w:w="120"/>
              <w:right w:type="dxa" w:w="200"/>
            </w:tcMar>
          </w:tcPr>
          <w:p>
            <w:pPr>
              <w:spacing w:before="0" w:after="60"/>
            </w:pPr>
            <w:r>
              <w:rPr>
                <w:rFonts w:ascii="Arial" w:cs="Arial" w:eastAsia="Arial" w:hAnsi="Arial"/>
                <w:b/>
                <w:bCs/>
                <w:color w:val="92400E"/>
                <w:sz w:val="20"/>
                <w:szCs w:val="20"/>
              </w:rPr>
              <w:t xml:space="preserve">Architecture Stability Note</w:t>
            </w:r>
          </w:p>
          <w:p>
            <w:pPr>
              <w:spacing w:before="0" w:after="0"/>
            </w:pPr>
            <w:r>
              <w:rPr>
                <w:rFonts w:ascii="Arial" w:cs="Arial" w:eastAsia="Arial" w:hAnsi="Arial"/>
                <w:color w:val="374151"/>
                <w:sz w:val="20"/>
                <w:szCs w:val="20"/>
              </w:rPr>
              <w:t xml:space="preserve">The core pipeline — sensor interface, preprocessor, digital twin, indicators, valuation formula, hash chain, and exchange control rules — is patent-protected and architecturally stable. Production work is primarily additive (persistence, API, authentication, regulatory reporting) rather than structural. The six core classes do not need to change; they need to be wrapped in production infrastructure.</w:t>
            </w:r>
          </w:p>
        </w:tc>
      </w:tr>
    </w:tbl>
    <w:p>
      <w:pPr>
        <w:spacing w:before="10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6DC2" w:sz="6" w:space="4"/>
      </w:pBdr>
      <w:tabs>
        <w:tab w:val="right" w:pos="9026"/>
      </w:tabs>
      <w:spacing w:before="120" w:after="0"/>
    </w:pPr>
    <w:r>
      <w:rPr>
        <w:rFonts w:ascii="Arial" w:cs="Arial" w:eastAsia="Arial" w:hAnsi="Arial"/>
        <w:color w:val="6B7280"/>
        <w:sz w:val="16"/>
        <w:szCs w:val="16"/>
      </w:rPr>
      <w:t xml:space="preserve">Patent Pending · digital_twin_exchange_v2.py · TwinVal v2.0</w:t>
    </w:r>
    <w:r>
      <w:rPr>
        <w:rFonts w:ascii="Arial" w:cs="Arial" w:eastAsia="Arial" w:hAnsi="Arial"/>
        <w:sz w:val="16"/>
        <w:szCs w:val="16"/>
      </w:rPr>
      <w:t xml:space="preserve">	</w:t>
    </w:r>
    <w:r>
      <w:rPr>
        <w:rFonts w:ascii="Arial" w:cs="Arial" w:eastAsia="Arial" w:hAnsi="Arial"/>
        <w:color w:val="6B728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DC2" w:sz="6" w:space="4"/>
      </w:pBdr>
      <w:tabs>
        <w:tab w:val="right" w:pos="9026"/>
      </w:tabs>
      <w:spacing w:before="0" w:after="120"/>
    </w:pPr>
    <w:r>
      <w:rPr>
        <w:rFonts w:ascii="Arial" w:cs="Arial" w:eastAsia="Arial" w:hAnsi="Arial"/>
        <w:b/>
        <w:bCs/>
        <w:color w:val="0D2137"/>
        <w:sz w:val="18"/>
        <w:szCs w:val="18"/>
      </w:rPr>
      <w:t xml:space="preserve">TwinVal — Backend Architecture &amp; Technical Reference</w:t>
    </w:r>
    <w:r>
      <w:rPr>
        <w:rFonts w:ascii="Arial" w:cs="Arial" w:eastAsia="Arial" w:hAnsi="Arial"/>
        <w:sz w:val="18"/>
        <w:szCs w:val="18"/>
      </w:rPr>
      <w:t xml:space="preserve">	</w:t>
    </w:r>
    <w:r>
      <w:rPr>
        <w:rFonts w:ascii="Arial" w:cs="Arial" w:eastAsia="Arial" w:hAnsi="Arial"/>
        <w:i/>
        <w:iCs/>
        <w:color w:val="6B7280"/>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2137"/>
      <w:sz w:val="40"/>
      <w:szCs w:val="40"/>
    </w:rPr>
  </w:style>
  <w:style w:type="paragraph" w:styleId="Heading2">
    <w:name w:val="Heading 2"/>
    <w:basedOn w:val="Normal"/>
    <w:next w:val="Normal"/>
    <w:qFormat/>
    <w:pPr>
      <w:spacing w:before="320" w:after="100"/>
      <w:outlineLvl w:val="1"/>
    </w:pPr>
    <w:rPr>
      <w:rFonts w:ascii="Arial" w:cs="Arial" w:eastAsia="Arial" w:hAnsi="Arial"/>
      <w:b/>
      <w:bCs/>
      <w:color w:val="0D213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E6DC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2026-03-11T14:21:48.095Z</dcterms:created>
  <dcterms:modified xsi:type="dcterms:W3CDTF">2026-03-11T14:21:48.095Z</dcterms:modified>
</cp:coreProperties>
</file>

<file path=docProps/custom.xml><?xml version="1.0" encoding="utf-8"?>
<Properties xmlns="http://schemas.openxmlformats.org/officeDocument/2006/custom-properties" xmlns:vt="http://schemas.openxmlformats.org/officeDocument/2006/docPropsVTypes"/>
</file>