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100"/>
        <w:jc w:val="center"/>
      </w:pPr>
      <w:r>
        <w:rPr>
          <w:rFonts w:ascii="Arial" w:cs="Arial" w:eastAsia="Arial" w:hAnsi="Arial"/>
          <w:b/>
          <w:bCs/>
          <w:color w:val="0EA5E9"/>
          <w:sz w:val="80"/>
          <w:szCs w:val="80"/>
        </w:rPr>
        <w:t xml:space="preserve">TwinVal</w:t>
      </w:r>
    </w:p>
    <w:p>
      <w:pPr>
        <w:spacing w:before="0" w:after="80"/>
        <w:jc w:val="center"/>
      </w:pPr>
      <w:r>
        <w:rPr>
          <w:rFonts w:ascii="Arial" w:cs="Arial" w:eastAsia="Arial" w:hAnsi="Arial"/>
          <w:b/>
          <w:bCs/>
          <w:color w:val="0A1628"/>
          <w:sz w:val="42"/>
          <w:szCs w:val="42"/>
        </w:rPr>
        <w:t xml:space="preserve">REIT Portfolio Intelligence Dashboard</w:t>
      </w:r>
    </w:p>
    <w:p>
      <w:pPr>
        <w:spacing w:before="0" w:after="60"/>
        <w:jc w:val="center"/>
      </w:pPr>
      <w:r>
        <w:rPr>
          <w:rFonts w:ascii="Arial" w:cs="Arial" w:eastAsia="Arial" w:hAnsi="Arial"/>
          <w:color w:val="475569"/>
          <w:sz w:val="28"/>
          <w:szCs w:val="28"/>
        </w:rPr>
        <w:t xml:space="preserve">Product Documentation &amp; Feature Guide</w:t>
      </w:r>
    </w:p>
    <w:p>
      <w:pPr>
        <w:spacing w:before="0" w:after="0"/>
      </w:pPr>
      <w:r>
        <w:t xml:space="preserve"/>
      </w:r>
    </w:p>
    <w:p>
      <w:pPr>
        <w:spacing w:before="60" w:after="60"/>
        <w:jc w:val="center"/>
      </w:pPr>
      <w:r>
        <w:rPr>
          <w:rFonts w:ascii="Arial" w:cs="Arial" w:eastAsia="Arial" w:hAnsi="Arial"/>
          <w:color w:val="475569"/>
          <w:sz w:val="22"/>
          <w:szCs w:val="22"/>
        </w:rPr>
        <w:t xml:space="preserve">Real-Time Digital Twin Valuation  ·  ASHRAE GEPIII Profiles  ·  Patent Pending</w:t>
      </w:r>
    </w:p>
    <w:p>
      <w:pPr>
        <w:spacing w:before="40" w:after="40"/>
        <w:jc w:val="center"/>
      </w:pPr>
      <w:r>
        <w:rPr>
          <w:rFonts w:ascii="Arial" w:cs="Arial" w:eastAsia="Arial" w:hAnsi="Arial"/>
          <w:color w:val="475569"/>
          <w:sz w:val="22"/>
          <w:szCs w:val="22"/>
        </w:rPr>
        <w:t xml:space="preserve">Malaysia  ·  UAE  ·  Singapore  ·  Saudi Arabia  ·  Version 2.0</w:t>
      </w:r>
    </w:p>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0"/>
      </w:pPr>
      <w:r>
        <w:t xml:space="preserve"/>
      </w:r>
    </w:p>
    <w:p>
      <w:r>
        <w:br w:type="page"/>
      </w:r>
    </w:p>
    <w:p>
      <w:pPr>
        <w:pStyle w:val="Heading1"/>
        <w:spacing w:before="400" w:after="160"/>
      </w:pPr>
      <w:r>
        <w:rPr>
          <w:rFonts w:ascii="Arial" w:cs="Arial" w:eastAsia="Arial" w:hAnsi="Arial"/>
          <w:b/>
          <w:bCs/>
          <w:color w:val="0A1628"/>
          <w:sz w:val="40"/>
          <w:szCs w:val="40"/>
        </w:rPr>
        <w:t xml:space="preserve">1. Introduction</w:t>
      </w:r>
    </w:p>
    <w:p>
      <w:pPr>
        <w:spacing w:before="60" w:after="80"/>
      </w:pPr>
      <w:r>
        <w:rPr>
          <w:rFonts w:ascii="Arial" w:cs="Arial" w:eastAsia="Arial" w:hAnsi="Arial"/>
          <w:b w:val="false"/>
          <w:bCs w:val="false"/>
          <w:color w:val="1E293B"/>
          <w:sz w:val="22"/>
          <w:szCs w:val="22"/>
        </w:rPr>
        <w:t xml:space="preserve">TwinVal is a real-time property valuation and portfolio intelligence platform built specifically for Islamic REITs and institutional property stakeholders across Malaysia, the UAE, Singapore, and Saudi Arabia. It combines five core valuation indicators — Structural Health Factor (SHF), Environmental Stress Factor (ESF), Utility Systems Score (USS), Predictive Deterioration Penalty (PDP), and Confidence Index (CI) — computed from live IoT sensor data, to produce a continuously updated Real-Time Property Market Value (RTPMV) for every asset in a portfolio.</w:t>
      </w:r>
    </w:p>
    <w:p>
      <w:pPr>
        <w:spacing w:before="0" w:after="0"/>
      </w:pPr>
      <w:r>
        <w:t xml:space="preserve"/>
      </w:r>
    </w:p>
    <w:p>
      <w:pPr>
        <w:spacing w:before="60" w:after="80"/>
      </w:pPr>
      <w:r>
        <w:rPr>
          <w:rFonts w:ascii="Arial" w:cs="Arial" w:eastAsia="Arial" w:hAnsi="Arial"/>
          <w:b w:val="false"/>
          <w:bCs w:val="false"/>
          <w:color w:val="1E293B"/>
          <w:sz w:val="22"/>
          <w:szCs w:val="22"/>
        </w:rPr>
        <w:t xml:space="preserve">The TwinVal REIT Portfolio Intelligence Dashboard is the primary interface through which portfolio managers, asset managers, compliance officers, and investor relations teams interact with this valuation engine. The dashboard surfaces exactly the information these users need: live asset health, income analytics, tenant risk, capital structure metrics, exchange-ready bid/ask pricing, and a complete audit trail — all updated in real time from sensor data, and all grounded in engineer-certified parameters that satisfy the traceability requirements of Bank Negara Malaysia and equivalent regulators.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6"/>
              <w:left w:val="single" w:color="0EA5E9" w:sz="14"/>
              <w:bottom w:val="single" w:color="E2E8F0" w:sz="1"/>
              <w:right w:val="single" w:color="E2E8F0" w:sz="1"/>
            </w:tcBorders>
            <w:shd w:fill="EFF6FF" w:val="clear"/>
            <w:tcMar>
              <w:top w:type="dxa" w:w="120"/>
              <w:left w:type="dxa" w:w="200"/>
              <w:bottom w:type="dxa" w:w="120"/>
              <w:right w:type="dxa" w:w="180"/>
            </w:tcMar>
          </w:tcPr>
          <w:p>
            <w:pPr>
              <w:spacing w:before="0" w:after="60"/>
            </w:pPr>
            <w:r>
              <w:rPr>
                <w:rFonts w:ascii="Arial" w:cs="Arial" w:eastAsia="Arial" w:hAnsi="Arial"/>
                <w:b/>
                <w:bCs/>
                <w:color w:val="0A1628"/>
                <w:sz w:val="22"/>
                <w:szCs w:val="22"/>
              </w:rPr>
              <w:t xml:space="preserve">Core Value Proposition</w:t>
            </w:r>
          </w:p>
          <w:p>
            <w:pPr>
              <w:spacing w:before="0" w:after="0"/>
            </w:pPr>
            <w:r>
              <w:rPr>
                <w:rFonts w:ascii="Arial" w:cs="Arial" w:eastAsia="Arial" w:hAnsi="Arial"/>
                <w:color w:val="374151"/>
                <w:sz w:val="21"/>
                <w:szCs w:val="21"/>
              </w:rPr>
              <w:t xml:space="preserve">Where a traditional REIT relies on valuations conducted once or twice per year by an external valuer, TwinVal produces a continuously updated RTPMV every tick — modulated by live sensor readings, certified engineering thresholds, and portfolio manager overrides — providing a living picture of portfolio value that static appraisals simply cannot match.</w:t>
            </w:r>
          </w:p>
        </w:tc>
      </w:tr>
    </w:tbl>
    <w:p>
      <w:pPr>
        <w:spacing w:before="0" w:after="0"/>
      </w:pPr>
      <w:r>
        <w:t xml:space="preserve"/>
      </w:r>
    </w:p>
    <w:p>
      <w:pPr>
        <w:spacing w:before="60" w:after="80"/>
      </w:pPr>
      <w:r>
        <w:rPr>
          <w:rFonts w:ascii="Arial" w:cs="Arial" w:eastAsia="Arial" w:hAnsi="Arial"/>
          <w:b w:val="false"/>
          <w:bCs w:val="false"/>
          <w:color w:val="1E293B"/>
          <w:sz w:val="22"/>
          <w:szCs w:val="22"/>
        </w:rPr>
        <w:t xml:space="preserve">This document provides a detailed explanation of each tab in the dashboard, the specific functions and data displayed within each, the strategic and operational benefits these functions deliver, and a comparative analysis showing how TwinVal differs from the existing tools most REITs currently use.</w:t>
      </w:r>
    </w:p>
    <w:p>
      <w:pPr>
        <w:pBdr>
          <w:bottom w:val="single" w:color="CBD5E1" w:sz="4" w:space="1"/>
        </w:pBdr>
        <w:spacing w:before="160" w:after="160"/>
      </w:pPr>
      <w:r>
        <w:t xml:space="preserve"/>
      </w:r>
    </w:p>
    <w:p>
      <w:pPr>
        <w:pStyle w:val="Heading1"/>
        <w:spacing w:before="400" w:after="160"/>
      </w:pPr>
      <w:r>
        <w:rPr>
          <w:rFonts w:ascii="Arial" w:cs="Arial" w:eastAsia="Arial" w:hAnsi="Arial"/>
          <w:b/>
          <w:bCs/>
          <w:color w:val="0A1628"/>
          <w:sz w:val="40"/>
          <w:szCs w:val="40"/>
        </w:rPr>
        <w:t xml:space="preserve">2. Dashboard Overview &amp; Header KPIs</w:t>
      </w:r>
    </w:p>
    <w:p>
      <w:pPr>
        <w:spacing w:before="60" w:after="80"/>
      </w:pPr>
      <w:r>
        <w:rPr>
          <w:rFonts w:ascii="Arial" w:cs="Arial" w:eastAsia="Arial" w:hAnsi="Arial"/>
          <w:b w:val="false"/>
          <w:bCs w:val="false"/>
          <w:color w:val="1E293B"/>
          <w:sz w:val="22"/>
          <w:szCs w:val="22"/>
        </w:rPr>
        <w:t xml:space="preserve">Regardless of which tab is active, the dashboard header displays five live portfolio-level KPIs that provide an at-a-glance read on the entire portfolio at all times. These KPIs update on every sensor tick.</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rPr>
          <w:tblHeader/>
        </w:trPr>
        <w:tc>
          <w:tcPr>
            <w:tcW w:type="dxa" w:w="2200"/>
            <w:tcBorders>
              <w:top w:val="single" w:color="CBD5E1" w:sz="1"/>
              <w:left w:val="single" w:color="CBD5E1" w:sz="1"/>
              <w:bottom w:val="single" w:color="CBD5E1" w:sz="1"/>
              <w:right w:val="single" w:color="CBD5E1"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KPI</w:t>
            </w:r>
          </w:p>
        </w:tc>
        <w:tc>
          <w:tcPr>
            <w:tcW w:type="dxa" w:w="3480"/>
            <w:tcBorders>
              <w:top w:val="single" w:color="CBD5E1" w:sz="1"/>
              <w:left w:val="single" w:color="CBD5E1" w:sz="1"/>
              <w:bottom w:val="single" w:color="CBD5E1" w:sz="1"/>
              <w:right w:val="single" w:color="CBD5E1"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What It Shows</w:t>
            </w:r>
          </w:p>
        </w:tc>
        <w:tc>
          <w:tcPr>
            <w:tcW w:type="dxa" w:w="3680"/>
            <w:tcBorders>
              <w:top w:val="single" w:color="CBD5E1" w:sz="1"/>
              <w:left w:val="single" w:color="CBD5E1" w:sz="1"/>
              <w:bottom w:val="single" w:color="CBD5E1" w:sz="1"/>
              <w:right w:val="single" w:color="CBD5E1"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Benefit to Portfolio Manager</w:t>
            </w:r>
          </w:p>
        </w:tc>
      </w:tr>
      <w:tr>
        <w:trPr>
          <w:tblHeader w:val="false"/>
        </w:trPr>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20"/>
                <w:szCs w:val="20"/>
              </w:rPr>
              <w:t xml:space="preserve">Portfolio RTPMV</w:t>
            </w:r>
          </w:p>
        </w:tc>
        <w:tc>
          <w:tcPr>
            <w:tcW w:type="dxa" w:w="348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20"/>
                <w:szCs w:val="20"/>
              </w:rPr>
              <w:t xml:space="preserve">Total sensor-adjusted market value of all assets combined in RM</w:t>
            </w:r>
          </w:p>
        </w:tc>
        <w:tc>
          <w:tcPr>
            <w:tcW w:type="dxa" w:w="368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20"/>
                <w:szCs w:val="20"/>
              </w:rPr>
              <w:t xml:space="preserve">Replaces stale NAV figures with a continuously live portfolio valuation — critical for intraday risk monitoring</w:t>
            </w:r>
          </w:p>
        </w:tc>
      </w:tr>
      <w:tr>
        <w:trPr>
          <w:tblHeader w:val="false"/>
        </w:trPr>
        <w:tc>
          <w:tcPr>
            <w:tcW w:type="dxa" w:w="22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1E293B"/>
                <w:sz w:val="20"/>
                <w:szCs w:val="20"/>
              </w:rPr>
              <w:t xml:space="preserve">NAV / Unit</w:t>
            </w:r>
          </w:p>
        </w:tc>
        <w:tc>
          <w:tcPr>
            <w:tcW w:type="dxa" w:w="348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1E293B"/>
                <w:sz w:val="20"/>
                <w:szCs w:val="20"/>
              </w:rPr>
              <w:t xml:space="preserve">Net Asset Value per REIT unit — live RTPMV less total debt, divided by units outstanding</w:t>
            </w:r>
          </w:p>
        </w:tc>
        <w:tc>
          <w:tcPr>
            <w:tcW w:type="dxa" w:w="368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1E293B"/>
                <w:sz w:val="20"/>
                <w:szCs w:val="20"/>
              </w:rPr>
              <w:t xml:space="preserve">Portfolio managers see the P/NAV premium or discount updating live, not just at quarterly reporting</w:t>
            </w:r>
          </w:p>
        </w:tc>
      </w:tr>
      <w:tr>
        <w:trPr>
          <w:tblHeader w:val="false"/>
        </w:trPr>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20"/>
                <w:szCs w:val="20"/>
              </w:rPr>
              <w:t xml:space="preserve">Annualised DPU</w:t>
            </w:r>
          </w:p>
        </w:tc>
        <w:tc>
          <w:tcPr>
            <w:tcW w:type="dxa" w:w="348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20"/>
                <w:szCs w:val="20"/>
              </w:rPr>
              <w:t xml:space="preserve">Distributable income per unit annualised from current NPI projections</w:t>
            </w:r>
          </w:p>
        </w:tc>
        <w:tc>
          <w:tcPr>
            <w:tcW w:type="dxa" w:w="368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20"/>
                <w:szCs w:val="20"/>
              </w:rPr>
              <w:t xml:space="preserve">Aligns distribution expectations with real-time asset performance, not historical rental schedules</w:t>
            </w:r>
          </w:p>
        </w:tc>
      </w:tr>
      <w:tr>
        <w:trPr>
          <w:tblHeader w:val="false"/>
        </w:trPr>
        <w:tc>
          <w:tcPr>
            <w:tcW w:type="dxa" w:w="220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1E293B"/>
                <w:sz w:val="20"/>
                <w:szCs w:val="20"/>
              </w:rPr>
              <w:t xml:space="preserve">Gearing Ratio</w:t>
            </w:r>
          </w:p>
        </w:tc>
        <w:tc>
          <w:tcPr>
            <w:tcW w:type="dxa" w:w="348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1E293B"/>
                <w:sz w:val="20"/>
                <w:szCs w:val="20"/>
              </w:rPr>
              <w:t xml:space="preserve">Total debt as a percentage of live RTPMV, shown against the SC Malaysia 50% statutory limit</w:t>
            </w:r>
          </w:p>
        </w:tc>
        <w:tc>
          <w:tcPr>
            <w:tcW w:type="dxa" w:w="3680"/>
            <w:tcBorders>
              <w:top w:val="single" w:color="CBD5E1" w:sz="1"/>
              <w:left w:val="single" w:color="CBD5E1" w:sz="1"/>
              <w:bottom w:val="single" w:color="CBD5E1" w:sz="1"/>
              <w:right w:val="single" w:color="CBD5E1" w:sz="1"/>
            </w:tcBorders>
            <w:shd w:fill="F8FAFC" w:val="clear"/>
            <w:tcMar>
              <w:top w:type="dxa" w:w="90"/>
              <w:left w:type="dxa" w:w="140"/>
              <w:bottom w:type="dxa" w:w="90"/>
              <w:right w:type="dxa" w:w="140"/>
            </w:tcMar>
          </w:tcPr>
          <w:p>
            <w:r>
              <w:rPr>
                <w:rFonts w:ascii="Arial" w:cs="Arial" w:eastAsia="Arial" w:hAnsi="Arial"/>
                <w:b w:val="false"/>
                <w:bCs w:val="false"/>
                <w:color w:val="1E293B"/>
                <w:sz w:val="20"/>
                <w:szCs w:val="20"/>
              </w:rPr>
              <w:t xml:space="preserve">Continuous headroom monitoring prevents covenant breach surprises between reporting periods</w:t>
            </w:r>
          </w:p>
        </w:tc>
      </w:tr>
      <w:tr>
        <w:trPr>
          <w:tblHeader w:val="false"/>
        </w:trPr>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20"/>
                <w:szCs w:val="20"/>
              </w:rPr>
              <w:t xml:space="preserve">Portfolio WALE</w:t>
            </w:r>
          </w:p>
        </w:tc>
        <w:tc>
          <w:tcPr>
            <w:tcW w:type="dxa" w:w="348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20"/>
                <w:szCs w:val="20"/>
              </w:rPr>
              <w:t xml:space="preserve">Weighted Average Lease Expiry across all assets in years</w:t>
            </w:r>
          </w:p>
        </w:tc>
        <w:tc>
          <w:tcPr>
            <w:tcW w:type="dxa" w:w="368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20"/>
                <w:szCs w:val="20"/>
              </w:rPr>
              <w:t xml:space="preserve">Single-number income security indicator visible at all times, not buried in a quarterly report</w:t>
            </w:r>
          </w:p>
        </w:tc>
      </w:tr>
    </w:tbl>
    <w:p>
      <w:pPr>
        <w:pBdr>
          <w:bottom w:val="single" w:color="CBD5E1" w:sz="4" w:space="1"/>
        </w:pBdr>
        <w:spacing w:before="160" w:after="160"/>
      </w:pPr>
      <w:r>
        <w:t xml:space="preserve"/>
      </w:r>
    </w:p>
    <w:p>
      <w:pPr>
        <w:pStyle w:val="Heading1"/>
        <w:spacing w:before="400" w:after="160"/>
      </w:pPr>
      <w:r>
        <w:rPr>
          <w:rFonts w:ascii="Arial" w:cs="Arial" w:eastAsia="Arial" w:hAnsi="Arial"/>
          <w:b/>
          <w:bCs/>
          <w:color w:val="0A1628"/>
          <w:sz w:val="40"/>
          <w:szCs w:val="40"/>
        </w:rPr>
        <w:t xml:space="preserve">3. Portfolio Tab</w:t>
      </w:r>
    </w:p>
    <w:p>
      <w:pPr>
        <w:spacing w:before="60" w:after="80"/>
      </w:pPr>
      <w:r>
        <w:rPr>
          <w:rFonts w:ascii="Arial" w:cs="Arial" w:eastAsia="Arial" w:hAnsi="Arial"/>
          <w:b w:val="false"/>
          <w:bCs w:val="false"/>
          <w:color w:val="1E293B"/>
          <w:sz w:val="22"/>
          <w:szCs w:val="22"/>
        </w:rPr>
        <w:t xml:space="preserve">The Portfolio tab is the default landing view and serves as the command centre for the entire portfolio. It presents a unified, live-updating summary of all assets alongside sector composition and historical RTPMV trends.</w:t>
      </w:r>
    </w:p>
    <w:p>
      <w:pPr>
        <w:pStyle w:val="Heading3"/>
        <w:spacing w:before="240" w:after="80"/>
      </w:pPr>
      <w:r>
        <w:rPr>
          <w:rFonts w:ascii="Arial" w:cs="Arial" w:eastAsia="Arial" w:hAnsi="Arial"/>
          <w:b/>
          <w:bCs/>
          <w:color w:val="0EA5E9"/>
          <w:sz w:val="24"/>
          <w:szCs w:val="24"/>
        </w:rPr>
        <w:t xml:space="preserve">3.1  Asset Summary Table</w:t>
      </w:r>
    </w:p>
    <w:p>
      <w:pPr>
        <w:spacing w:before="60" w:after="80"/>
      </w:pPr>
      <w:r>
        <w:rPr>
          <w:rFonts w:ascii="Arial" w:cs="Arial" w:eastAsia="Arial" w:hAnsi="Arial"/>
          <w:b w:val="false"/>
          <w:bCs w:val="false"/>
          <w:color w:val="1E293B"/>
          <w:sz w:val="22"/>
          <w:szCs w:val="22"/>
        </w:rPr>
        <w:t xml:space="preserve">The central table lists every property in the portfolio with the following live metrics per row:</w:t>
      </w:r>
    </w:p>
    <w:p>
      <w:pPr>
        <w:pStyle w:val="ListParagraph"/>
        <w:numPr>
          <w:ilvl w:val="0"/>
          <w:numId w:val="2"/>
        </w:numPr>
        <w:spacing w:before="40" w:after="40"/>
      </w:pPr>
      <w:r>
        <w:rPr>
          <w:rFonts w:ascii="Arial" w:cs="Arial" w:eastAsia="Arial" w:hAnsi="Arial"/>
          <w:b w:val="false"/>
          <w:bCs w:val="false"/>
          <w:color w:val="1E293B"/>
          <w:sz w:val="22"/>
          <w:szCs w:val="22"/>
        </w:rPr>
        <w:t xml:space="preserve">Property name, asset type, and location</w:t>
      </w:r>
    </w:p>
    <w:p>
      <w:pPr>
        <w:pStyle w:val="ListParagraph"/>
        <w:numPr>
          <w:ilvl w:val="0"/>
          <w:numId w:val="2"/>
        </w:numPr>
        <w:spacing w:before="40" w:after="40"/>
      </w:pPr>
      <w:r>
        <w:rPr>
          <w:rFonts w:ascii="Arial" w:cs="Arial" w:eastAsia="Arial" w:hAnsi="Arial"/>
          <w:b w:val="false"/>
          <w:bCs w:val="false"/>
          <w:color w:val="1E293B"/>
          <w:sz w:val="22"/>
          <w:szCs w:val="22"/>
        </w:rPr>
        <w:t xml:space="preserve">Live RTPMV — sensor-adjusted market value, updated every tick</w:t>
      </w:r>
    </w:p>
    <w:p>
      <w:pPr>
        <w:pStyle w:val="ListParagraph"/>
        <w:numPr>
          <w:ilvl w:val="0"/>
          <w:numId w:val="2"/>
        </w:numPr>
        <w:spacing w:before="40" w:after="40"/>
      </w:pPr>
      <w:r>
        <w:rPr>
          <w:rFonts w:ascii="Arial" w:cs="Arial" w:eastAsia="Arial" w:hAnsi="Arial"/>
          <w:b w:val="false"/>
          <w:bCs w:val="false"/>
          <w:color w:val="1E293B"/>
          <w:sz w:val="22"/>
          <w:szCs w:val="22"/>
        </w:rPr>
        <w:t xml:space="preserve">Health score — composite 0–100 score from five sensor indicators (SHF, ESF, USS, PDP, CI)</w:t>
      </w:r>
    </w:p>
    <w:p>
      <w:pPr>
        <w:pStyle w:val="ListParagraph"/>
        <w:numPr>
          <w:ilvl w:val="0"/>
          <w:numId w:val="2"/>
        </w:numPr>
        <w:spacing w:before="40" w:after="40"/>
      </w:pPr>
      <w:r>
        <w:rPr>
          <w:rFonts w:ascii="Arial" w:cs="Arial" w:eastAsia="Arial" w:hAnsi="Arial"/>
          <w:b w:val="false"/>
          <w:bCs w:val="false"/>
          <w:color w:val="1E293B"/>
          <w:sz w:val="22"/>
          <w:szCs w:val="22"/>
        </w:rPr>
        <w:t xml:space="preserve">Occupancy percentage — derived from live sensor data (motion, access control, electrical load)</w:t>
      </w:r>
    </w:p>
    <w:p>
      <w:pPr>
        <w:pStyle w:val="ListParagraph"/>
        <w:numPr>
          <w:ilvl w:val="0"/>
          <w:numId w:val="2"/>
        </w:numPr>
        <w:spacing w:before="40" w:after="40"/>
      </w:pPr>
      <w:r>
        <w:rPr>
          <w:rFonts w:ascii="Arial" w:cs="Arial" w:eastAsia="Arial" w:hAnsi="Arial"/>
          <w:b w:val="false"/>
          <w:bCs w:val="false"/>
          <w:color w:val="1E293B"/>
          <w:sz w:val="22"/>
          <w:szCs w:val="22"/>
        </w:rPr>
        <w:t xml:space="preserve">WALE — weighted average lease expiry for the specific property</w:t>
      </w:r>
    </w:p>
    <w:p>
      <w:pPr>
        <w:spacing w:before="0" w:after="0"/>
      </w:pPr>
      <w:r>
        <w:t xml:space="preserve"/>
      </w:r>
    </w:p>
    <w:p>
      <w:pPr>
        <w:spacing w:before="60" w:after="80"/>
      </w:pPr>
      <w:r>
        <w:rPr>
          <w:rFonts w:ascii="Arial" w:cs="Arial" w:eastAsia="Arial" w:hAnsi="Arial"/>
          <w:b w:val="false"/>
          <w:bCs w:val="false"/>
          <w:color w:val="1E293B"/>
          <w:sz w:val="22"/>
          <w:szCs w:val="22"/>
        </w:rPr>
        <w:t xml:space="preserve">Each row is clickable and navigates directly to the Property Detail tab pre-loaded for that asset, reducing the drill-down path to a single click.</w:t>
      </w:r>
    </w:p>
    <w:p>
      <w:pPr>
        <w:pStyle w:val="Heading3"/>
        <w:spacing w:before="240" w:after="80"/>
      </w:pPr>
      <w:r>
        <w:rPr>
          <w:rFonts w:ascii="Arial" w:cs="Arial" w:eastAsia="Arial" w:hAnsi="Arial"/>
          <w:b/>
          <w:bCs/>
          <w:color w:val="0EA5E9"/>
          <w:sz w:val="24"/>
          <w:szCs w:val="24"/>
        </w:rPr>
        <w:t xml:space="preserve">3.2  Sector Diversification Chart</w:t>
      </w:r>
    </w:p>
    <w:p>
      <w:pPr>
        <w:spacing w:before="60" w:after="80"/>
      </w:pPr>
      <w:r>
        <w:rPr>
          <w:rFonts w:ascii="Arial" w:cs="Arial" w:eastAsia="Arial" w:hAnsi="Arial"/>
          <w:b w:val="false"/>
          <w:bCs w:val="false"/>
          <w:color w:val="1E293B"/>
          <w:sz w:val="22"/>
          <w:szCs w:val="22"/>
        </w:rPr>
        <w:t xml:space="preserve">A live donut chart displays portfolio weighting by sector (Grade A Office, Industrial/Data Centre, Healthcare, Retail, Logistics) based on government valuation as the denominator. This provides a stable, regulatory-consistent view of sector exposure that REIT investment mandates and prospectuses refer to.</w:t>
      </w:r>
    </w:p>
    <w:p>
      <w:pPr>
        <w:pStyle w:val="Heading3"/>
        <w:spacing w:before="240" w:after="80"/>
      </w:pPr>
      <w:r>
        <w:rPr>
          <w:rFonts w:ascii="Arial" w:cs="Arial" w:eastAsia="Arial" w:hAnsi="Arial"/>
          <w:b/>
          <w:bCs/>
          <w:color w:val="0EA5E9"/>
          <w:sz w:val="24"/>
          <w:szCs w:val="24"/>
        </w:rPr>
        <w:t xml:space="preserve">3.3  Live RTPMV History Chart</w:t>
      </w:r>
    </w:p>
    <w:p>
      <w:pPr>
        <w:spacing w:before="60" w:after="80"/>
      </w:pPr>
      <w:r>
        <w:rPr>
          <w:rFonts w:ascii="Arial" w:cs="Arial" w:eastAsia="Arial" w:hAnsi="Arial"/>
          <w:b w:val="false"/>
          <w:bCs w:val="false"/>
          <w:color w:val="1E293B"/>
          <w:sz w:val="22"/>
          <w:szCs w:val="22"/>
        </w:rPr>
        <w:t xml:space="preserve">A scrolling area chart shows the portfolio RTPMV trend over the last 60 sensor ticks. Portfolio managers can see whether aggregate value is trending up, down, or stable — and correlate movements with known events such as maintenance completions, occupancy changes, or environmental incidents.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6"/>
              <w:left w:val="single" w:color="10B981" w:sz="14"/>
              <w:bottom w:val="single" w:color="E2E8F0" w:sz="1"/>
              <w:right w:val="single" w:color="E2E8F0" w:sz="1"/>
            </w:tcBorders>
            <w:shd w:fill="F0FDF4" w:val="clear"/>
            <w:tcMar>
              <w:top w:type="dxa" w:w="120"/>
              <w:left w:type="dxa" w:w="200"/>
              <w:bottom w:type="dxa" w:w="120"/>
              <w:right w:type="dxa" w:w="180"/>
            </w:tcMar>
          </w:tcPr>
          <w:p>
            <w:pPr>
              <w:spacing w:before="0" w:after="60"/>
            </w:pPr>
            <w:r>
              <w:rPr>
                <w:rFonts w:ascii="Arial" w:cs="Arial" w:eastAsia="Arial" w:hAnsi="Arial"/>
                <w:b/>
                <w:bCs/>
                <w:color w:val="0A1628"/>
                <w:sz w:val="22"/>
                <w:szCs w:val="22"/>
              </w:rPr>
              <w:t xml:space="preserve">Why This Matters</w:t>
            </w:r>
          </w:p>
          <w:p>
            <w:pPr>
              <w:spacing w:before="0" w:after="0"/>
            </w:pPr>
            <w:r>
              <w:rPr>
                <w:rFonts w:ascii="Arial" w:cs="Arial" w:eastAsia="Arial" w:hAnsi="Arial"/>
                <w:color w:val="374151"/>
                <w:sz w:val="21"/>
                <w:szCs w:val="21"/>
              </w:rPr>
              <w:t xml:space="preserve">Most REIT portfolio screens show a static table of properties last valued 6–12 months ago. The TwinVal Portfolio tab replaces this with a live, sensor-verified view where every figure is current. A portfolio manager can open this tab at 9:00 AM and know they are seeing today's picture, not last quarter's.</w:t>
            </w:r>
          </w:p>
        </w:tc>
      </w:tr>
    </w:tbl>
    <w:p>
      <w:pPr>
        <w:pBdr>
          <w:bottom w:val="single" w:color="CBD5E1" w:sz="4" w:space="1"/>
        </w:pBdr>
        <w:spacing w:before="160" w:after="160"/>
      </w:pPr>
      <w:r>
        <w:t xml:space="preserve"/>
      </w:r>
    </w:p>
    <w:p>
      <w:pPr>
        <w:pStyle w:val="Heading1"/>
        <w:spacing w:before="400" w:after="160"/>
      </w:pPr>
      <w:r>
        <w:rPr>
          <w:rFonts w:ascii="Arial" w:cs="Arial" w:eastAsia="Arial" w:hAnsi="Arial"/>
          <w:b/>
          <w:bCs/>
          <w:color w:val="0A1628"/>
          <w:sz w:val="40"/>
          <w:szCs w:val="40"/>
        </w:rPr>
        <w:t xml:space="preserve">4. Income &amp; DPU Tab</w:t>
      </w:r>
    </w:p>
    <w:p>
      <w:pPr>
        <w:spacing w:before="60" w:after="80"/>
      </w:pPr>
      <w:r>
        <w:rPr>
          <w:rFonts w:ascii="Arial" w:cs="Arial" w:eastAsia="Arial" w:hAnsi="Arial"/>
          <w:b w:val="false"/>
          <w:bCs w:val="false"/>
          <w:color w:val="1E293B"/>
          <w:sz w:val="22"/>
          <w:szCs w:val="22"/>
        </w:rPr>
        <w:t xml:space="preserve">The Income &amp; DPU tab translates live property performance into the financial metrics that matter most to REIT investors and analysts: income, distributable income, yield, and margin. All figures are derived from live sensor data and current lease schedules.</w:t>
      </w:r>
    </w:p>
    <w:p>
      <w:pPr>
        <w:pStyle w:val="Heading3"/>
        <w:spacing w:before="240" w:after="80"/>
      </w:pPr>
      <w:r>
        <w:rPr>
          <w:rFonts w:ascii="Arial" w:cs="Arial" w:eastAsia="Arial" w:hAnsi="Arial"/>
          <w:b/>
          <w:bCs/>
          <w:color w:val="0EA5E9"/>
          <w:sz w:val="24"/>
          <w:szCs w:val="24"/>
        </w:rPr>
        <w:t xml:space="preserve">4.1  Income Waterfall</w:t>
      </w:r>
    </w:p>
    <w:p>
      <w:pPr>
        <w:spacing w:before="60" w:after="80"/>
      </w:pPr>
      <w:r>
        <w:rPr>
          <w:rFonts w:ascii="Arial" w:cs="Arial" w:eastAsia="Arial" w:hAnsi="Arial"/>
          <w:b w:val="false"/>
          <w:bCs w:val="false"/>
          <w:color w:val="1E293B"/>
          <w:sz w:val="22"/>
          <w:szCs w:val="22"/>
        </w:rPr>
        <w:t xml:space="preserve">A horizontal waterfall chart shows the progression from Gross Rental Income (GRI) down to Distributable Income, with each intermediate step clearly labelled:</w:t>
      </w:r>
    </w:p>
    <w:p>
      <w:pPr>
        <w:pStyle w:val="ListParagraph"/>
        <w:numPr>
          <w:ilvl w:val="0"/>
          <w:numId w:val="2"/>
        </w:numPr>
        <w:spacing w:before="40" w:after="40"/>
      </w:pPr>
      <w:r>
        <w:rPr>
          <w:rFonts w:ascii="Arial" w:cs="Arial" w:eastAsia="Arial" w:hAnsi="Arial"/>
          <w:b w:val="false"/>
          <w:bCs w:val="false"/>
          <w:color w:val="1E293B"/>
          <w:sz w:val="22"/>
          <w:szCs w:val="22"/>
        </w:rPr>
        <w:t xml:space="preserve">Gross Rental Income (GRI) — total contracted rental income across all leases</w:t>
      </w:r>
    </w:p>
    <w:p>
      <w:pPr>
        <w:pStyle w:val="ListParagraph"/>
        <w:numPr>
          <w:ilvl w:val="0"/>
          <w:numId w:val="2"/>
        </w:numPr>
        <w:spacing w:before="40" w:after="40"/>
      </w:pPr>
      <w:r>
        <w:rPr>
          <w:rFonts w:ascii="Arial" w:cs="Arial" w:eastAsia="Arial" w:hAnsi="Arial"/>
          <w:b w:val="false"/>
          <w:bCs w:val="false"/>
          <w:color w:val="1E293B"/>
          <w:sz w:val="22"/>
          <w:szCs w:val="22"/>
        </w:rPr>
        <w:t xml:space="preserve">Operating Expenses — property-level costs including maintenance, management, and utilities</w:t>
      </w:r>
    </w:p>
    <w:p>
      <w:pPr>
        <w:pStyle w:val="ListParagraph"/>
        <w:numPr>
          <w:ilvl w:val="0"/>
          <w:numId w:val="2"/>
        </w:numPr>
        <w:spacing w:before="40" w:after="40"/>
      </w:pPr>
      <w:r>
        <w:rPr>
          <w:rFonts w:ascii="Arial" w:cs="Arial" w:eastAsia="Arial" w:hAnsi="Arial"/>
          <w:b w:val="false"/>
          <w:bCs w:val="false"/>
          <w:color w:val="1E293B"/>
          <w:sz w:val="22"/>
          <w:szCs w:val="22"/>
        </w:rPr>
        <w:t xml:space="preserve">Net Property Income (NPI) — GRI less operating expenses; the core measure of property profitability</w:t>
      </w:r>
    </w:p>
    <w:p>
      <w:pPr>
        <w:pStyle w:val="ListParagraph"/>
        <w:numPr>
          <w:ilvl w:val="0"/>
          <w:numId w:val="2"/>
        </w:numPr>
        <w:spacing w:before="40" w:after="40"/>
      </w:pPr>
      <w:r>
        <w:rPr>
          <w:rFonts w:ascii="Arial" w:cs="Arial" w:eastAsia="Arial" w:hAnsi="Arial"/>
          <w:b w:val="false"/>
          <w:bCs w:val="false"/>
          <w:color w:val="1E293B"/>
          <w:sz w:val="22"/>
          <w:szCs w:val="22"/>
        </w:rPr>
        <w:t xml:space="preserve">Interest Expense — financing costs on total debt at current weighted average cost</w:t>
      </w:r>
    </w:p>
    <w:p>
      <w:pPr>
        <w:pStyle w:val="ListParagraph"/>
        <w:numPr>
          <w:ilvl w:val="0"/>
          <w:numId w:val="2"/>
        </w:numPr>
        <w:spacing w:before="40" w:after="40"/>
      </w:pPr>
      <w:r>
        <w:rPr>
          <w:rFonts w:ascii="Arial" w:cs="Arial" w:eastAsia="Arial" w:hAnsi="Arial"/>
          <w:b w:val="false"/>
          <w:bCs w:val="false"/>
          <w:color w:val="1E293B"/>
          <w:sz w:val="22"/>
          <w:szCs w:val="22"/>
        </w:rPr>
        <w:t xml:space="preserve">Management Fee and Trustee Fee — REIT manager and trustee fees at contracted rates</w:t>
      </w:r>
    </w:p>
    <w:p>
      <w:pPr>
        <w:pStyle w:val="ListParagraph"/>
        <w:numPr>
          <w:ilvl w:val="0"/>
          <w:numId w:val="2"/>
        </w:numPr>
        <w:spacing w:before="40" w:after="40"/>
      </w:pPr>
      <w:r>
        <w:rPr>
          <w:rFonts w:ascii="Arial" w:cs="Arial" w:eastAsia="Arial" w:hAnsi="Arial"/>
          <w:b w:val="false"/>
          <w:bCs w:val="false"/>
          <w:color w:val="1E293B"/>
          <w:sz w:val="22"/>
          <w:szCs w:val="22"/>
        </w:rPr>
        <w:t xml:space="preserve">Distributable Income — the bottom line available for distribution to unitholders</w:t>
      </w:r>
    </w:p>
    <w:p>
      <w:pPr>
        <w:spacing w:before="0" w:after="0"/>
      </w:pPr>
      <w:r>
        <w:t xml:space="preserve"/>
      </w:r>
    </w:p>
    <w:p>
      <w:pPr>
        <w:spacing w:before="60" w:after="80"/>
      </w:pPr>
      <w:r>
        <w:rPr>
          <w:rFonts w:ascii="Arial" w:cs="Arial" w:eastAsia="Arial" w:hAnsi="Arial"/>
          <w:b w:val="false"/>
          <w:bCs w:val="false"/>
          <w:color w:val="1E293B"/>
          <w:sz w:val="22"/>
          <w:szCs w:val="22"/>
        </w:rPr>
        <w:t xml:space="preserve">The waterfall gives finance teams an immediately legible view of where income is being consumed — critical for explaining DPU movements to investors or auditors.</w:t>
      </w:r>
    </w:p>
    <w:p>
      <w:pPr>
        <w:pStyle w:val="Heading3"/>
        <w:spacing w:before="240" w:after="80"/>
      </w:pPr>
      <w:r>
        <w:rPr>
          <w:rFonts w:ascii="Arial" w:cs="Arial" w:eastAsia="Arial" w:hAnsi="Arial"/>
          <w:b/>
          <w:bCs/>
          <w:color w:val="0EA5E9"/>
          <w:sz w:val="24"/>
          <w:szCs w:val="24"/>
        </w:rPr>
        <w:t xml:space="preserve">4.2  NPI by Property</w:t>
      </w:r>
    </w:p>
    <w:p>
      <w:pPr>
        <w:spacing w:before="60" w:after="80"/>
      </w:pPr>
      <w:r>
        <w:rPr>
          <w:rFonts w:ascii="Arial" w:cs="Arial" w:eastAsia="Arial" w:hAnsi="Arial"/>
          <w:b w:val="false"/>
          <w:bCs w:val="false"/>
          <w:color w:val="1E293B"/>
          <w:sz w:val="22"/>
          <w:szCs w:val="22"/>
        </w:rPr>
        <w:t xml:space="preserve">A horizontal bar chart breaks Net Property Income by individual asset, allowing portfolio managers to identify the strongest income contributors and underperforming assets. Properties with high RTPMV but low NPI may indicate valuation risk or operational inefficiency.</w:t>
      </w:r>
    </w:p>
    <w:p>
      <w:pPr>
        <w:pStyle w:val="Heading3"/>
        <w:spacing w:before="240" w:after="80"/>
      </w:pPr>
      <w:r>
        <w:rPr>
          <w:rFonts w:ascii="Arial" w:cs="Arial" w:eastAsia="Arial" w:hAnsi="Arial"/>
          <w:b/>
          <w:bCs/>
          <w:color w:val="0EA5E9"/>
          <w:sz w:val="24"/>
          <w:szCs w:val="24"/>
        </w:rPr>
        <w:t xml:space="preserve">4.3  DPU Metrics Panel</w:t>
      </w:r>
    </w:p>
    <w:p>
      <w:pPr>
        <w:spacing w:before="60" w:after="80"/>
      </w:pPr>
      <w:r>
        <w:rPr>
          <w:rFonts w:ascii="Arial" w:cs="Arial" w:eastAsia="Arial" w:hAnsi="Arial"/>
          <w:b w:val="false"/>
          <w:bCs w:val="false"/>
          <w:color w:val="1E293B"/>
          <w:sz w:val="22"/>
          <w:szCs w:val="22"/>
        </w:rPr>
        <w:t xml:space="preserve">A structured summary table on the right displays GRI, NPI, NPI Margin, Interest Expense, Management Fee, Trustee Fee, Distributable Income, Units Outstanding, annualised DPU in sen, Dividend Yield, and per-property occupancy bars for cross-reference.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6"/>
              <w:left w:val="single" w:color="F59E0B" w:sz="14"/>
              <w:bottom w:val="single" w:color="E2E8F0" w:sz="1"/>
              <w:right w:val="single" w:color="E2E8F0" w:sz="1"/>
            </w:tcBorders>
            <w:shd w:fill="FFFBEB" w:val="clear"/>
            <w:tcMar>
              <w:top w:type="dxa" w:w="120"/>
              <w:left w:type="dxa" w:w="200"/>
              <w:bottom w:type="dxa" w:w="120"/>
              <w:right w:type="dxa" w:w="180"/>
            </w:tcMar>
          </w:tcPr>
          <w:p>
            <w:pPr>
              <w:spacing w:before="0" w:after="60"/>
            </w:pPr>
            <w:r>
              <w:rPr>
                <w:rFonts w:ascii="Arial" w:cs="Arial" w:eastAsia="Arial" w:hAnsi="Arial"/>
                <w:b/>
                <w:bCs/>
                <w:color w:val="0A1628"/>
                <w:sz w:val="22"/>
                <w:szCs w:val="22"/>
              </w:rPr>
              <w:t xml:space="preserve">Regulatory Relevance</w:t>
            </w:r>
          </w:p>
          <w:p>
            <w:pPr>
              <w:spacing w:before="0" w:after="0"/>
            </w:pPr>
            <w:r>
              <w:rPr>
                <w:rFonts w:ascii="Arial" w:cs="Arial" w:eastAsia="Arial" w:hAnsi="Arial"/>
                <w:color w:val="374151"/>
                <w:sz w:val="21"/>
                <w:szCs w:val="21"/>
              </w:rPr>
              <w:t xml:space="preserve">SC Malaysia requires REITs to distribute at least 90% of distributable income to maintain tax-exempt status. The Income &amp; DPU tab gives compliance teams a live view of the distributable income figure so they can project distribution capacity continuously, not just at each accounting period end.</w:t>
            </w:r>
          </w:p>
        </w:tc>
      </w:tr>
    </w:tbl>
    <w:p>
      <w:pPr>
        <w:pBdr>
          <w:bottom w:val="single" w:color="CBD5E1" w:sz="4" w:space="1"/>
        </w:pBdr>
        <w:spacing w:before="160" w:after="160"/>
      </w:pPr>
      <w:r>
        <w:t xml:space="preserve"/>
      </w:r>
    </w:p>
    <w:p>
      <w:pPr>
        <w:pStyle w:val="Heading1"/>
        <w:spacing w:before="400" w:after="160"/>
      </w:pPr>
      <w:r>
        <w:rPr>
          <w:rFonts w:ascii="Arial" w:cs="Arial" w:eastAsia="Arial" w:hAnsi="Arial"/>
          <w:b/>
          <w:bCs/>
          <w:color w:val="0A1628"/>
          <w:sz w:val="40"/>
          <w:szCs w:val="40"/>
        </w:rPr>
        <w:t xml:space="preserve">5. Tenants &amp; Leases Tab</w:t>
      </w:r>
    </w:p>
    <w:p>
      <w:pPr>
        <w:spacing w:before="60" w:after="80"/>
      </w:pPr>
      <w:r>
        <w:rPr>
          <w:rFonts w:ascii="Arial" w:cs="Arial" w:eastAsia="Arial" w:hAnsi="Arial"/>
          <w:b w:val="false"/>
          <w:bCs w:val="false"/>
          <w:color w:val="1E293B"/>
          <w:sz w:val="22"/>
          <w:szCs w:val="22"/>
        </w:rPr>
        <w:t xml:space="preserve">The Tenants &amp; Leases tab surfaces the income security and concentration risk profile of the portfolio — the two questions most frequently asked by institutional investors and rating agencies when evaluating a REIT.</w:t>
      </w:r>
    </w:p>
    <w:p>
      <w:pPr>
        <w:pStyle w:val="Heading3"/>
        <w:spacing w:before="240" w:after="80"/>
      </w:pPr>
      <w:r>
        <w:rPr>
          <w:rFonts w:ascii="Arial" w:cs="Arial" w:eastAsia="Arial" w:hAnsi="Arial"/>
          <w:b/>
          <w:bCs/>
          <w:color w:val="0EA5E9"/>
          <w:sz w:val="24"/>
          <w:szCs w:val="24"/>
        </w:rPr>
        <w:t xml:space="preserve">5.1  WALE by Property</w:t>
      </w:r>
    </w:p>
    <w:p>
      <w:pPr>
        <w:spacing w:before="60" w:after="80"/>
      </w:pPr>
      <w:r>
        <w:rPr>
          <w:rFonts w:ascii="Arial" w:cs="Arial" w:eastAsia="Arial" w:hAnsi="Arial"/>
          <w:b w:val="false"/>
          <w:bCs w:val="false"/>
          <w:color w:val="1E293B"/>
          <w:sz w:val="22"/>
          <w:szCs w:val="22"/>
        </w:rPr>
        <w:t xml:space="preserve">A bar chart shows the Weighted Average Lease Expiry for each property in years, with a benchmark line at 3 years. Properties below this threshold are visually flagged as higher refinancing and vacancy risk. Colour coding (green, amber, red) allows immediate identification of at-risk assets.</w:t>
      </w:r>
    </w:p>
    <w:p>
      <w:pPr>
        <w:pStyle w:val="Heading3"/>
        <w:spacing w:before="240" w:after="80"/>
      </w:pPr>
      <w:r>
        <w:rPr>
          <w:rFonts w:ascii="Arial" w:cs="Arial" w:eastAsia="Arial" w:hAnsi="Arial"/>
          <w:b/>
          <w:bCs/>
          <w:color w:val="0EA5E9"/>
          <w:sz w:val="24"/>
          <w:szCs w:val="24"/>
        </w:rPr>
        <w:t xml:space="preserve">5.2  Lease Expiry Profile</w:t>
      </w:r>
    </w:p>
    <w:p>
      <w:pPr>
        <w:spacing w:before="60" w:after="80"/>
      </w:pPr>
      <w:r>
        <w:rPr>
          <w:rFonts w:ascii="Arial" w:cs="Arial" w:eastAsia="Arial" w:hAnsi="Arial"/>
          <w:b w:val="false"/>
          <w:bCs w:val="false"/>
          <w:color w:val="1E293B"/>
          <w:sz w:val="22"/>
          <w:szCs w:val="22"/>
        </w:rPr>
        <w:t xml:space="preserve">A bar chart shows what percentage of leases expire in each year from the current date through 2029+, for the selected property. This is the standard REIT lease maturity schedule used in annual reports and investor presentations — here updated live based on current occupancy data rather than a static schedule.</w:t>
      </w:r>
    </w:p>
    <w:p>
      <w:pPr>
        <w:pStyle w:val="Heading3"/>
        <w:spacing w:before="240" w:after="80"/>
      </w:pPr>
      <w:r>
        <w:rPr>
          <w:rFonts w:ascii="Arial" w:cs="Arial" w:eastAsia="Arial" w:hAnsi="Arial"/>
          <w:b/>
          <w:bCs/>
          <w:color w:val="0EA5E9"/>
          <w:sz w:val="24"/>
          <w:szCs w:val="24"/>
        </w:rPr>
        <w:t xml:space="preserve">5.3  Tenant Concentration Risk</w:t>
      </w:r>
    </w:p>
    <w:p>
      <w:pPr>
        <w:spacing w:before="60" w:after="80"/>
      </w:pPr>
      <w:r>
        <w:rPr>
          <w:rFonts w:ascii="Arial" w:cs="Arial" w:eastAsia="Arial" w:hAnsi="Arial"/>
          <w:b w:val="false"/>
          <w:bCs w:val="false"/>
          <w:color w:val="1E293B"/>
          <w:sz w:val="22"/>
          <w:szCs w:val="22"/>
        </w:rPr>
        <w:t xml:space="preserve">Five cards, one per property, show the top tenants by income contribution and their percentage of that asset's gross rental income. A warning badge appears when any single tenant represents more than 30–40% of an asset's income — a threshold scrutinised by credit analysts assessing single-tenant risk. Examples from the dashboard:</w:t>
      </w:r>
    </w:p>
    <w:p>
      <w:pPr>
        <w:pStyle w:val="ListParagraph"/>
        <w:numPr>
          <w:ilvl w:val="0"/>
          <w:numId w:val="2"/>
        </w:numPr>
        <w:spacing w:before="40" w:after="40"/>
      </w:pPr>
      <w:r>
        <w:rPr>
          <w:rFonts w:ascii="Arial" w:cs="Arial" w:eastAsia="Arial" w:hAnsi="Arial"/>
          <w:b w:val="false"/>
          <w:bCs w:val="false"/>
          <w:color w:val="1E293B"/>
          <w:sz w:val="22"/>
          <w:szCs w:val="22"/>
        </w:rPr>
        <w:t xml:space="preserve">KLCC Tower: Petronas 28%, HSBC Malaysia 19%, McKinsey &amp; Co 12%, Others 41% — diversified</w:t>
      </w:r>
    </w:p>
    <w:p>
      <w:pPr>
        <w:pStyle w:val="ListParagraph"/>
        <w:numPr>
          <w:ilvl w:val="0"/>
          <w:numId w:val="2"/>
        </w:numPr>
        <w:spacing w:before="40" w:after="40"/>
      </w:pPr>
      <w:r>
        <w:rPr>
          <w:rFonts w:ascii="Arial" w:cs="Arial" w:eastAsia="Arial" w:hAnsi="Arial"/>
          <w:b w:val="false"/>
          <w:bCs w:val="false"/>
          <w:color w:val="1E293B"/>
          <w:sz w:val="22"/>
          <w:szCs w:val="22"/>
        </w:rPr>
        <w:t xml:space="preserve">Axis Shah Alam DC: AWS Malaysia 45% — concentration risk alert triggered</w:t>
      </w:r>
    </w:p>
    <w:p>
      <w:pPr>
        <w:pStyle w:val="ListParagraph"/>
        <w:numPr>
          <w:ilvl w:val="0"/>
          <w:numId w:val="2"/>
        </w:numPr>
        <w:spacing w:before="40" w:after="40"/>
      </w:pPr>
      <w:r>
        <w:rPr>
          <w:rFonts w:ascii="Arial" w:cs="Arial" w:eastAsia="Arial" w:hAnsi="Arial"/>
          <w:b w:val="false"/>
          <w:bCs w:val="false"/>
          <w:color w:val="1E293B"/>
          <w:sz w:val="22"/>
          <w:szCs w:val="22"/>
        </w:rPr>
        <w:t xml:space="preserve">Al-Aqar Medical Hub: KPJ Healthcare 72% — concentration risk alert triggered</w:t>
      </w:r>
    </w:p>
    <w:p>
      <w:pPr>
        <w:pStyle w:val="ListParagraph"/>
        <w:numPr>
          <w:ilvl w:val="0"/>
          <w:numId w:val="2"/>
        </w:numPr>
        <w:spacing w:before="40" w:after="40"/>
      </w:pPr>
      <w:r>
        <w:rPr>
          <w:rFonts w:ascii="Arial" w:cs="Arial" w:eastAsia="Arial" w:hAnsi="Arial"/>
          <w:b w:val="false"/>
          <w:bCs w:val="false"/>
          <w:color w:val="1E293B"/>
          <w:sz w:val="22"/>
          <w:szCs w:val="22"/>
        </w:rPr>
        <w:t xml:space="preserve">Sunway Logistics: DHL Supply Chain 38%, Pos Malaysia 22%</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366F1" w:sz="6"/>
              <w:left w:val="single" w:color="6366F1" w:sz="14"/>
              <w:bottom w:val="single" w:color="E2E8F0" w:sz="1"/>
              <w:right w:val="single" w:color="E2E8F0" w:sz="1"/>
            </w:tcBorders>
            <w:shd w:fill="EFF6FF" w:val="clear"/>
            <w:tcMar>
              <w:top w:type="dxa" w:w="120"/>
              <w:left w:type="dxa" w:w="200"/>
              <w:bottom w:type="dxa" w:w="120"/>
              <w:right w:type="dxa" w:w="180"/>
            </w:tcMar>
          </w:tcPr>
          <w:p>
            <w:pPr>
              <w:spacing w:before="0" w:after="60"/>
            </w:pPr>
            <w:r>
              <w:rPr>
                <w:rFonts w:ascii="Arial" w:cs="Arial" w:eastAsia="Arial" w:hAnsi="Arial"/>
                <w:b/>
                <w:bCs/>
                <w:color w:val="0A1628"/>
                <w:sz w:val="22"/>
                <w:szCs w:val="22"/>
              </w:rPr>
              <w:t xml:space="preserve">Investment Committee Use Case</w:t>
            </w:r>
          </w:p>
          <w:p>
            <w:pPr>
              <w:spacing w:before="0" w:after="0"/>
            </w:pPr>
            <w:r>
              <w:rPr>
                <w:rFonts w:ascii="Arial" w:cs="Arial" w:eastAsia="Arial" w:hAnsi="Arial"/>
                <w:color w:val="374151"/>
                <w:sz w:val="21"/>
                <w:szCs w:val="21"/>
              </w:rPr>
              <w:t xml:space="preserve">When reviewing a potential acquisition, tenant concentration is often a decisive factor. TwinVal surfaces this information in real time alongside live occupancy data — so an acquisition team can see not just who the tenants are, but whether major tenants are actually occupying and paying.</w:t>
            </w:r>
          </w:p>
        </w:tc>
      </w:tr>
    </w:tbl>
    <w:p>
      <w:pPr>
        <w:pBdr>
          <w:bottom w:val="single" w:color="CBD5E1" w:sz="4" w:space="1"/>
        </w:pBdr>
        <w:spacing w:before="160" w:after="160"/>
      </w:pPr>
      <w:r>
        <w:t xml:space="preserve"/>
      </w:r>
    </w:p>
    <w:p>
      <w:pPr>
        <w:pStyle w:val="Heading1"/>
        <w:spacing w:before="400" w:after="160"/>
      </w:pPr>
      <w:r>
        <w:rPr>
          <w:rFonts w:ascii="Arial" w:cs="Arial" w:eastAsia="Arial" w:hAnsi="Arial"/>
          <w:b/>
          <w:bCs/>
          <w:color w:val="0A1628"/>
          <w:sz w:val="40"/>
          <w:szCs w:val="40"/>
        </w:rPr>
        <w:t xml:space="preserve">6. Capital Structure Tab</w:t>
      </w:r>
    </w:p>
    <w:p>
      <w:pPr>
        <w:spacing w:before="60" w:after="80"/>
      </w:pPr>
      <w:r>
        <w:rPr>
          <w:rFonts w:ascii="Arial" w:cs="Arial" w:eastAsia="Arial" w:hAnsi="Arial"/>
          <w:b w:val="false"/>
          <w:bCs w:val="false"/>
          <w:color w:val="1E293B"/>
          <w:sz w:val="22"/>
          <w:szCs w:val="22"/>
        </w:rPr>
        <w:t xml:space="preserve">The Capital Structure tab addresses the regulatory and financing dimension of REIT management — specifically gearing headroom, NAV bridge, and debt maturity. These are the metrics that banks, trustees, and the Securities Commission monitor most closely.</w:t>
      </w:r>
    </w:p>
    <w:p>
      <w:pPr>
        <w:pStyle w:val="Heading3"/>
        <w:spacing w:before="240" w:after="80"/>
      </w:pPr>
      <w:r>
        <w:rPr>
          <w:rFonts w:ascii="Arial" w:cs="Arial" w:eastAsia="Arial" w:hAnsi="Arial"/>
          <w:b/>
          <w:bCs/>
          <w:color w:val="0EA5E9"/>
          <w:sz w:val="24"/>
          <w:szCs w:val="24"/>
        </w:rPr>
        <w:t xml:space="preserve">6.1  Gearing Ratio Gauge</w:t>
      </w:r>
    </w:p>
    <w:p>
      <w:pPr>
        <w:spacing w:before="60" w:after="80"/>
      </w:pPr>
      <w:r>
        <w:rPr>
          <w:rFonts w:ascii="Arial" w:cs="Arial" w:eastAsia="Arial" w:hAnsi="Arial"/>
          <w:b w:val="false"/>
          <w:bCs w:val="false"/>
          <w:color w:val="1E293B"/>
          <w:sz w:val="22"/>
          <w:szCs w:val="22"/>
        </w:rPr>
        <w:t xml:space="preserve">A large live dial shows the current gearing ratio as a percentage of portfolio RTPMV, with thresholds marked at 35% (amber), 45% (elevated), and 50% (SC Malaysia statutory limit). Because the denominator is the live RTPMV rather than a static last-valuation figure, the gearing ratio updates continuously as sensor data modulates asset values. The panel also shows Total Debt, Portfolio RTPMV, Weighted Average Cost of Debt, Annual Interest Expense, and Headroom to Statutory Limit.</w:t>
      </w:r>
    </w:p>
    <w:p>
      <w:pPr>
        <w:pStyle w:val="Heading3"/>
        <w:spacing w:before="240" w:after="80"/>
      </w:pPr>
      <w:r>
        <w:rPr>
          <w:rFonts w:ascii="Arial" w:cs="Arial" w:eastAsia="Arial" w:hAnsi="Arial"/>
          <w:b/>
          <w:bCs/>
          <w:color w:val="0EA5E9"/>
          <w:sz w:val="24"/>
          <w:szCs w:val="24"/>
        </w:rPr>
        <w:t xml:space="preserve">6.2  NAV Bridge</w:t>
      </w:r>
    </w:p>
    <w:p>
      <w:pPr>
        <w:spacing w:before="60" w:after="80"/>
      </w:pPr>
      <w:r>
        <w:rPr>
          <w:rFonts w:ascii="Arial" w:cs="Arial" w:eastAsia="Arial" w:hAnsi="Arial"/>
          <w:b w:val="false"/>
          <w:bCs w:val="false"/>
          <w:color w:val="1E293B"/>
          <w:sz w:val="22"/>
          <w:szCs w:val="22"/>
        </w:rPr>
        <w:t xml:space="preserve">A structured reconciliation shows how the portfolio arrives at NAV per unit: Gross Portfolio Value (RTPMV) less Total Debt equals NAV, divided by Units Outstanding equals NAV per Unit, compared to Market Price per Unit to compute the P/NAV multiple. This bridge is the most frequently requested calculation in REIT investor relations — the dashboard delivers it live, updated with every sensor tick.</w:t>
      </w:r>
    </w:p>
    <w:p>
      <w:pPr>
        <w:pStyle w:val="Heading3"/>
        <w:spacing w:before="240" w:after="80"/>
      </w:pPr>
      <w:r>
        <w:rPr>
          <w:rFonts w:ascii="Arial" w:cs="Arial" w:eastAsia="Arial" w:hAnsi="Arial"/>
          <w:b/>
          <w:bCs/>
          <w:color w:val="0EA5E9"/>
          <w:sz w:val="24"/>
          <w:szCs w:val="24"/>
        </w:rPr>
        <w:t xml:space="preserve">6.3  Debt Maturity Profile</w:t>
      </w:r>
    </w:p>
    <w:p>
      <w:pPr>
        <w:spacing w:before="60" w:after="80"/>
      </w:pPr>
      <w:r>
        <w:rPr>
          <w:rFonts w:ascii="Arial" w:cs="Arial" w:eastAsia="Arial" w:hAnsi="Arial"/>
          <w:b w:val="false"/>
          <w:bCs w:val="false"/>
          <w:color w:val="1E293B"/>
          <w:sz w:val="22"/>
          <w:szCs w:val="22"/>
        </w:rPr>
        <w:t xml:space="preserve">A bar chart shows the RM amount of debt maturing each year from 2025 through 2029, enabling treasury teams to plan refinancing and identify concentration of maturities that could create refinancing risk. Management Fee Rate and Trustee Fee Rate are displayed alongside for complete cost-of-capital transparency.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7316" w:sz="6"/>
              <w:left w:val="single" w:color="F97316" w:sz="14"/>
              <w:bottom w:val="single" w:color="E2E8F0" w:sz="1"/>
              <w:right w:val="single" w:color="E2E8F0" w:sz="1"/>
            </w:tcBorders>
            <w:shd w:fill="FFF7ED" w:val="clear"/>
            <w:tcMar>
              <w:top w:type="dxa" w:w="120"/>
              <w:left w:type="dxa" w:w="200"/>
              <w:bottom w:type="dxa" w:w="120"/>
              <w:right w:type="dxa" w:w="180"/>
            </w:tcMar>
          </w:tcPr>
          <w:p>
            <w:pPr>
              <w:spacing w:before="0" w:after="60"/>
            </w:pPr>
            <w:r>
              <w:rPr>
                <w:rFonts w:ascii="Arial" w:cs="Arial" w:eastAsia="Arial" w:hAnsi="Arial"/>
                <w:b/>
                <w:bCs/>
                <w:color w:val="0A1628"/>
                <w:sz w:val="22"/>
                <w:szCs w:val="22"/>
              </w:rPr>
              <w:t xml:space="preserve">Covenant Monitoring</w:t>
            </w:r>
          </w:p>
          <w:p>
            <w:pPr>
              <w:spacing w:before="0" w:after="0"/>
            </w:pPr>
            <w:r>
              <w:rPr>
                <w:rFonts w:ascii="Arial" w:cs="Arial" w:eastAsia="Arial" w:hAnsi="Arial"/>
                <w:color w:val="374151"/>
                <w:sz w:val="21"/>
                <w:szCs w:val="21"/>
              </w:rPr>
              <w:t xml:space="preserve">Many REIT financing covenants require gearing to remain below a threshold tested quarterly or annually. TwinVal's continuous gearing calculation provides an early warning if an RTPMV decline is pushing the ratio toward a covenant level — before the formal testing date arrives.</w:t>
            </w:r>
          </w:p>
        </w:tc>
      </w:tr>
    </w:tbl>
    <w:p>
      <w:pPr>
        <w:pBdr>
          <w:bottom w:val="single" w:color="CBD5E1" w:sz="4" w:space="1"/>
        </w:pBdr>
        <w:spacing w:before="160" w:after="160"/>
      </w:pPr>
      <w:r>
        <w:t xml:space="preserve"/>
      </w:r>
    </w:p>
    <w:p>
      <w:pPr>
        <w:pStyle w:val="Heading1"/>
        <w:spacing w:before="400" w:after="160"/>
      </w:pPr>
      <w:r>
        <w:rPr>
          <w:rFonts w:ascii="Arial" w:cs="Arial" w:eastAsia="Arial" w:hAnsi="Arial"/>
          <w:b/>
          <w:bCs/>
          <w:color w:val="0A1628"/>
          <w:sz w:val="40"/>
          <w:szCs w:val="40"/>
        </w:rPr>
        <w:t xml:space="preserve">7. Capex Tab</w:t>
      </w:r>
    </w:p>
    <w:p>
      <w:pPr>
        <w:spacing w:before="60" w:after="80"/>
      </w:pPr>
      <w:r>
        <w:rPr>
          <w:rFonts w:ascii="Arial" w:cs="Arial" w:eastAsia="Arial" w:hAnsi="Arial"/>
          <w:b w:val="false"/>
          <w:bCs w:val="false"/>
          <w:color w:val="1E293B"/>
          <w:sz w:val="22"/>
          <w:szCs w:val="22"/>
        </w:rPr>
        <w:t xml:space="preserve">The Capex tab provides visibility into planned and committed capital expenditure across the portfolio — a dimension that directly affects distributable income, asset quality, and long-term RTPMV trajectory.</w:t>
      </w:r>
    </w:p>
    <w:p>
      <w:pPr>
        <w:pStyle w:val="ListParagraph"/>
        <w:numPr>
          <w:ilvl w:val="0"/>
          <w:numId w:val="2"/>
        </w:numPr>
        <w:spacing w:before="40" w:after="40"/>
      </w:pPr>
      <w:r>
        <w:rPr>
          <w:rFonts w:ascii="Arial" w:cs="Arial" w:eastAsia="Arial" w:hAnsi="Arial"/>
          <w:b w:val="false"/>
          <w:bCs w:val="false"/>
          <w:color w:val="1E293B"/>
          <w:sz w:val="22"/>
          <w:szCs w:val="22"/>
        </w:rPr>
        <w:t xml:space="preserve">Capex budget vs. actual spend tracking per property and per category (structural, mechanical, electrical, fit-out, compliance)</w:t>
      </w:r>
    </w:p>
    <w:p>
      <w:pPr>
        <w:pStyle w:val="ListParagraph"/>
        <w:numPr>
          <w:ilvl w:val="0"/>
          <w:numId w:val="2"/>
        </w:numPr>
        <w:spacing w:before="40" w:after="40"/>
      </w:pPr>
      <w:r>
        <w:rPr>
          <w:rFonts w:ascii="Arial" w:cs="Arial" w:eastAsia="Arial" w:hAnsi="Arial"/>
          <w:b w:val="false"/>
          <w:bCs w:val="false"/>
          <w:color w:val="1E293B"/>
          <w:sz w:val="22"/>
          <w:szCs w:val="22"/>
        </w:rPr>
        <w:t xml:space="preserve">Remaining capex commitment for the current financial year, visible against distributable income to assess DPU impact</w:t>
      </w:r>
    </w:p>
    <w:p>
      <w:pPr>
        <w:pStyle w:val="ListParagraph"/>
        <w:numPr>
          <w:ilvl w:val="0"/>
          <w:numId w:val="2"/>
        </w:numPr>
        <w:spacing w:before="40" w:after="40"/>
      </w:pPr>
      <w:r>
        <w:rPr>
          <w:rFonts w:ascii="Arial" w:cs="Arial" w:eastAsia="Arial" w:hAnsi="Arial"/>
          <w:b w:val="false"/>
          <w:bCs w:val="false"/>
          <w:color w:val="1E293B"/>
          <w:sz w:val="22"/>
          <w:szCs w:val="22"/>
        </w:rPr>
        <w:t xml:space="preserve">Maintenance capex vs. enhancement capex distinction — separating routine maintenance from value-adding works</w:t>
      </w:r>
    </w:p>
    <w:p>
      <w:pPr>
        <w:pStyle w:val="ListParagraph"/>
        <w:numPr>
          <w:ilvl w:val="0"/>
          <w:numId w:val="2"/>
        </w:numPr>
        <w:spacing w:before="40" w:after="40"/>
      </w:pPr>
      <w:r>
        <w:rPr>
          <w:rFonts w:ascii="Arial" w:cs="Arial" w:eastAsia="Arial" w:hAnsi="Arial"/>
          <w:b w:val="false"/>
          <w:bCs w:val="false"/>
          <w:color w:val="1E293B"/>
          <w:sz w:val="22"/>
          <w:szCs w:val="22"/>
        </w:rPr>
        <w:t xml:space="preserve">Sensor-triggered capex recommendations — where SHF or ESF falls below threshold, the system flags the affected system and estimates remediation cost based on certified engineering benchmarks</w:t>
      </w:r>
    </w:p>
    <w:p>
      <w:pPr>
        <w:spacing w:before="0" w:after="0"/>
      </w:pPr>
      <w:r>
        <w:t xml:space="preserve"/>
      </w:r>
    </w:p>
    <w:p>
      <w:pPr>
        <w:spacing w:before="60" w:after="80"/>
      </w:pPr>
      <w:r>
        <w:rPr>
          <w:rFonts w:ascii="Arial" w:cs="Arial" w:eastAsia="Arial" w:hAnsi="Arial"/>
          <w:b w:val="false"/>
          <w:bCs w:val="false"/>
          <w:color w:val="1E293B"/>
          <w:sz w:val="22"/>
          <w:szCs w:val="22"/>
        </w:rPr>
        <w:t xml:space="preserve">The Capex tab connects the sensor layer directly to the capital planning function — a connection that does not exist in conventional tools, where sensor data (if available at all) is siloed from financial planning systems.</w:t>
      </w:r>
    </w:p>
    <w:p>
      <w:pPr>
        <w:pBdr>
          <w:bottom w:val="single" w:color="CBD5E1" w:sz="4" w:space="1"/>
        </w:pBdr>
        <w:spacing w:before="160" w:after="160"/>
      </w:pPr>
      <w:r>
        <w:t xml:space="preserve"/>
      </w:r>
    </w:p>
    <w:p>
      <w:pPr>
        <w:pStyle w:val="Heading1"/>
        <w:spacing w:before="400" w:after="160"/>
      </w:pPr>
      <w:r>
        <w:rPr>
          <w:rFonts w:ascii="Arial" w:cs="Arial" w:eastAsia="Arial" w:hAnsi="Arial"/>
          <w:b/>
          <w:bCs/>
          <w:color w:val="0A1628"/>
          <w:sz w:val="40"/>
          <w:szCs w:val="40"/>
        </w:rPr>
        <w:t xml:space="preserve">8. Property Detail Tab</w:t>
      </w:r>
    </w:p>
    <w:p>
      <w:pPr>
        <w:spacing w:before="60" w:after="80"/>
      </w:pPr>
      <w:r>
        <w:rPr>
          <w:rFonts w:ascii="Arial" w:cs="Arial" w:eastAsia="Arial" w:hAnsi="Arial"/>
          <w:b w:val="false"/>
          <w:bCs w:val="false"/>
          <w:color w:val="1E293B"/>
          <w:sz w:val="22"/>
          <w:szCs w:val="22"/>
        </w:rPr>
        <w:t xml:space="preserve">The Property Detail tab provides a deep, asset-level view of any individual property. It is accessible directly by clicking any row in the Portfolio tab, or by selecting a property from the tab's own navigation.</w:t>
      </w:r>
    </w:p>
    <w:p>
      <w:pPr>
        <w:pStyle w:val="Heading3"/>
        <w:spacing w:before="240" w:after="80"/>
      </w:pPr>
      <w:r>
        <w:rPr>
          <w:rFonts w:ascii="Arial" w:cs="Arial" w:eastAsia="Arial" w:hAnsi="Arial"/>
          <w:b/>
          <w:bCs/>
          <w:color w:val="0EA5E9"/>
          <w:sz w:val="24"/>
          <w:szCs w:val="24"/>
        </w:rPr>
        <w:t xml:space="preserve">8.1  Live Sensor Breakdown</w:t>
      </w:r>
    </w:p>
    <w:p>
      <w:pPr>
        <w:spacing w:before="60" w:after="80"/>
      </w:pPr>
      <w:r>
        <w:rPr>
          <w:rFonts w:ascii="Arial" w:cs="Arial" w:eastAsia="Arial" w:hAnsi="Arial"/>
          <w:b w:val="false"/>
          <w:bCs w:val="false"/>
          <w:color w:val="1E293B"/>
          <w:sz w:val="22"/>
          <w:szCs w:val="22"/>
        </w:rPr>
        <w:t xml:space="preserve">Five horizontal progress bars display the current reading for each of the five TwinVal sensor indicators, all colour-coded green (&gt;85), blue (70–85), amber (55–70), or red (&lt;55):</w:t>
      </w:r>
    </w:p>
    <w:p>
      <w:pPr>
        <w:pStyle w:val="ListParagraph"/>
        <w:numPr>
          <w:ilvl w:val="0"/>
          <w:numId w:val="2"/>
        </w:numPr>
        <w:spacing w:before="40" w:after="40"/>
      </w:pPr>
      <w:r>
        <w:rPr>
          <w:rFonts w:ascii="Arial" w:cs="Arial" w:eastAsia="Arial" w:hAnsi="Arial"/>
          <w:b w:val="false"/>
          <w:bCs w:val="false"/>
          <w:color w:val="1E293B"/>
          <w:sz w:val="22"/>
          <w:szCs w:val="22"/>
        </w:rPr>
        <w:t xml:space="preserve">Structural Health Factor (SHF) — vibration, strain, displacement from embedded structural sensors. ASHRAE GEPIII and ASCE standard benchmarks.</w:t>
      </w:r>
    </w:p>
    <w:p>
      <w:pPr>
        <w:pStyle w:val="ListParagraph"/>
        <w:numPr>
          <w:ilvl w:val="0"/>
          <w:numId w:val="2"/>
        </w:numPr>
        <w:spacing w:before="40" w:after="40"/>
      </w:pPr>
      <w:r>
        <w:rPr>
          <w:rFonts w:ascii="Arial" w:cs="Arial" w:eastAsia="Arial" w:hAnsi="Arial"/>
          <w:b w:val="false"/>
          <w:bCs w:val="false"/>
          <w:color w:val="1E293B"/>
          <w:sz w:val="22"/>
          <w:szCs w:val="22"/>
        </w:rPr>
        <w:t xml:space="preserve">Environmental Stress Factor (ESF) — temperature, humidity, air quality, CO2. Benchmarked to ASHRAE 55 and 62.1.</w:t>
      </w:r>
    </w:p>
    <w:p>
      <w:pPr>
        <w:pStyle w:val="ListParagraph"/>
        <w:numPr>
          <w:ilvl w:val="0"/>
          <w:numId w:val="2"/>
        </w:numPr>
        <w:spacing w:before="40" w:after="40"/>
      </w:pPr>
      <w:r>
        <w:rPr>
          <w:rFonts w:ascii="Arial" w:cs="Arial" w:eastAsia="Arial" w:hAnsi="Arial"/>
          <w:b w:val="false"/>
          <w:bCs w:val="false"/>
          <w:color w:val="1E293B"/>
          <w:sz w:val="22"/>
          <w:szCs w:val="22"/>
        </w:rPr>
        <w:t xml:space="preserve">Utility Systems Score (USS) — electrical load patterns, circuit health, distribution system performance.</w:t>
      </w:r>
    </w:p>
    <w:p>
      <w:pPr>
        <w:pStyle w:val="ListParagraph"/>
        <w:numPr>
          <w:ilvl w:val="0"/>
          <w:numId w:val="2"/>
        </w:numPr>
        <w:spacing w:before="40" w:after="40"/>
      </w:pPr>
      <w:r>
        <w:rPr>
          <w:rFonts w:ascii="Arial" w:cs="Arial" w:eastAsia="Arial" w:hAnsi="Arial"/>
          <w:b w:val="false"/>
          <w:bCs w:val="false"/>
          <w:color w:val="1E293B"/>
          <w:sz w:val="22"/>
          <w:szCs w:val="22"/>
        </w:rPr>
        <w:t xml:space="preserve">Predictive Deterioration Penalty (PDP) — forward-looking deterioration estimate from rate-of-change in structural and environmental readings.</w:t>
      </w:r>
    </w:p>
    <w:p>
      <w:pPr>
        <w:pStyle w:val="ListParagraph"/>
        <w:numPr>
          <w:ilvl w:val="0"/>
          <w:numId w:val="2"/>
        </w:numPr>
        <w:spacing w:before="40" w:after="40"/>
      </w:pPr>
      <w:r>
        <w:rPr>
          <w:rFonts w:ascii="Arial" w:cs="Arial" w:eastAsia="Arial" w:hAnsi="Arial"/>
          <w:b w:val="false"/>
          <w:bCs w:val="false"/>
          <w:color w:val="1E293B"/>
          <w:sz w:val="22"/>
          <w:szCs w:val="22"/>
        </w:rPr>
        <w:t xml:space="preserve">Confidence Index (CI) — data reliability from sensor uptime, reading consistency, and cross-sensor validation. Directly controls exchange status and bid-ask spread.</w:t>
      </w:r>
    </w:p>
    <w:p>
      <w:pPr>
        <w:pStyle w:val="Heading3"/>
        <w:spacing w:before="240" w:after="80"/>
      </w:pPr>
      <w:r>
        <w:rPr>
          <w:rFonts w:ascii="Arial" w:cs="Arial" w:eastAsia="Arial" w:hAnsi="Arial"/>
          <w:b/>
          <w:bCs/>
          <w:color w:val="0EA5E9"/>
          <w:sz w:val="24"/>
          <w:szCs w:val="24"/>
        </w:rPr>
        <w:t xml:space="preserve">8.2  Sensor Radar Profile</w:t>
      </w:r>
    </w:p>
    <w:p>
      <w:pPr>
        <w:spacing w:before="60" w:after="80"/>
      </w:pPr>
      <w:r>
        <w:rPr>
          <w:rFonts w:ascii="Arial" w:cs="Arial" w:eastAsia="Arial" w:hAnsi="Arial"/>
          <w:b w:val="false"/>
          <w:bCs w:val="false"/>
          <w:color w:val="1E293B"/>
          <w:sz w:val="22"/>
          <w:szCs w:val="22"/>
        </w:rPr>
        <w:t xml:space="preserve">A pentagon radar chart plots all five sensor scores simultaneously, giving a visual shape to the property's health profile. A structural weakness shows a concave SHF axis; environmental problems show on the ESF axis. This shape allows immediate visual comparison between properties.</w:t>
      </w:r>
    </w:p>
    <w:p>
      <w:pPr>
        <w:pStyle w:val="Heading3"/>
        <w:spacing w:before="240" w:after="80"/>
      </w:pPr>
      <w:r>
        <w:rPr>
          <w:rFonts w:ascii="Arial" w:cs="Arial" w:eastAsia="Arial" w:hAnsi="Arial"/>
          <w:b/>
          <w:bCs/>
          <w:color w:val="0EA5E9"/>
          <w:sz w:val="24"/>
          <w:szCs w:val="24"/>
        </w:rPr>
        <w:t xml:space="preserve">8.3  RTPMV Live History</w:t>
      </w:r>
    </w:p>
    <w:p>
      <w:pPr>
        <w:spacing w:before="60" w:after="80"/>
      </w:pPr>
      <w:r>
        <w:rPr>
          <w:rFonts w:ascii="Arial" w:cs="Arial" w:eastAsia="Arial" w:hAnsi="Arial"/>
          <w:b w:val="false"/>
          <w:bCs w:val="false"/>
          <w:color w:val="1E293B"/>
          <w:sz w:val="22"/>
          <w:szCs w:val="22"/>
        </w:rPr>
        <w:t xml:space="preserve">A live line chart shows the RTPMV for the selected property over the last 30 ticks, allowing correlation of value changes with the sensor breakdown above.</w:t>
      </w:r>
    </w:p>
    <w:p>
      <w:pPr>
        <w:pStyle w:val="Heading3"/>
        <w:spacing w:before="240" w:after="80"/>
      </w:pPr>
      <w:r>
        <w:rPr>
          <w:rFonts w:ascii="Arial" w:cs="Arial" w:eastAsia="Arial" w:hAnsi="Arial"/>
          <w:b/>
          <w:bCs/>
          <w:color w:val="0EA5E9"/>
          <w:sz w:val="24"/>
          <w:szCs w:val="24"/>
        </w:rPr>
        <w:t xml:space="preserve">8.4  Exchange Status &amp; Spread</w:t>
      </w:r>
    </w:p>
    <w:p>
      <w:pPr>
        <w:spacing w:before="60" w:after="80"/>
      </w:pPr>
      <w:r>
        <w:rPr>
          <w:rFonts w:ascii="Arial" w:cs="Arial" w:eastAsia="Arial" w:hAnsi="Arial"/>
          <w:b w:val="false"/>
          <w:bCs w:val="false"/>
          <w:color w:val="1E293B"/>
          <w:sz w:val="22"/>
          <w:szCs w:val="22"/>
        </w:rPr>
        <w:t xml:space="preserve">The Property Detail tab shows current exchange status (PREMIUM, ACTIVE, RESTRICTED, or HALTED) and the current bid-ask spread — linking property-level sensor health to the exchange's market controls. A property approaching RESTRICTED status will show a widening spread before restriction is formally triggered.</w:t>
      </w:r>
    </w:p>
    <w:p>
      <w:pPr>
        <w:pBdr>
          <w:bottom w:val="single" w:color="CBD5E1" w:sz="4" w:space="1"/>
        </w:pBdr>
        <w:spacing w:before="160" w:after="160"/>
      </w:pPr>
      <w:r>
        <w:t xml:space="preserve"/>
      </w:r>
    </w:p>
    <w:p>
      <w:pPr>
        <w:pStyle w:val="Heading1"/>
        <w:spacing w:before="400" w:after="160"/>
      </w:pPr>
      <w:r>
        <w:rPr>
          <w:rFonts w:ascii="Arial" w:cs="Arial" w:eastAsia="Arial" w:hAnsi="Arial"/>
          <w:b/>
          <w:bCs/>
          <w:color w:val="0A1628"/>
          <w:sz w:val="40"/>
          <w:szCs w:val="40"/>
        </w:rPr>
        <w:t xml:space="preserve">9. Exchange Tab</w:t>
      </w:r>
    </w:p>
    <w:p>
      <w:pPr>
        <w:spacing w:before="60" w:after="80"/>
      </w:pPr>
      <w:r>
        <w:rPr>
          <w:rFonts w:ascii="Arial" w:cs="Arial" w:eastAsia="Arial" w:hAnsi="Arial"/>
          <w:b w:val="false"/>
          <w:bCs w:val="false"/>
          <w:color w:val="1E293B"/>
          <w:sz w:val="22"/>
          <w:szCs w:val="22"/>
        </w:rPr>
        <w:t xml:space="preserve">The Exchange tab is the most technically novel element of TwinVal and the one that most clearly differentiates it from any existing REIT technology. It exposes the multi-property exchange platform where RTPMV-backed valuation tokens can be traded, with market controls automatically governed by live sensor health.</w:t>
      </w:r>
    </w:p>
    <w:p>
      <w:pPr>
        <w:pStyle w:val="Heading3"/>
        <w:spacing w:before="240" w:after="80"/>
      </w:pPr>
      <w:r>
        <w:rPr>
          <w:rFonts w:ascii="Arial" w:cs="Arial" w:eastAsia="Arial" w:hAnsi="Arial"/>
          <w:b/>
          <w:bCs/>
          <w:color w:val="0EA5E9"/>
          <w:sz w:val="24"/>
          <w:szCs w:val="24"/>
        </w:rPr>
        <w:t xml:space="preserve">9.1  Per-Property Exchange Cards</w:t>
      </w:r>
    </w:p>
    <w:p>
      <w:pPr>
        <w:spacing w:before="60" w:after="80"/>
      </w:pPr>
      <w:r>
        <w:rPr>
          <w:rFonts w:ascii="Arial" w:cs="Arial" w:eastAsia="Arial" w:hAnsi="Arial"/>
          <w:b w:val="false"/>
          <w:bCs w:val="false"/>
          <w:color w:val="1E293B"/>
          <w:sz w:val="22"/>
          <w:szCs w:val="22"/>
        </w:rPr>
        <w:t xml:space="preserve">Each property has its own exchange card showing: Mid RTPMV, BID price, ASK price, Spread in RM, five-level Order Book Depth, and Exchange Status badge.</w:t>
      </w:r>
    </w:p>
    <w:p>
      <w:pPr>
        <w:pStyle w:val="Heading3"/>
        <w:spacing w:before="240" w:after="80"/>
      </w:pPr>
      <w:r>
        <w:rPr>
          <w:rFonts w:ascii="Arial" w:cs="Arial" w:eastAsia="Arial" w:hAnsi="Arial"/>
          <w:b/>
          <w:bCs/>
          <w:color w:val="0EA5E9"/>
          <w:sz w:val="24"/>
          <w:szCs w:val="24"/>
        </w:rPr>
        <w:t xml:space="preserve">9.2  Dynamic Spread Logic</w:t>
      </w:r>
    </w:p>
    <w:p>
      <w:pPr>
        <w:spacing w:before="60" w:after="80"/>
      </w:pPr>
      <w:r>
        <w:rPr>
          <w:rFonts w:ascii="Arial" w:cs="Arial" w:eastAsia="Arial" w:hAnsi="Arial"/>
          <w:b w:val="false"/>
          <w:bCs w:val="false"/>
          <w:color w:val="1E293B"/>
          <w:sz w:val="22"/>
          <w:szCs w:val="22"/>
        </w:rPr>
        <w:t xml:space="preserve">The spread is not fixed. It is computed from CI and Health Factor:</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75569" w:sz="6"/>
              <w:left w:val="single" w:color="475569" w:sz="14"/>
              <w:bottom w:val="single" w:color="E2E8F0" w:sz="1"/>
              <w:right w:val="single" w:color="E2E8F0" w:sz="1"/>
            </w:tcBorders>
            <w:shd w:fill="F8FAFC" w:val="clear"/>
            <w:tcMar>
              <w:top w:type="dxa" w:w="120"/>
              <w:left w:type="dxa" w:w="200"/>
              <w:bottom w:type="dxa" w:w="120"/>
              <w:right w:type="dxa" w:w="180"/>
            </w:tcMar>
          </w:tcPr>
          <w:p>
            <w:pPr>
              <w:spacing w:before="0" w:after="60"/>
            </w:pPr>
            <w:r>
              <w:rPr>
                <w:rFonts w:ascii="Arial" w:cs="Arial" w:eastAsia="Arial" w:hAnsi="Arial"/>
                <w:b/>
                <w:bCs/>
                <w:color w:val="0A1628"/>
                <w:sz w:val="22"/>
                <w:szCs w:val="22"/>
              </w:rPr>
              <w:t xml:space="preserve">Spread Formula</w:t>
            </w:r>
          </w:p>
          <w:p>
            <w:pPr>
              <w:spacing w:before="0" w:after="0"/>
            </w:pPr>
            <w:r>
              <w:rPr>
                <w:rFonts w:ascii="Arial" w:cs="Arial" w:eastAsia="Arial" w:hAnsi="Arial"/>
                <w:color w:val="374151"/>
                <w:sz w:val="21"/>
                <w:szCs w:val="21"/>
              </w:rPr>
              <w:t xml:space="preserve">Spread = Base Spread × (1 + (1 − CI) × 2.5) × (1 + (1 − Health) × 1.5)
High CI + high health = narrow spreads (liquid). Low CI or poor health = wide spreads (risk-priced). This mirrors how equity market makers widen spreads on uncertain stocks — applied here to real property.</w:t>
            </w:r>
          </w:p>
        </w:tc>
      </w:tr>
    </w:tbl>
    <w:p>
      <w:pPr>
        <w:spacing w:before="0" w:after="0"/>
      </w:pPr>
      <w:r>
        <w:t xml:space="preserve"/>
      </w:r>
    </w:p>
    <w:p>
      <w:pPr>
        <w:pStyle w:val="Heading3"/>
        <w:spacing w:before="240" w:after="80"/>
      </w:pPr>
      <w:r>
        <w:rPr>
          <w:rFonts w:ascii="Arial" w:cs="Arial" w:eastAsia="Arial" w:hAnsi="Arial"/>
          <w:b/>
          <w:bCs/>
          <w:color w:val="0EA5E9"/>
          <w:sz w:val="24"/>
          <w:szCs w:val="24"/>
        </w:rPr>
        <w:t xml:space="preserve">9.3  Patent-Protected Exchange Controls</w:t>
      </w:r>
    </w:p>
    <w:p>
      <w:pPr>
        <w:spacing w:before="60" w:after="80"/>
      </w:pPr>
      <w:r>
        <w:rPr>
          <w:rFonts w:ascii="Arial" w:cs="Arial" w:eastAsia="Arial" w:hAnsi="Arial"/>
          <w:b w:val="false"/>
          <w:bCs w:val="false"/>
          <w:color w:val="1E293B"/>
          <w:sz w:val="22"/>
          <w:szCs w:val="22"/>
        </w:rPr>
        <w:t xml:space="preserve">Four automatic status levels govern all trading:</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30"/>
        <w:gridCol w:w="3330"/>
      </w:tblGrid>
      <w:tr>
        <w:trPr>
          <w:tblHeader/>
        </w:trPr>
        <w:tc>
          <w:tcPr>
            <w:tcW w:type="dxa" w:w="2700"/>
            <w:tcBorders>
              <w:top w:val="single" w:color="CBD5E1" w:sz="1"/>
              <w:left w:val="single" w:color="CBD5E1" w:sz="1"/>
              <w:bottom w:val="single" w:color="CBD5E1" w:sz="1"/>
              <w:right w:val="single" w:color="CBD5E1"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Status</w:t>
            </w:r>
          </w:p>
        </w:tc>
        <w:tc>
          <w:tcPr>
            <w:tcW w:type="dxa" w:w="3330"/>
            <w:tcBorders>
              <w:top w:val="single" w:color="CBD5E1" w:sz="1"/>
              <w:left w:val="single" w:color="CBD5E1" w:sz="1"/>
              <w:bottom w:val="single" w:color="CBD5E1" w:sz="1"/>
              <w:right w:val="single" w:color="CBD5E1"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Trigger Condition</w:t>
            </w:r>
          </w:p>
        </w:tc>
        <w:tc>
          <w:tcPr>
            <w:tcW w:type="dxa" w:w="3330"/>
            <w:tcBorders>
              <w:top w:val="single" w:color="CBD5E1" w:sz="1"/>
              <w:left w:val="single" w:color="CBD5E1" w:sz="1"/>
              <w:bottom w:val="single" w:color="CBD5E1" w:sz="1"/>
              <w:right w:val="single" w:color="CBD5E1"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Market Effect</w:t>
            </w:r>
          </w:p>
        </w:tc>
      </w:tr>
      <w:tr>
        <w:trPr>
          <w:tblHeader w:val="false"/>
        </w:trPr>
        <w:tc>
          <w:tcPr>
            <w:tcW w:type="dxa" w:w="2700"/>
            <w:tcBorders>
              <w:top w:val="single" w:color="CBD5E1" w:sz="1"/>
              <w:left w:val="single" w:color="CBD5E1" w:sz="1"/>
              <w:bottom w:val="single" w:color="CBD5E1" w:sz="1"/>
              <w:right w:val="single" w:color="CBD5E1" w:sz="1"/>
            </w:tcBorders>
            <w:shd w:fill="F0F4F8" w:val="clear"/>
            <w:tcMar>
              <w:top w:type="dxa" w:w="90"/>
              <w:left w:type="dxa" w:w="140"/>
              <w:bottom w:type="dxa" w:w="90"/>
              <w:right w:type="dxa" w:w="140"/>
            </w:tcMar>
          </w:tcPr>
          <w:p>
            <w:r>
              <w:rPr>
                <w:rFonts w:ascii="Arial" w:cs="Arial" w:eastAsia="Arial" w:hAnsi="Arial"/>
                <w:b/>
                <w:bCs/>
                <w:color w:val="0A1628"/>
                <w:sz w:val="20"/>
                <w:szCs w:val="20"/>
              </w:rPr>
              <w:t xml:space="preserve">PREMIUM</w:t>
            </w:r>
          </w:p>
        </w:tc>
        <w:tc>
          <w:tcPr>
            <w:tcW w:type="dxa" w:w="333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20"/>
                <w:szCs w:val="20"/>
              </w:rPr>
              <w:t xml:space="preserve">CI &gt; 85% and Health &gt; 85%</w:t>
            </w:r>
          </w:p>
        </w:tc>
        <w:tc>
          <w:tcPr>
            <w:tcW w:type="dxa" w:w="333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20"/>
                <w:szCs w:val="20"/>
              </w:rPr>
              <w:t xml:space="preserve">Narrowest spreads, full order book depth, maximum liquidity</w:t>
            </w:r>
          </w:p>
        </w:tc>
      </w:tr>
      <w:tr>
        <w:trPr>
          <w:tblHeader w:val="false"/>
        </w:trPr>
        <w:tc>
          <w:tcPr>
            <w:tcW w:type="dxa" w:w="2700"/>
            <w:tcBorders>
              <w:top w:val="single" w:color="CBD5E1" w:sz="1"/>
              <w:left w:val="single" w:color="CBD5E1" w:sz="1"/>
              <w:bottom w:val="single" w:color="CBD5E1" w:sz="1"/>
              <w:right w:val="single" w:color="CBD5E1" w:sz="1"/>
            </w:tcBorders>
            <w:shd w:fill="F0F4F8" w:val="clear"/>
            <w:tcMar>
              <w:top w:type="dxa" w:w="90"/>
              <w:left w:type="dxa" w:w="140"/>
              <w:bottom w:type="dxa" w:w="90"/>
              <w:right w:type="dxa" w:w="140"/>
            </w:tcMar>
          </w:tcPr>
          <w:p>
            <w:r>
              <w:rPr>
                <w:rFonts w:ascii="Arial" w:cs="Arial" w:eastAsia="Arial" w:hAnsi="Arial"/>
                <w:b/>
                <w:bCs/>
                <w:color w:val="0A1628"/>
                <w:sz w:val="20"/>
                <w:szCs w:val="20"/>
              </w:rPr>
              <w:t xml:space="preserve">ACTIVE</w:t>
            </w:r>
          </w:p>
        </w:tc>
        <w:tc>
          <w:tcPr>
            <w:tcW w:type="dxa" w:w="3330"/>
            <w:tcBorders>
              <w:top w:val="single" w:color="CBD5E1" w:sz="1"/>
              <w:left w:val="single" w:color="CBD5E1" w:sz="1"/>
              <w:bottom w:val="single" w:color="CBD5E1" w:sz="1"/>
              <w:right w:val="single" w:color="CBD5E1" w:sz="1"/>
            </w:tcBorders>
            <w:shd w:fill="FAFAFA" w:val="clear"/>
            <w:tcMar>
              <w:top w:type="dxa" w:w="90"/>
              <w:left w:type="dxa" w:w="140"/>
              <w:bottom w:type="dxa" w:w="90"/>
              <w:right w:type="dxa" w:w="140"/>
            </w:tcMar>
          </w:tcPr>
          <w:p>
            <w:r>
              <w:rPr>
                <w:rFonts w:ascii="Arial" w:cs="Arial" w:eastAsia="Arial" w:hAnsi="Arial"/>
                <w:b w:val="false"/>
                <w:bCs w:val="false"/>
                <w:color w:val="1E293B"/>
                <w:sz w:val="20"/>
                <w:szCs w:val="20"/>
              </w:rPr>
              <w:t xml:space="preserve">CI &gt; 65% and Health &gt; 55%</w:t>
            </w:r>
          </w:p>
        </w:tc>
        <w:tc>
          <w:tcPr>
            <w:tcW w:type="dxa" w:w="3330"/>
            <w:tcBorders>
              <w:top w:val="single" w:color="CBD5E1" w:sz="1"/>
              <w:left w:val="single" w:color="CBD5E1" w:sz="1"/>
              <w:bottom w:val="single" w:color="CBD5E1" w:sz="1"/>
              <w:right w:val="single" w:color="CBD5E1" w:sz="1"/>
            </w:tcBorders>
            <w:shd w:fill="FAFAFA" w:val="clear"/>
            <w:tcMar>
              <w:top w:type="dxa" w:w="90"/>
              <w:left w:type="dxa" w:w="140"/>
              <w:bottom w:type="dxa" w:w="90"/>
              <w:right w:type="dxa" w:w="140"/>
            </w:tcMar>
          </w:tcPr>
          <w:p>
            <w:r>
              <w:rPr>
                <w:rFonts w:ascii="Arial" w:cs="Arial" w:eastAsia="Arial" w:hAnsi="Arial"/>
                <w:b w:val="false"/>
                <w:bCs w:val="false"/>
                <w:color w:val="1E293B"/>
                <w:sz w:val="20"/>
                <w:szCs w:val="20"/>
              </w:rPr>
              <w:t xml:space="preserve">Standard spreads, normal market conditions</w:t>
            </w:r>
          </w:p>
        </w:tc>
      </w:tr>
      <w:tr>
        <w:trPr>
          <w:tblHeader w:val="false"/>
        </w:trPr>
        <w:tc>
          <w:tcPr>
            <w:tcW w:type="dxa" w:w="2700"/>
            <w:tcBorders>
              <w:top w:val="single" w:color="CBD5E1" w:sz="1"/>
              <w:left w:val="single" w:color="CBD5E1" w:sz="1"/>
              <w:bottom w:val="single" w:color="CBD5E1" w:sz="1"/>
              <w:right w:val="single" w:color="CBD5E1" w:sz="1"/>
            </w:tcBorders>
            <w:shd w:fill="F0F4F8" w:val="clear"/>
            <w:tcMar>
              <w:top w:type="dxa" w:w="90"/>
              <w:left w:type="dxa" w:w="140"/>
              <w:bottom w:type="dxa" w:w="90"/>
              <w:right w:type="dxa" w:w="140"/>
            </w:tcMar>
          </w:tcPr>
          <w:p>
            <w:r>
              <w:rPr>
                <w:rFonts w:ascii="Arial" w:cs="Arial" w:eastAsia="Arial" w:hAnsi="Arial"/>
                <w:b/>
                <w:bCs/>
                <w:color w:val="0A1628"/>
                <w:sz w:val="20"/>
                <w:szCs w:val="20"/>
              </w:rPr>
              <w:t xml:space="preserve">RESTRICTED</w:t>
            </w:r>
          </w:p>
        </w:tc>
        <w:tc>
          <w:tcPr>
            <w:tcW w:type="dxa" w:w="333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20"/>
                <w:szCs w:val="20"/>
              </w:rPr>
              <w:t xml:space="preserve">CI &lt; 65% or Health &lt; 55%</w:t>
            </w:r>
          </w:p>
        </w:tc>
        <w:tc>
          <w:tcPr>
            <w:tcW w:type="dxa" w:w="333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20"/>
                <w:szCs w:val="20"/>
              </w:rPr>
              <w:t xml:space="preserve">Wider spreads, mandatory RICS VPS 3 condition disclosure</w:t>
            </w:r>
          </w:p>
        </w:tc>
      </w:tr>
      <w:tr>
        <w:trPr>
          <w:tblHeader w:val="false"/>
        </w:trPr>
        <w:tc>
          <w:tcPr>
            <w:tcW w:type="dxa" w:w="2700"/>
            <w:tcBorders>
              <w:top w:val="single" w:color="CBD5E1" w:sz="1"/>
              <w:left w:val="single" w:color="CBD5E1" w:sz="1"/>
              <w:bottom w:val="single" w:color="CBD5E1" w:sz="1"/>
              <w:right w:val="single" w:color="CBD5E1" w:sz="1"/>
            </w:tcBorders>
            <w:shd w:fill="F0F4F8" w:val="clear"/>
            <w:tcMar>
              <w:top w:type="dxa" w:w="90"/>
              <w:left w:type="dxa" w:w="140"/>
              <w:bottom w:type="dxa" w:w="90"/>
              <w:right w:type="dxa" w:w="140"/>
            </w:tcMar>
          </w:tcPr>
          <w:p>
            <w:r>
              <w:rPr>
                <w:rFonts w:ascii="Arial" w:cs="Arial" w:eastAsia="Arial" w:hAnsi="Arial"/>
                <w:b/>
                <w:bCs/>
                <w:color w:val="0A1628"/>
                <w:sz w:val="20"/>
                <w:szCs w:val="20"/>
              </w:rPr>
              <w:t xml:space="preserve">HALTED</w:t>
            </w:r>
          </w:p>
        </w:tc>
        <w:tc>
          <w:tcPr>
            <w:tcW w:type="dxa" w:w="3330"/>
            <w:tcBorders>
              <w:top w:val="single" w:color="CBD5E1" w:sz="1"/>
              <w:left w:val="single" w:color="CBD5E1" w:sz="1"/>
              <w:bottom w:val="single" w:color="CBD5E1" w:sz="1"/>
              <w:right w:val="single" w:color="CBD5E1" w:sz="1"/>
            </w:tcBorders>
            <w:shd w:fill="FAFAFA" w:val="clear"/>
            <w:tcMar>
              <w:top w:type="dxa" w:w="90"/>
              <w:left w:type="dxa" w:w="140"/>
              <w:bottom w:type="dxa" w:w="90"/>
              <w:right w:type="dxa" w:w="140"/>
            </w:tcMar>
          </w:tcPr>
          <w:p>
            <w:r>
              <w:rPr>
                <w:rFonts w:ascii="Arial" w:cs="Arial" w:eastAsia="Arial" w:hAnsi="Arial"/>
                <w:b w:val="false"/>
                <w:bCs w:val="false"/>
                <w:color w:val="1E293B"/>
                <w:sz w:val="20"/>
                <w:szCs w:val="20"/>
              </w:rPr>
              <w:t xml:space="preserve">CI &lt; 50% or Health &lt; 40%</w:t>
            </w:r>
          </w:p>
        </w:tc>
        <w:tc>
          <w:tcPr>
            <w:tcW w:type="dxa" w:w="3330"/>
            <w:tcBorders>
              <w:top w:val="single" w:color="CBD5E1" w:sz="1"/>
              <w:left w:val="single" w:color="CBD5E1" w:sz="1"/>
              <w:bottom w:val="single" w:color="CBD5E1" w:sz="1"/>
              <w:right w:val="single" w:color="CBD5E1" w:sz="1"/>
            </w:tcBorders>
            <w:shd w:fill="FAFAFA" w:val="clear"/>
            <w:tcMar>
              <w:top w:type="dxa" w:w="90"/>
              <w:left w:type="dxa" w:w="140"/>
              <w:bottom w:type="dxa" w:w="90"/>
              <w:right w:type="dxa" w:w="140"/>
            </w:tcMar>
          </w:tcPr>
          <w:p>
            <w:r>
              <w:rPr>
                <w:rFonts w:ascii="Arial" w:cs="Arial" w:eastAsia="Arial" w:hAnsi="Arial"/>
                <w:b w:val="false"/>
                <w:bCs w:val="false"/>
                <w:color w:val="1E293B"/>
                <w:sz w:val="20"/>
                <w:szCs w:val="20"/>
              </w:rPr>
              <w:t xml:space="preserve">Trading suspended entirely until sensor-verified remediation</w:t>
            </w:r>
          </w:p>
        </w:tc>
      </w:tr>
    </w:tbl>
    <w:p>
      <w:pPr>
        <w:spacing w:before="0" w:after="0"/>
      </w:pPr>
      <w:r>
        <w:t xml:space="preserve"/>
      </w:r>
    </w:p>
    <w:p>
      <w:pPr>
        <w:spacing w:before="60" w:after="80"/>
      </w:pPr>
      <w:r>
        <w:rPr>
          <w:rFonts w:ascii="Arial" w:cs="Arial" w:eastAsia="Arial" w:hAnsi="Arial"/>
          <w:b w:val="false"/>
          <w:bCs w:val="false"/>
          <w:color w:val="1E293B"/>
          <w:sz w:val="22"/>
          <w:szCs w:val="22"/>
        </w:rPr>
        <w:t xml:space="preserve">Restoration is automatic: when a halted property's sensor readings recover above thresholds following physical remediation, exchange status returns to ACTIVE without manual intervention. Physical repair in the real world directly restores market access in the digital world.</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4444" w:sz="6"/>
              <w:left w:val="single" w:color="EF4444" w:sz="14"/>
              <w:bottom w:val="single" w:color="E2E8F0" w:sz="1"/>
              <w:right w:val="single" w:color="E2E8F0" w:sz="1"/>
            </w:tcBorders>
            <w:shd w:fill="FFF1F2" w:val="clear"/>
            <w:tcMar>
              <w:top w:type="dxa" w:w="120"/>
              <w:left w:type="dxa" w:w="200"/>
              <w:bottom w:type="dxa" w:w="120"/>
              <w:right w:type="dxa" w:w="180"/>
            </w:tcMar>
          </w:tcPr>
          <w:p>
            <w:pPr>
              <w:spacing w:before="0" w:after="60"/>
            </w:pPr>
            <w:r>
              <w:rPr>
                <w:rFonts w:ascii="Arial" w:cs="Arial" w:eastAsia="Arial" w:hAnsi="Arial"/>
                <w:b/>
                <w:bCs/>
                <w:color w:val="0A1628"/>
                <w:sz w:val="22"/>
                <w:szCs w:val="22"/>
              </w:rPr>
              <w:t xml:space="preserve">Patent Protection</w:t>
            </w:r>
          </w:p>
          <w:p>
            <w:pPr>
              <w:spacing w:before="0" w:after="0"/>
            </w:pPr>
            <w:r>
              <w:rPr>
                <w:rFonts w:ascii="Arial" w:cs="Arial" w:eastAsia="Arial" w:hAnsi="Arial"/>
                <w:color w:val="374151"/>
                <w:sz w:val="21"/>
                <w:szCs w:val="21"/>
              </w:rPr>
              <w:t xml:space="preserve">Claims 3, 17–19, 23, and 28 of TwinVal's patent filing (reference 2527401IN-CS, filed across 5 jurisdictions: India, Singapore, Malaysia, UAE, Saudi Arabia) specifically protect the exchange system, market controls, automatic restoration logic, and cross-property analytics. IPflair's prior art search confirmed this is the world's first sensor-governed property exchange.</w:t>
            </w:r>
          </w:p>
        </w:tc>
      </w:tr>
    </w:tbl>
    <w:p>
      <w:pPr>
        <w:pBdr>
          <w:bottom w:val="single" w:color="CBD5E1" w:sz="4" w:space="1"/>
        </w:pBdr>
        <w:spacing w:before="160" w:after="160"/>
      </w:pPr>
      <w:r>
        <w:t xml:space="preserve"/>
      </w:r>
    </w:p>
    <w:p>
      <w:pPr>
        <w:pStyle w:val="Heading1"/>
        <w:spacing w:before="400" w:after="160"/>
      </w:pPr>
      <w:r>
        <w:rPr>
          <w:rFonts w:ascii="Arial" w:cs="Arial" w:eastAsia="Arial" w:hAnsi="Arial"/>
          <w:b/>
          <w:bCs/>
          <w:color w:val="0A1628"/>
          <w:sz w:val="40"/>
          <w:szCs w:val="40"/>
        </w:rPr>
        <w:t xml:space="preserve">10. Market Value Override Tab</w:t>
      </w:r>
    </w:p>
    <w:p>
      <w:pPr>
        <w:spacing w:before="60" w:after="80"/>
      </w:pPr>
      <w:r>
        <w:rPr>
          <w:rFonts w:ascii="Arial" w:cs="Arial" w:eastAsia="Arial" w:hAnsi="Arial"/>
          <w:b w:val="false"/>
          <w:bCs w:val="false"/>
          <w:color w:val="1E293B"/>
          <w:sz w:val="22"/>
          <w:szCs w:val="22"/>
        </w:rPr>
        <w:t xml:space="preserve">The Override tab enables portfolio managers to apply a manual market value view for any asset — replacing the government valuation as the RTPMV base without disabling the sensor modulation layer.</w:t>
      </w:r>
    </w:p>
    <w:p>
      <w:pPr>
        <w:pStyle w:val="Heading3"/>
        <w:spacing w:before="240" w:after="80"/>
      </w:pPr>
      <w:r>
        <w:rPr>
          <w:rFonts w:ascii="Arial" w:cs="Arial" w:eastAsia="Arial" w:hAnsi="Arial"/>
          <w:b/>
          <w:bCs/>
          <w:color w:val="0EA5E9"/>
          <w:sz w:val="24"/>
          <w:szCs w:val="24"/>
        </w:rPr>
        <w:t xml:space="preserve">10.1  How Override Works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6"/>
              <w:left w:val="single" w:color="0EA5E9" w:sz="14"/>
              <w:bottom w:val="single" w:color="E2E8F0" w:sz="1"/>
              <w:right w:val="single" w:color="E2E8F0" w:sz="1"/>
            </w:tcBorders>
            <w:shd w:fill="F8FAFC" w:val="clear"/>
            <w:tcMar>
              <w:top w:type="dxa" w:w="120"/>
              <w:left w:type="dxa" w:w="200"/>
              <w:bottom w:type="dxa" w:w="120"/>
              <w:right w:type="dxa" w:w="180"/>
            </w:tcMar>
          </w:tcPr>
          <w:p>
            <w:pPr>
              <w:spacing w:before="0" w:after="60"/>
            </w:pPr>
            <w:r>
              <w:rPr>
                <w:rFonts w:ascii="Arial" w:cs="Arial" w:eastAsia="Arial" w:hAnsi="Arial"/>
                <w:b/>
                <w:bCs/>
                <w:color w:val="0A1628"/>
                <w:sz w:val="22"/>
                <w:szCs w:val="22"/>
              </w:rPr>
              <w:t xml:space="preserve">RTPMV Formula</w:t>
            </w:r>
          </w:p>
          <w:p>
            <w:pPr>
              <w:spacing w:before="0" w:after="0"/>
            </w:pPr>
            <w:r>
              <w:rPr>
                <w:rFonts w:ascii="Arial" w:cs="Arial" w:eastAsia="Arial" w:hAnsi="Arial"/>
                <w:color w:val="374151"/>
                <w:sz w:val="21"/>
                <w:szCs w:val="21"/>
              </w:rPr>
              <w:t xml:space="preserve">RTPMV = Base Value × Health Factor × (0.85 + CI × 0.15)
When an override is applied, Base Value = Override Amount (not government valuation). Sensor health and CI continue to modulate this override in real time — the portfolio manager's view is a living value, not a static number.</w:t>
            </w:r>
          </w:p>
        </w:tc>
      </w:tr>
    </w:tbl>
    <w:p>
      <w:pPr>
        <w:spacing w:before="0" w:after="0"/>
      </w:pPr>
      <w:r>
        <w:t xml:space="preserve"/>
      </w:r>
    </w:p>
    <w:p>
      <w:pPr>
        <w:pStyle w:val="Heading3"/>
        <w:spacing w:before="240" w:after="80"/>
      </w:pPr>
      <w:r>
        <w:rPr>
          <w:rFonts w:ascii="Arial" w:cs="Arial" w:eastAsia="Arial" w:hAnsi="Arial"/>
          <w:b/>
          <w:bCs/>
          <w:color w:val="0EA5E9"/>
          <w:sz w:val="24"/>
          <w:szCs w:val="24"/>
        </w:rPr>
        <w:t xml:space="preserve">10.2  Override Input Fields</w:t>
      </w:r>
    </w:p>
    <w:p>
      <w:pPr>
        <w:pStyle w:val="ListParagraph"/>
        <w:numPr>
          <w:ilvl w:val="0"/>
          <w:numId w:val="2"/>
        </w:numPr>
        <w:spacing w:before="40" w:after="40"/>
      </w:pPr>
      <w:r>
        <w:rPr>
          <w:rFonts w:ascii="Arial" w:cs="Arial" w:eastAsia="Arial" w:hAnsi="Arial"/>
          <w:b w:val="false"/>
          <w:bCs w:val="false"/>
          <w:color w:val="1E293B"/>
          <w:sz w:val="22"/>
          <w:szCs w:val="22"/>
        </w:rPr>
        <w:t xml:space="preserve">Property selector — choose which asset to override</w:t>
      </w:r>
    </w:p>
    <w:p>
      <w:pPr>
        <w:pStyle w:val="ListParagraph"/>
        <w:numPr>
          <w:ilvl w:val="0"/>
          <w:numId w:val="2"/>
        </w:numPr>
        <w:spacing w:before="40" w:after="40"/>
      </w:pPr>
      <w:r>
        <w:rPr>
          <w:rFonts w:ascii="Arial" w:cs="Arial" w:eastAsia="Arial" w:hAnsi="Arial"/>
          <w:b w:val="false"/>
          <w:bCs w:val="false"/>
          <w:color w:val="1E293B"/>
          <w:sz w:val="22"/>
          <w:szCs w:val="22"/>
        </w:rPr>
        <w:t xml:space="preserve">Government Valuation display — always visible as the baseline reference</w:t>
      </w:r>
    </w:p>
    <w:p>
      <w:pPr>
        <w:pStyle w:val="ListParagraph"/>
        <w:numPr>
          <w:ilvl w:val="0"/>
          <w:numId w:val="2"/>
        </w:numPr>
        <w:spacing w:before="40" w:after="40"/>
      </w:pPr>
      <w:r>
        <w:rPr>
          <w:rFonts w:ascii="Arial" w:cs="Arial" w:eastAsia="Arial" w:hAnsi="Arial"/>
          <w:b w:val="false"/>
          <w:bCs w:val="false"/>
          <w:color w:val="1E293B"/>
          <w:sz w:val="22"/>
          <w:szCs w:val="22"/>
        </w:rPr>
        <w:t xml:space="preserve">Live RTPMV display — the current sensor-adjusted value before override</w:t>
      </w:r>
    </w:p>
    <w:p>
      <w:pPr>
        <w:pStyle w:val="ListParagraph"/>
        <w:numPr>
          <w:ilvl w:val="0"/>
          <w:numId w:val="2"/>
        </w:numPr>
        <w:spacing w:before="40" w:after="40"/>
      </w:pPr>
      <w:r>
        <w:rPr>
          <w:rFonts w:ascii="Arial" w:cs="Arial" w:eastAsia="Arial" w:hAnsi="Arial"/>
          <w:b w:val="false"/>
          <w:bCs w:val="false"/>
          <w:color w:val="1E293B"/>
          <w:sz w:val="22"/>
          <w:szCs w:val="22"/>
        </w:rPr>
        <w:t xml:space="preserve">New Market Value input — the analyst's view in RM</w:t>
      </w:r>
    </w:p>
    <w:p>
      <w:pPr>
        <w:pStyle w:val="ListParagraph"/>
        <w:numPr>
          <w:ilvl w:val="0"/>
          <w:numId w:val="2"/>
        </w:numPr>
        <w:spacing w:before="40" w:after="40"/>
      </w:pPr>
      <w:r>
        <w:rPr>
          <w:rFonts w:ascii="Arial" w:cs="Arial" w:eastAsia="Arial" w:hAnsi="Arial"/>
          <w:b w:val="false"/>
          <w:bCs w:val="false"/>
          <w:color w:val="1E293B"/>
          <w:sz w:val="22"/>
          <w:szCs w:val="22"/>
        </w:rPr>
        <w:t xml:space="preserve">Reason / Rationale field — e.g. 'Post-renovation appraisal', 'Market correction Q1 2026', 'Anchor tenant departure'</w:t>
      </w:r>
    </w:p>
    <w:p>
      <w:pPr>
        <w:pStyle w:val="ListParagraph"/>
        <w:numPr>
          <w:ilvl w:val="0"/>
          <w:numId w:val="2"/>
        </w:numPr>
        <w:spacing w:before="40" w:after="40"/>
      </w:pPr>
      <w:r>
        <w:rPr>
          <w:rFonts w:ascii="Arial" w:cs="Arial" w:eastAsia="Arial" w:hAnsi="Arial"/>
          <w:b w:val="false"/>
          <w:bCs w:val="false"/>
          <w:color w:val="1E293B"/>
          <w:sz w:val="22"/>
          <w:szCs w:val="22"/>
        </w:rPr>
        <w:t xml:space="preserve">Apply button — immediately updates RTPMV calculation across all tabs</w:t>
      </w:r>
    </w:p>
    <w:p>
      <w:pPr>
        <w:pStyle w:val="ListParagraph"/>
        <w:numPr>
          <w:ilvl w:val="0"/>
          <w:numId w:val="2"/>
        </w:numPr>
        <w:spacing w:before="40" w:after="40"/>
      </w:pPr>
      <w:r>
        <w:rPr>
          <w:rFonts w:ascii="Arial" w:cs="Arial" w:eastAsia="Arial" w:hAnsi="Arial"/>
          <w:b w:val="false"/>
          <w:bCs w:val="false"/>
          <w:color w:val="1E293B"/>
          <w:sz w:val="22"/>
          <w:szCs w:val="22"/>
        </w:rPr>
        <w:t xml:space="preserve">Remove Override — reverts to government valuation base</w:t>
      </w:r>
    </w:p>
    <w:p>
      <w:pPr>
        <w:pStyle w:val="Heading3"/>
        <w:spacing w:before="240" w:after="80"/>
      </w:pPr>
      <w:r>
        <w:rPr>
          <w:rFonts w:ascii="Arial" w:cs="Arial" w:eastAsia="Arial" w:hAnsi="Arial"/>
          <w:b/>
          <w:bCs/>
          <w:color w:val="0EA5E9"/>
          <w:sz w:val="24"/>
          <w:szCs w:val="24"/>
        </w:rPr>
        <w:t xml:space="preserve">10.3  Override Persistence &amp; Audit</w:t>
      </w:r>
    </w:p>
    <w:p>
      <w:pPr>
        <w:spacing w:before="60" w:after="80"/>
      </w:pPr>
      <w:r>
        <w:rPr>
          <w:rFonts w:ascii="Arial" w:cs="Arial" w:eastAsia="Arial" w:hAnsi="Arial"/>
          <w:b w:val="false"/>
          <w:bCs w:val="false"/>
          <w:color w:val="1E293B"/>
          <w:sz w:val="22"/>
          <w:szCs w:val="22"/>
        </w:rPr>
        <w:t xml:space="preserve">Every override — application and removal — is immediately written to the Audit Log with timestamp, property name, from/to values, stated reason, and user identifier. This creates a complete, tamper-evident record of every discretionary valuation decision on the platform.</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6"/>
              <w:left w:val="single" w:color="10B981" w:sz="14"/>
              <w:bottom w:val="single" w:color="E2E8F0" w:sz="1"/>
              <w:right w:val="single" w:color="E2E8F0" w:sz="1"/>
            </w:tcBorders>
            <w:shd w:fill="F0FDF4" w:val="clear"/>
            <w:tcMar>
              <w:top w:type="dxa" w:w="120"/>
              <w:left w:type="dxa" w:w="200"/>
              <w:bottom w:type="dxa" w:w="120"/>
              <w:right w:type="dxa" w:w="180"/>
            </w:tcMar>
          </w:tcPr>
          <w:p>
            <w:pPr>
              <w:spacing w:before="0" w:after="60"/>
            </w:pPr>
            <w:r>
              <w:rPr>
                <w:rFonts w:ascii="Arial" w:cs="Arial" w:eastAsia="Arial" w:hAnsi="Arial"/>
                <w:b/>
                <w:bCs/>
                <w:color w:val="0A1628"/>
                <w:sz w:val="22"/>
                <w:szCs w:val="22"/>
              </w:rPr>
              <w:t xml:space="preserve">Shariah Compliance Relevance</w:t>
            </w:r>
          </w:p>
          <w:p>
            <w:pPr>
              <w:spacing w:before="0" w:after="0"/>
            </w:pPr>
            <w:r>
              <w:rPr>
                <w:rFonts w:ascii="Arial" w:cs="Arial" w:eastAsia="Arial" w:hAnsi="Arial"/>
                <w:color w:val="374151"/>
                <w:sz w:val="21"/>
                <w:szCs w:val="21"/>
              </w:rPr>
              <w:t xml:space="preserve">For Islamic REITs, the ability to document any departure from government-assessed value — with a named approver, a stated reason, and an immutable audit record — is essential for Shariah board governance. The override system enables analyst discretion while maintaining the full auditability required by Islamic finance governance standards.</w:t>
            </w:r>
          </w:p>
        </w:tc>
      </w:tr>
    </w:tbl>
    <w:p>
      <w:pPr>
        <w:pBdr>
          <w:bottom w:val="single" w:color="CBD5E1" w:sz="4" w:space="1"/>
        </w:pBdr>
        <w:spacing w:before="160" w:after="160"/>
      </w:pPr>
      <w:r>
        <w:t xml:space="preserve"/>
      </w:r>
    </w:p>
    <w:p>
      <w:pPr>
        <w:pStyle w:val="Heading1"/>
        <w:spacing w:before="400" w:after="160"/>
      </w:pPr>
      <w:r>
        <w:rPr>
          <w:rFonts w:ascii="Arial" w:cs="Arial" w:eastAsia="Arial" w:hAnsi="Arial"/>
          <w:b/>
          <w:bCs/>
          <w:color w:val="0A1628"/>
          <w:sz w:val="40"/>
          <w:szCs w:val="40"/>
        </w:rPr>
        <w:t xml:space="preserve">11. Audit Log Tab</w:t>
      </w:r>
    </w:p>
    <w:p>
      <w:pPr>
        <w:spacing w:before="60" w:after="80"/>
      </w:pPr>
      <w:r>
        <w:rPr>
          <w:rFonts w:ascii="Arial" w:cs="Arial" w:eastAsia="Arial" w:hAnsi="Arial"/>
          <w:b w:val="false"/>
          <w:bCs w:val="false"/>
          <w:color w:val="1E293B"/>
          <w:sz w:val="22"/>
          <w:szCs w:val="22"/>
        </w:rPr>
        <w:t xml:space="preserve">The Audit Log tab provides a complete, chronological record of all material events on the platform — both system-generated and user-initiated. It is designed to satisfy the traceability requirements of Bank Negara Malaysia, the Securities Commission of Malaysia, and equivalent regulators in Singapore, UAE, and Saudi Arabia.</w:t>
      </w:r>
    </w:p>
    <w:p>
      <w:pPr>
        <w:pStyle w:val="Heading3"/>
        <w:spacing w:before="240" w:after="80"/>
      </w:pPr>
      <w:r>
        <w:rPr>
          <w:rFonts w:ascii="Arial" w:cs="Arial" w:eastAsia="Arial" w:hAnsi="Arial"/>
          <w:b/>
          <w:bCs/>
          <w:color w:val="0EA5E9"/>
          <w:sz w:val="24"/>
          <w:szCs w:val="24"/>
        </w:rPr>
        <w:t xml:space="preserve">11.1  Audit Trail (Hash Chain)</w:t>
      </w:r>
    </w:p>
    <w:p>
      <w:pPr>
        <w:spacing w:before="60" w:after="80"/>
      </w:pPr>
      <w:r>
        <w:rPr>
          <w:rFonts w:ascii="Arial" w:cs="Arial" w:eastAsia="Arial" w:hAnsi="Arial"/>
          <w:b w:val="false"/>
          <w:bCs w:val="false"/>
          <w:color w:val="1E293B"/>
          <w:sz w:val="22"/>
          <w:szCs w:val="22"/>
        </w:rPr>
        <w:t xml:space="preserve">The top section shows all user-initiated events — specifically, all market value overrides applied or removed. Each entry records timestamp, property name, and event description (e.g. 'Manual override: KLCC_TOWER → RM 200.00M'). The label 'G1 Hash Chain' indicates records are maintained using SHA-256: each record contains the hash of the preceding record, making any retrospective alteration immediately detectable.</w:t>
      </w:r>
    </w:p>
    <w:p>
      <w:pPr>
        <w:pStyle w:val="Heading3"/>
        <w:spacing w:before="240" w:after="80"/>
      </w:pPr>
      <w:r>
        <w:rPr>
          <w:rFonts w:ascii="Arial" w:cs="Arial" w:eastAsia="Arial" w:hAnsi="Arial"/>
          <w:b/>
          <w:bCs/>
          <w:color w:val="0EA5E9"/>
          <w:sz w:val="24"/>
          <w:szCs w:val="24"/>
        </w:rPr>
        <w:t xml:space="preserve">11.2  Live System Events</w:t>
      </w:r>
    </w:p>
    <w:p>
      <w:pPr>
        <w:spacing w:before="60" w:after="80"/>
      </w:pPr>
      <w:r>
        <w:rPr>
          <w:rFonts w:ascii="Arial" w:cs="Arial" w:eastAsia="Arial" w:hAnsi="Arial"/>
          <w:b w:val="false"/>
          <w:bCs w:val="false"/>
          <w:color w:val="1E293B"/>
          <w:sz w:val="22"/>
          <w:szCs w:val="22"/>
        </w:rPr>
        <w:t xml:space="preserve">Below the manual trail, a scrolling stream shows every RTPMV update cycle with tick number, event type badge, and confirmation that all 5 assets were hash-verified — confirming to auditors that every valuation update is being validated, not just stored.</w:t>
      </w:r>
    </w:p>
    <w:p>
      <w:pPr>
        <w:pStyle w:val="Heading3"/>
        <w:spacing w:before="240" w:after="80"/>
      </w:pPr>
      <w:r>
        <w:rPr>
          <w:rFonts w:ascii="Arial" w:cs="Arial" w:eastAsia="Arial" w:hAnsi="Arial"/>
          <w:b/>
          <w:bCs/>
          <w:color w:val="0EA5E9"/>
          <w:sz w:val="24"/>
          <w:szCs w:val="24"/>
        </w:rPr>
        <w:t xml:space="preserve">11.3  Regulatory Audit Mode</w:t>
      </w:r>
    </w:p>
    <w:p>
      <w:pPr>
        <w:spacing w:before="60" w:after="80"/>
      </w:pPr>
      <w:r>
        <w:rPr>
          <w:rFonts w:ascii="Arial" w:cs="Arial" w:eastAsia="Arial" w:hAnsi="Arial"/>
          <w:b w:val="false"/>
          <w:bCs w:val="false"/>
          <w:color w:val="1E293B"/>
          <w:sz w:val="22"/>
          <w:szCs w:val="22"/>
        </w:rPr>
        <w:t xml:space="preserve">In production deployment, the Audit Log feeds into TwinVal's Regulatory Audit Mode, where computation parameters are frozen at a specified historical time and records include the frozen parameter set for independent reproduction. A regulator, Shariah auditor, or statutory valuer can independently reproduce any RTPMV TwinVal produced on any date — a capability that no existing property valuation system provides.</w:t>
      </w:r>
    </w:p>
    <w:p>
      <w:pPr>
        <w:pBdr>
          <w:bottom w:val="single" w:color="CBD5E1" w:sz="4" w:space="1"/>
        </w:pBdr>
        <w:spacing w:before="160" w:after="160"/>
      </w:pPr>
      <w:r>
        <w:t xml:space="preserve"/>
      </w:r>
    </w:p>
    <w:p>
      <w:r>
        <w:br w:type="page"/>
      </w:r>
    </w:p>
    <w:p>
      <w:pPr>
        <w:pStyle w:val="Heading1"/>
        <w:spacing w:before="400" w:after="160"/>
      </w:pPr>
      <w:r>
        <w:rPr>
          <w:rFonts w:ascii="Arial" w:cs="Arial" w:eastAsia="Arial" w:hAnsi="Arial"/>
          <w:b/>
          <w:bCs/>
          <w:color w:val="0A1628"/>
          <w:sz w:val="40"/>
          <w:szCs w:val="40"/>
        </w:rPr>
        <w:t xml:space="preserve">12. TwinVal vs. Existing REIT Technology</w:t>
      </w:r>
    </w:p>
    <w:p>
      <w:pPr>
        <w:spacing w:before="60" w:after="80"/>
      </w:pPr>
      <w:r>
        <w:rPr>
          <w:rFonts w:ascii="Arial" w:cs="Arial" w:eastAsia="Arial" w:hAnsi="Arial"/>
          <w:b w:val="false"/>
          <w:bCs w:val="false"/>
          <w:color w:val="1E293B"/>
          <w:sz w:val="22"/>
          <w:szCs w:val="22"/>
        </w:rPr>
        <w:t xml:space="preserve">Most REITs today manage their portfolios using a combination of Excel-based models, property management software (MRI, Yardi, SAP RE-FX), and annual or semi-annual external valuations from licensed valuers. Some larger REITs have invested in BI dashboards (Power BI, Tableau) that consolidate data from these sources. The following comparison maps TwinVal's specific capabilities against this existing landscape.</w:t>
      </w:r>
    </w:p>
    <w:p>
      <w:pPr>
        <w:spacing w:before="0" w:after="0"/>
      </w:pPr>
      <w:r>
        <w:t xml:space="preserve"/>
      </w:r>
    </w:p>
    <w:p>
      <w:pPr>
        <w:pStyle w:val="Heading2"/>
        <w:spacing w:before="300" w:after="120"/>
      </w:pPr>
      <w:r>
        <w:rPr>
          <w:rFonts w:ascii="Arial" w:cs="Arial" w:eastAsia="Arial" w:hAnsi="Arial"/>
          <w:b/>
          <w:bCs/>
          <w:color w:val="0A1628"/>
          <w:sz w:val="30"/>
          <w:szCs w:val="30"/>
        </w:rPr>
        <w:t xml:space="preserve">12.1  Valuation Frequency &amp; Currency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30"/>
        <w:gridCol w:w="3330"/>
      </w:tblGrid>
      <w:tr>
        <w:trPr>
          <w:tblHeader/>
        </w:trPr>
        <w:tc>
          <w:tcPr>
            <w:tcW w:type="dxa" w:w="2700"/>
            <w:tcBorders>
              <w:top w:val="single" w:color="CBD5E1" w:sz="1"/>
              <w:left w:val="single" w:color="CBD5E1" w:sz="1"/>
              <w:bottom w:val="single" w:color="CBD5E1" w:sz="1"/>
              <w:right w:val="single" w:color="CBD5E1"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Dimension</w:t>
            </w:r>
          </w:p>
        </w:tc>
        <w:tc>
          <w:tcPr>
            <w:tcW w:type="dxa" w:w="3330"/>
            <w:tcBorders>
              <w:top w:val="single" w:color="CBD5E1" w:sz="1"/>
              <w:left w:val="single" w:color="CBD5E1" w:sz="1"/>
              <w:bottom w:val="single" w:color="CBD5E1" w:sz="1"/>
              <w:right w:val="single" w:color="CBD5E1"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Conventional REIT Tools</w:t>
            </w:r>
          </w:p>
        </w:tc>
        <w:tc>
          <w:tcPr>
            <w:tcW w:type="dxa" w:w="3330"/>
            <w:tcBorders>
              <w:top w:val="single" w:color="CBD5E1" w:sz="1"/>
              <w:left w:val="single" w:color="CBD5E1" w:sz="1"/>
              <w:bottom w:val="single" w:color="CBD5E1" w:sz="1"/>
              <w:right w:val="single" w:color="CBD5E1"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TwinVal Dashboard</w:t>
            </w:r>
          </w:p>
        </w:tc>
      </w:tr>
      <w:tr>
        <w:trPr>
          <w:tblHeader w:val="false"/>
        </w:trPr>
        <w:tc>
          <w:tcPr>
            <w:tcW w:type="dxa" w:w="2700"/>
            <w:tcBorders>
              <w:top w:val="single" w:color="CBD5E1" w:sz="1"/>
              <w:left w:val="single" w:color="CBD5E1" w:sz="1"/>
              <w:bottom w:val="single" w:color="CBD5E1" w:sz="1"/>
              <w:right w:val="single" w:color="CBD5E1" w:sz="1"/>
            </w:tcBorders>
            <w:shd w:fill="F0F4F8" w:val="clear"/>
            <w:tcMar>
              <w:top w:type="dxa" w:w="90"/>
              <w:left w:type="dxa" w:w="140"/>
              <w:bottom w:type="dxa" w:w="90"/>
              <w:right w:type="dxa" w:w="140"/>
            </w:tcMar>
          </w:tcPr>
          <w:p>
            <w:r>
              <w:rPr>
                <w:rFonts w:ascii="Arial" w:cs="Arial" w:eastAsia="Arial" w:hAnsi="Arial"/>
                <w:b/>
                <w:bCs/>
                <w:color w:val="0A1628"/>
                <w:sz w:val="20"/>
                <w:szCs w:val="20"/>
              </w:rPr>
              <w:t xml:space="preserve">Valuation frequency</w:t>
            </w:r>
          </w:p>
        </w:tc>
        <w:tc>
          <w:tcPr>
            <w:tcW w:type="dxa" w:w="333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20"/>
                <w:szCs w:val="20"/>
              </w:rPr>
              <w:t xml:space="preserve">Once or twice per year (external valuer)</w:t>
            </w:r>
          </w:p>
        </w:tc>
        <w:tc>
          <w:tcPr>
            <w:tcW w:type="dxa" w:w="333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20"/>
                <w:szCs w:val="20"/>
              </w:rPr>
              <w:t xml:space="preserve">Continuously — every sensor tick (minutes in production)</w:t>
            </w:r>
          </w:p>
        </w:tc>
      </w:tr>
      <w:tr>
        <w:trPr>
          <w:tblHeader w:val="false"/>
        </w:trPr>
        <w:tc>
          <w:tcPr>
            <w:tcW w:type="dxa" w:w="2700"/>
            <w:tcBorders>
              <w:top w:val="single" w:color="CBD5E1" w:sz="1"/>
              <w:left w:val="single" w:color="CBD5E1" w:sz="1"/>
              <w:bottom w:val="single" w:color="CBD5E1" w:sz="1"/>
              <w:right w:val="single" w:color="CBD5E1" w:sz="1"/>
            </w:tcBorders>
            <w:shd w:fill="F0F4F8" w:val="clear"/>
            <w:tcMar>
              <w:top w:type="dxa" w:w="90"/>
              <w:left w:type="dxa" w:w="140"/>
              <w:bottom w:type="dxa" w:w="90"/>
              <w:right w:type="dxa" w:w="140"/>
            </w:tcMar>
          </w:tcPr>
          <w:p>
            <w:r>
              <w:rPr>
                <w:rFonts w:ascii="Arial" w:cs="Arial" w:eastAsia="Arial" w:hAnsi="Arial"/>
                <w:b/>
                <w:bCs/>
                <w:color w:val="0A1628"/>
                <w:sz w:val="20"/>
                <w:szCs w:val="20"/>
              </w:rPr>
              <w:t xml:space="preserve">Data source</w:t>
            </w:r>
          </w:p>
        </w:tc>
        <w:tc>
          <w:tcPr>
            <w:tcW w:type="dxa" w:w="3330"/>
            <w:tcBorders>
              <w:top w:val="single" w:color="CBD5E1" w:sz="1"/>
              <w:left w:val="single" w:color="CBD5E1" w:sz="1"/>
              <w:bottom w:val="single" w:color="CBD5E1" w:sz="1"/>
              <w:right w:val="single" w:color="CBD5E1" w:sz="1"/>
            </w:tcBorders>
            <w:shd w:fill="FAFAFA" w:val="clear"/>
            <w:tcMar>
              <w:top w:type="dxa" w:w="90"/>
              <w:left w:type="dxa" w:w="140"/>
              <w:bottom w:type="dxa" w:w="90"/>
              <w:right w:type="dxa" w:w="140"/>
            </w:tcMar>
          </w:tcPr>
          <w:p>
            <w:r>
              <w:rPr>
                <w:rFonts w:ascii="Arial" w:cs="Arial" w:eastAsia="Arial" w:hAnsi="Arial"/>
                <w:b w:val="false"/>
                <w:bCs w:val="false"/>
                <w:color w:val="1E293B"/>
                <w:sz w:val="20"/>
                <w:szCs w:val="20"/>
              </w:rPr>
              <w:t xml:space="preserve">Physical inspection + market comparables</w:t>
            </w:r>
          </w:p>
        </w:tc>
        <w:tc>
          <w:tcPr>
            <w:tcW w:type="dxa" w:w="3330"/>
            <w:tcBorders>
              <w:top w:val="single" w:color="CBD5E1" w:sz="1"/>
              <w:left w:val="single" w:color="CBD5E1" w:sz="1"/>
              <w:bottom w:val="single" w:color="CBD5E1" w:sz="1"/>
              <w:right w:val="single" w:color="CBD5E1" w:sz="1"/>
            </w:tcBorders>
            <w:shd w:fill="FAFAFA" w:val="clear"/>
            <w:tcMar>
              <w:top w:type="dxa" w:w="90"/>
              <w:left w:type="dxa" w:w="140"/>
              <w:bottom w:type="dxa" w:w="90"/>
              <w:right w:type="dxa" w:w="140"/>
            </w:tcMar>
          </w:tcPr>
          <w:p>
            <w:r>
              <w:rPr>
                <w:rFonts w:ascii="Arial" w:cs="Arial" w:eastAsia="Arial" w:hAnsi="Arial"/>
                <w:b w:val="false"/>
                <w:bCs w:val="false"/>
                <w:color w:val="1E293B"/>
                <w:sz w:val="20"/>
                <w:szCs w:val="20"/>
              </w:rPr>
              <w:t xml:space="preserve">Live IoT sensors + certified engineering thresholds + market comparables</w:t>
            </w:r>
          </w:p>
        </w:tc>
      </w:tr>
      <w:tr>
        <w:trPr>
          <w:tblHeader w:val="false"/>
        </w:trPr>
        <w:tc>
          <w:tcPr>
            <w:tcW w:type="dxa" w:w="2700"/>
            <w:tcBorders>
              <w:top w:val="single" w:color="CBD5E1" w:sz="1"/>
              <w:left w:val="single" w:color="CBD5E1" w:sz="1"/>
              <w:bottom w:val="single" w:color="CBD5E1" w:sz="1"/>
              <w:right w:val="single" w:color="CBD5E1" w:sz="1"/>
            </w:tcBorders>
            <w:shd w:fill="F0F4F8" w:val="clear"/>
            <w:tcMar>
              <w:top w:type="dxa" w:w="90"/>
              <w:left w:type="dxa" w:w="140"/>
              <w:bottom w:type="dxa" w:w="90"/>
              <w:right w:type="dxa" w:w="140"/>
            </w:tcMar>
          </w:tcPr>
          <w:p>
            <w:r>
              <w:rPr>
                <w:rFonts w:ascii="Arial" w:cs="Arial" w:eastAsia="Arial" w:hAnsi="Arial"/>
                <w:b/>
                <w:bCs/>
                <w:color w:val="0A1628"/>
                <w:sz w:val="20"/>
                <w:szCs w:val="20"/>
              </w:rPr>
              <w:t xml:space="preserve">Lag to reflect building condition change</w:t>
            </w:r>
          </w:p>
        </w:tc>
        <w:tc>
          <w:tcPr>
            <w:tcW w:type="dxa" w:w="333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20"/>
                <w:szCs w:val="20"/>
              </w:rPr>
              <w:t xml:space="preserve">6–12 months</w:t>
            </w:r>
          </w:p>
        </w:tc>
        <w:tc>
          <w:tcPr>
            <w:tcW w:type="dxa" w:w="333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20"/>
                <w:szCs w:val="20"/>
              </w:rPr>
              <w:t xml:space="preserve">Minutes to hours — sensor data flows directly into RTPMV</w:t>
            </w:r>
          </w:p>
        </w:tc>
      </w:tr>
      <w:tr>
        <w:trPr>
          <w:tblHeader w:val="false"/>
        </w:trPr>
        <w:tc>
          <w:tcPr>
            <w:tcW w:type="dxa" w:w="2700"/>
            <w:tcBorders>
              <w:top w:val="single" w:color="CBD5E1" w:sz="1"/>
              <w:left w:val="single" w:color="CBD5E1" w:sz="1"/>
              <w:bottom w:val="single" w:color="CBD5E1" w:sz="1"/>
              <w:right w:val="single" w:color="CBD5E1" w:sz="1"/>
            </w:tcBorders>
            <w:shd w:fill="F0F4F8" w:val="clear"/>
            <w:tcMar>
              <w:top w:type="dxa" w:w="90"/>
              <w:left w:type="dxa" w:w="140"/>
              <w:bottom w:type="dxa" w:w="90"/>
              <w:right w:type="dxa" w:w="140"/>
            </w:tcMar>
          </w:tcPr>
          <w:p>
            <w:r>
              <w:rPr>
                <w:rFonts w:ascii="Arial" w:cs="Arial" w:eastAsia="Arial" w:hAnsi="Arial"/>
                <w:b/>
                <w:bCs/>
                <w:color w:val="0A1628"/>
                <w:sz w:val="20"/>
                <w:szCs w:val="20"/>
              </w:rPr>
              <w:t xml:space="preserve">Basis of valuation</w:t>
            </w:r>
          </w:p>
        </w:tc>
        <w:tc>
          <w:tcPr>
            <w:tcW w:type="dxa" w:w="3330"/>
            <w:tcBorders>
              <w:top w:val="single" w:color="CBD5E1" w:sz="1"/>
              <w:left w:val="single" w:color="CBD5E1" w:sz="1"/>
              <w:bottom w:val="single" w:color="CBD5E1" w:sz="1"/>
              <w:right w:val="single" w:color="CBD5E1" w:sz="1"/>
            </w:tcBorders>
            <w:shd w:fill="FAFAFA" w:val="clear"/>
            <w:tcMar>
              <w:top w:type="dxa" w:w="90"/>
              <w:left w:type="dxa" w:w="140"/>
              <w:bottom w:type="dxa" w:w="90"/>
              <w:right w:type="dxa" w:w="140"/>
            </w:tcMar>
          </w:tcPr>
          <w:p>
            <w:r>
              <w:rPr>
                <w:rFonts w:ascii="Arial" w:cs="Arial" w:eastAsia="Arial" w:hAnsi="Arial"/>
                <w:b w:val="false"/>
                <w:bCs w:val="false"/>
                <w:color w:val="1E293B"/>
                <w:sz w:val="20"/>
                <w:szCs w:val="20"/>
              </w:rPr>
              <w:t xml:space="preserve">Subjective appraiser judgment</w:t>
            </w:r>
          </w:p>
        </w:tc>
        <w:tc>
          <w:tcPr>
            <w:tcW w:type="dxa" w:w="3330"/>
            <w:tcBorders>
              <w:top w:val="single" w:color="CBD5E1" w:sz="1"/>
              <w:left w:val="single" w:color="CBD5E1" w:sz="1"/>
              <w:bottom w:val="single" w:color="CBD5E1" w:sz="1"/>
              <w:right w:val="single" w:color="CBD5E1" w:sz="1"/>
            </w:tcBorders>
            <w:shd w:fill="FAFAFA" w:val="clear"/>
            <w:tcMar>
              <w:top w:type="dxa" w:w="90"/>
              <w:left w:type="dxa" w:w="140"/>
              <w:bottom w:type="dxa" w:w="90"/>
              <w:right w:type="dxa" w:w="140"/>
            </w:tcMar>
          </w:tcPr>
          <w:p>
            <w:r>
              <w:rPr>
                <w:rFonts w:ascii="Arial" w:cs="Arial" w:eastAsia="Arial" w:hAnsi="Arial"/>
                <w:b w:val="false"/>
                <w:bCs w:val="false"/>
                <w:color w:val="1E293B"/>
                <w:sz w:val="20"/>
                <w:szCs w:val="20"/>
              </w:rPr>
              <w:t xml:space="preserve">Objective, formula-driven, engineer-certified, and auditable</w:t>
            </w:r>
          </w:p>
        </w:tc>
      </w:tr>
      <w:tr>
        <w:trPr>
          <w:tblHeader w:val="false"/>
        </w:trPr>
        <w:tc>
          <w:tcPr>
            <w:tcW w:type="dxa" w:w="2700"/>
            <w:tcBorders>
              <w:top w:val="single" w:color="CBD5E1" w:sz="1"/>
              <w:left w:val="single" w:color="CBD5E1" w:sz="1"/>
              <w:bottom w:val="single" w:color="CBD5E1" w:sz="1"/>
              <w:right w:val="single" w:color="CBD5E1" w:sz="1"/>
            </w:tcBorders>
            <w:shd w:fill="F0F4F8" w:val="clear"/>
            <w:tcMar>
              <w:top w:type="dxa" w:w="90"/>
              <w:left w:type="dxa" w:w="140"/>
              <w:bottom w:type="dxa" w:w="90"/>
              <w:right w:type="dxa" w:w="140"/>
            </w:tcMar>
          </w:tcPr>
          <w:p>
            <w:r>
              <w:rPr>
                <w:rFonts w:ascii="Arial" w:cs="Arial" w:eastAsia="Arial" w:hAnsi="Arial"/>
                <w:b/>
                <w:bCs/>
                <w:color w:val="0A1628"/>
                <w:sz w:val="20"/>
                <w:szCs w:val="20"/>
              </w:rPr>
              <w:t xml:space="preserve">Cost per valuation</w:t>
            </w:r>
          </w:p>
        </w:tc>
        <w:tc>
          <w:tcPr>
            <w:tcW w:type="dxa" w:w="333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20"/>
                <w:szCs w:val="20"/>
              </w:rPr>
              <w:t xml:space="preserve">RM 5,000–50,000 per property</w:t>
            </w:r>
          </w:p>
        </w:tc>
        <w:tc>
          <w:tcPr>
            <w:tcW w:type="dxa" w:w="333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20"/>
                <w:szCs w:val="20"/>
              </w:rPr>
              <w:t xml:space="preserve">Continuous, included in SaaS subscription</w:t>
            </w:r>
          </w:p>
        </w:tc>
      </w:tr>
    </w:tbl>
    <w:p>
      <w:pPr>
        <w:spacing w:before="0" w:after="0"/>
      </w:pPr>
      <w:r>
        <w:t xml:space="preserve"/>
      </w:r>
    </w:p>
    <w:p>
      <w:pPr>
        <w:pStyle w:val="Heading2"/>
        <w:spacing w:before="300" w:after="120"/>
      </w:pPr>
      <w:r>
        <w:rPr>
          <w:rFonts w:ascii="Arial" w:cs="Arial" w:eastAsia="Arial" w:hAnsi="Arial"/>
          <w:b/>
          <w:bCs/>
          <w:color w:val="0A1628"/>
          <w:sz w:val="30"/>
          <w:szCs w:val="30"/>
        </w:rPr>
        <w:t xml:space="preserve">12.2  Portfolio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30"/>
        <w:gridCol w:w="3330"/>
      </w:tblGrid>
      <w:tr>
        <w:trPr>
          <w:tblHeader/>
        </w:trPr>
        <w:tc>
          <w:tcPr>
            <w:tcW w:type="dxa" w:w="2700"/>
            <w:tcBorders>
              <w:top w:val="single" w:color="CBD5E1" w:sz="1"/>
              <w:left w:val="single" w:color="CBD5E1" w:sz="1"/>
              <w:bottom w:val="single" w:color="CBD5E1" w:sz="1"/>
              <w:right w:val="single" w:color="CBD5E1"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Dimension</w:t>
            </w:r>
          </w:p>
        </w:tc>
        <w:tc>
          <w:tcPr>
            <w:tcW w:type="dxa" w:w="3330"/>
            <w:tcBorders>
              <w:top w:val="single" w:color="CBD5E1" w:sz="1"/>
              <w:left w:val="single" w:color="CBD5E1" w:sz="1"/>
              <w:bottom w:val="single" w:color="CBD5E1" w:sz="1"/>
              <w:right w:val="single" w:color="CBD5E1"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Conventional REIT Tools</w:t>
            </w:r>
          </w:p>
        </w:tc>
        <w:tc>
          <w:tcPr>
            <w:tcW w:type="dxa" w:w="3330"/>
            <w:tcBorders>
              <w:top w:val="single" w:color="CBD5E1" w:sz="1"/>
              <w:left w:val="single" w:color="CBD5E1" w:sz="1"/>
              <w:bottom w:val="single" w:color="CBD5E1" w:sz="1"/>
              <w:right w:val="single" w:color="CBD5E1"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TwinVal Dashboard</w:t>
            </w:r>
          </w:p>
        </w:tc>
      </w:tr>
      <w:tr>
        <w:trPr>
          <w:tblHeader w:val="false"/>
        </w:trPr>
        <w:tc>
          <w:tcPr>
            <w:tcW w:type="dxa" w:w="2700"/>
            <w:tcBorders>
              <w:top w:val="single" w:color="CBD5E1" w:sz="1"/>
              <w:left w:val="single" w:color="CBD5E1" w:sz="1"/>
              <w:bottom w:val="single" w:color="CBD5E1" w:sz="1"/>
              <w:right w:val="single" w:color="CBD5E1" w:sz="1"/>
            </w:tcBorders>
            <w:shd w:fill="F0F4F8" w:val="clear"/>
            <w:tcMar>
              <w:top w:type="dxa" w:w="90"/>
              <w:left w:type="dxa" w:w="140"/>
              <w:bottom w:type="dxa" w:w="90"/>
              <w:right w:type="dxa" w:w="140"/>
            </w:tcMar>
          </w:tcPr>
          <w:p>
            <w:r>
              <w:rPr>
                <w:rFonts w:ascii="Arial" w:cs="Arial" w:eastAsia="Arial" w:hAnsi="Arial"/>
                <w:b/>
                <w:bCs/>
                <w:color w:val="0A1628"/>
                <w:sz w:val="20"/>
                <w:szCs w:val="20"/>
              </w:rPr>
              <w:t xml:space="preserve">Building health monitoring</w:t>
            </w:r>
          </w:p>
        </w:tc>
        <w:tc>
          <w:tcPr>
            <w:tcW w:type="dxa" w:w="333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20"/>
                <w:szCs w:val="20"/>
              </w:rPr>
              <w:t xml:space="preserve">Manual inspection schedules (quarterly or annual)</w:t>
            </w:r>
          </w:p>
        </w:tc>
        <w:tc>
          <w:tcPr>
            <w:tcW w:type="dxa" w:w="333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20"/>
                <w:szCs w:val="20"/>
              </w:rPr>
              <w:t xml:space="preserve">Continuous — 5 sensor streams per property, updating live</w:t>
            </w:r>
          </w:p>
        </w:tc>
      </w:tr>
      <w:tr>
        <w:trPr>
          <w:tblHeader w:val="false"/>
        </w:trPr>
        <w:tc>
          <w:tcPr>
            <w:tcW w:type="dxa" w:w="2700"/>
            <w:tcBorders>
              <w:top w:val="single" w:color="CBD5E1" w:sz="1"/>
              <w:left w:val="single" w:color="CBD5E1" w:sz="1"/>
              <w:bottom w:val="single" w:color="CBD5E1" w:sz="1"/>
              <w:right w:val="single" w:color="CBD5E1" w:sz="1"/>
            </w:tcBorders>
            <w:shd w:fill="F0F4F8" w:val="clear"/>
            <w:tcMar>
              <w:top w:type="dxa" w:w="90"/>
              <w:left w:type="dxa" w:w="140"/>
              <w:bottom w:type="dxa" w:w="90"/>
              <w:right w:type="dxa" w:w="140"/>
            </w:tcMar>
          </w:tcPr>
          <w:p>
            <w:r>
              <w:rPr>
                <w:rFonts w:ascii="Arial" w:cs="Arial" w:eastAsia="Arial" w:hAnsi="Arial"/>
                <w:b/>
                <w:bCs/>
                <w:color w:val="0A1628"/>
                <w:sz w:val="20"/>
                <w:szCs w:val="20"/>
              </w:rPr>
              <w:t xml:space="preserve">Early warning of deterioration</w:t>
            </w:r>
          </w:p>
        </w:tc>
        <w:tc>
          <w:tcPr>
            <w:tcW w:type="dxa" w:w="3330"/>
            <w:tcBorders>
              <w:top w:val="single" w:color="CBD5E1" w:sz="1"/>
              <w:left w:val="single" w:color="CBD5E1" w:sz="1"/>
              <w:bottom w:val="single" w:color="CBD5E1" w:sz="1"/>
              <w:right w:val="single" w:color="CBD5E1" w:sz="1"/>
            </w:tcBorders>
            <w:shd w:fill="FAFAFA" w:val="clear"/>
            <w:tcMar>
              <w:top w:type="dxa" w:w="90"/>
              <w:left w:type="dxa" w:w="140"/>
              <w:bottom w:type="dxa" w:w="90"/>
              <w:right w:type="dxa" w:w="140"/>
            </w:tcMar>
          </w:tcPr>
          <w:p>
            <w:r>
              <w:rPr>
                <w:rFonts w:ascii="Arial" w:cs="Arial" w:eastAsia="Arial" w:hAnsi="Arial"/>
                <w:b w:val="false"/>
                <w:bCs w:val="false"/>
                <w:color w:val="1E293B"/>
                <w:sz w:val="20"/>
                <w:szCs w:val="20"/>
              </w:rPr>
              <w:t xml:space="preserve">Detected at next scheduled inspection</w:t>
            </w:r>
          </w:p>
        </w:tc>
        <w:tc>
          <w:tcPr>
            <w:tcW w:type="dxa" w:w="3330"/>
            <w:tcBorders>
              <w:top w:val="single" w:color="CBD5E1" w:sz="1"/>
              <w:left w:val="single" w:color="CBD5E1" w:sz="1"/>
              <w:bottom w:val="single" w:color="CBD5E1" w:sz="1"/>
              <w:right w:val="single" w:color="CBD5E1" w:sz="1"/>
            </w:tcBorders>
            <w:shd w:fill="FAFAFA" w:val="clear"/>
            <w:tcMar>
              <w:top w:type="dxa" w:w="90"/>
              <w:left w:type="dxa" w:w="140"/>
              <w:bottom w:type="dxa" w:w="90"/>
              <w:right w:type="dxa" w:w="140"/>
            </w:tcMar>
          </w:tcPr>
          <w:p>
            <w:r>
              <w:rPr>
                <w:rFonts w:ascii="Arial" w:cs="Arial" w:eastAsia="Arial" w:hAnsi="Arial"/>
                <w:b w:val="false"/>
                <w:bCs w:val="false"/>
                <w:color w:val="1E293B"/>
                <w:sz w:val="20"/>
                <w:szCs w:val="20"/>
              </w:rPr>
              <w:t xml:space="preserve">Detected within minutes via sensor threshold breach</w:t>
            </w:r>
          </w:p>
        </w:tc>
      </w:tr>
      <w:tr>
        <w:trPr>
          <w:tblHeader w:val="false"/>
        </w:trPr>
        <w:tc>
          <w:tcPr>
            <w:tcW w:type="dxa" w:w="2700"/>
            <w:tcBorders>
              <w:top w:val="single" w:color="CBD5E1" w:sz="1"/>
              <w:left w:val="single" w:color="CBD5E1" w:sz="1"/>
              <w:bottom w:val="single" w:color="CBD5E1" w:sz="1"/>
              <w:right w:val="single" w:color="CBD5E1" w:sz="1"/>
            </w:tcBorders>
            <w:shd w:fill="F0F4F8" w:val="clear"/>
            <w:tcMar>
              <w:top w:type="dxa" w:w="90"/>
              <w:left w:type="dxa" w:w="140"/>
              <w:bottom w:type="dxa" w:w="90"/>
              <w:right w:type="dxa" w:w="140"/>
            </w:tcMar>
          </w:tcPr>
          <w:p>
            <w:r>
              <w:rPr>
                <w:rFonts w:ascii="Arial" w:cs="Arial" w:eastAsia="Arial" w:hAnsi="Arial"/>
                <w:b/>
                <w:bCs/>
                <w:color w:val="0A1628"/>
                <w:sz w:val="20"/>
                <w:szCs w:val="20"/>
              </w:rPr>
              <w:t xml:space="preserve">Occupancy data</w:t>
            </w:r>
          </w:p>
        </w:tc>
        <w:tc>
          <w:tcPr>
            <w:tcW w:type="dxa" w:w="333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20"/>
                <w:szCs w:val="20"/>
              </w:rPr>
              <w:t xml:space="preserve">Monthly from property manager reports</w:t>
            </w:r>
          </w:p>
        </w:tc>
        <w:tc>
          <w:tcPr>
            <w:tcW w:type="dxa" w:w="333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20"/>
                <w:szCs w:val="20"/>
              </w:rPr>
              <w:t xml:space="preserve">Live — inferred from motion, access, and electrical sensors</w:t>
            </w:r>
          </w:p>
        </w:tc>
      </w:tr>
      <w:tr>
        <w:trPr>
          <w:tblHeader w:val="false"/>
        </w:trPr>
        <w:tc>
          <w:tcPr>
            <w:tcW w:type="dxa" w:w="2700"/>
            <w:tcBorders>
              <w:top w:val="single" w:color="CBD5E1" w:sz="1"/>
              <w:left w:val="single" w:color="CBD5E1" w:sz="1"/>
              <w:bottom w:val="single" w:color="CBD5E1" w:sz="1"/>
              <w:right w:val="single" w:color="CBD5E1" w:sz="1"/>
            </w:tcBorders>
            <w:shd w:fill="F0F4F8" w:val="clear"/>
            <w:tcMar>
              <w:top w:type="dxa" w:w="90"/>
              <w:left w:type="dxa" w:w="140"/>
              <w:bottom w:type="dxa" w:w="90"/>
              <w:right w:type="dxa" w:w="140"/>
            </w:tcMar>
          </w:tcPr>
          <w:p>
            <w:r>
              <w:rPr>
                <w:rFonts w:ascii="Arial" w:cs="Arial" w:eastAsia="Arial" w:hAnsi="Arial"/>
                <w:b/>
                <w:bCs/>
                <w:color w:val="0A1628"/>
                <w:sz w:val="20"/>
                <w:szCs w:val="20"/>
              </w:rPr>
              <w:t xml:space="preserve">Portfolio health view</w:t>
            </w:r>
          </w:p>
        </w:tc>
        <w:tc>
          <w:tcPr>
            <w:tcW w:type="dxa" w:w="3330"/>
            <w:tcBorders>
              <w:top w:val="single" w:color="CBD5E1" w:sz="1"/>
              <w:left w:val="single" w:color="CBD5E1" w:sz="1"/>
              <w:bottom w:val="single" w:color="CBD5E1" w:sz="1"/>
              <w:right w:val="single" w:color="CBD5E1" w:sz="1"/>
            </w:tcBorders>
            <w:shd w:fill="FAFAFA" w:val="clear"/>
            <w:tcMar>
              <w:top w:type="dxa" w:w="90"/>
              <w:left w:type="dxa" w:w="140"/>
              <w:bottom w:type="dxa" w:w="90"/>
              <w:right w:type="dxa" w:w="140"/>
            </w:tcMar>
          </w:tcPr>
          <w:p>
            <w:r>
              <w:rPr>
                <w:rFonts w:ascii="Arial" w:cs="Arial" w:eastAsia="Arial" w:hAnsi="Arial"/>
                <w:b w:val="false"/>
                <w:bCs w:val="false"/>
                <w:color w:val="1E293B"/>
                <w:sz w:val="20"/>
                <w:szCs w:val="20"/>
              </w:rPr>
              <w:t xml:space="preserve">Not available — no comparable metric exists</w:t>
            </w:r>
          </w:p>
        </w:tc>
        <w:tc>
          <w:tcPr>
            <w:tcW w:type="dxa" w:w="3330"/>
            <w:tcBorders>
              <w:top w:val="single" w:color="CBD5E1" w:sz="1"/>
              <w:left w:val="single" w:color="CBD5E1" w:sz="1"/>
              <w:bottom w:val="single" w:color="CBD5E1" w:sz="1"/>
              <w:right w:val="single" w:color="CBD5E1" w:sz="1"/>
            </w:tcBorders>
            <w:shd w:fill="FAFAFA" w:val="clear"/>
            <w:tcMar>
              <w:top w:type="dxa" w:w="90"/>
              <w:left w:type="dxa" w:w="140"/>
              <w:bottom w:type="dxa" w:w="90"/>
              <w:right w:type="dxa" w:w="140"/>
            </w:tcMar>
          </w:tcPr>
          <w:p>
            <w:r>
              <w:rPr>
                <w:rFonts w:ascii="Arial" w:cs="Arial" w:eastAsia="Arial" w:hAnsi="Arial"/>
                <w:b w:val="false"/>
                <w:bCs w:val="false"/>
                <w:color w:val="1E293B"/>
                <w:sz w:val="20"/>
                <w:szCs w:val="20"/>
              </w:rPr>
              <w:t xml:space="preserve">Composite Health Score across all assets, live and comparable</w:t>
            </w:r>
          </w:p>
        </w:tc>
      </w:tr>
      <w:tr>
        <w:trPr>
          <w:tblHeader w:val="false"/>
        </w:trPr>
        <w:tc>
          <w:tcPr>
            <w:tcW w:type="dxa" w:w="2700"/>
            <w:tcBorders>
              <w:top w:val="single" w:color="CBD5E1" w:sz="1"/>
              <w:left w:val="single" w:color="CBD5E1" w:sz="1"/>
              <w:bottom w:val="single" w:color="CBD5E1" w:sz="1"/>
              <w:right w:val="single" w:color="CBD5E1" w:sz="1"/>
            </w:tcBorders>
            <w:shd w:fill="F0F4F8" w:val="clear"/>
            <w:tcMar>
              <w:top w:type="dxa" w:w="90"/>
              <w:left w:type="dxa" w:w="140"/>
              <w:bottom w:type="dxa" w:w="90"/>
              <w:right w:type="dxa" w:w="140"/>
            </w:tcMar>
          </w:tcPr>
          <w:p>
            <w:r>
              <w:rPr>
                <w:rFonts w:ascii="Arial" w:cs="Arial" w:eastAsia="Arial" w:hAnsi="Arial"/>
                <w:b/>
                <w:bCs/>
                <w:color w:val="0A1628"/>
                <w:sz w:val="20"/>
                <w:szCs w:val="20"/>
              </w:rPr>
              <w:t xml:space="preserve">Capex trigger identification</w:t>
            </w:r>
          </w:p>
        </w:tc>
        <w:tc>
          <w:tcPr>
            <w:tcW w:type="dxa" w:w="333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20"/>
                <w:szCs w:val="20"/>
              </w:rPr>
              <w:t xml:space="preserve">Reactive — after visible damage or failure</w:t>
            </w:r>
          </w:p>
        </w:tc>
        <w:tc>
          <w:tcPr>
            <w:tcW w:type="dxa" w:w="333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20"/>
                <w:szCs w:val="20"/>
              </w:rPr>
              <w:t xml:space="preserve">Predictive — PDP forecasts deterioration before failure</w:t>
            </w:r>
          </w:p>
        </w:tc>
      </w:tr>
    </w:tbl>
    <w:p>
      <w:pPr>
        <w:spacing w:before="0" w:after="0"/>
      </w:pPr>
      <w:r>
        <w:t xml:space="preserve"/>
      </w:r>
    </w:p>
    <w:p>
      <w:pPr>
        <w:pStyle w:val="Heading2"/>
        <w:spacing w:before="300" w:after="120"/>
      </w:pPr>
      <w:r>
        <w:rPr>
          <w:rFonts w:ascii="Arial" w:cs="Arial" w:eastAsia="Arial" w:hAnsi="Arial"/>
          <w:b/>
          <w:bCs/>
          <w:color w:val="0A1628"/>
          <w:sz w:val="30"/>
          <w:szCs w:val="30"/>
        </w:rPr>
        <w:t xml:space="preserve">12.3  Income &amp; Financial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30"/>
        <w:gridCol w:w="3330"/>
      </w:tblGrid>
      <w:tr>
        <w:trPr>
          <w:tblHeader/>
        </w:trPr>
        <w:tc>
          <w:tcPr>
            <w:tcW w:type="dxa" w:w="2700"/>
            <w:tcBorders>
              <w:top w:val="single" w:color="CBD5E1" w:sz="1"/>
              <w:left w:val="single" w:color="CBD5E1" w:sz="1"/>
              <w:bottom w:val="single" w:color="CBD5E1" w:sz="1"/>
              <w:right w:val="single" w:color="CBD5E1"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Dimension</w:t>
            </w:r>
          </w:p>
        </w:tc>
        <w:tc>
          <w:tcPr>
            <w:tcW w:type="dxa" w:w="3330"/>
            <w:tcBorders>
              <w:top w:val="single" w:color="CBD5E1" w:sz="1"/>
              <w:left w:val="single" w:color="CBD5E1" w:sz="1"/>
              <w:bottom w:val="single" w:color="CBD5E1" w:sz="1"/>
              <w:right w:val="single" w:color="CBD5E1"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Conventional REIT Tools</w:t>
            </w:r>
          </w:p>
        </w:tc>
        <w:tc>
          <w:tcPr>
            <w:tcW w:type="dxa" w:w="3330"/>
            <w:tcBorders>
              <w:top w:val="single" w:color="CBD5E1" w:sz="1"/>
              <w:left w:val="single" w:color="CBD5E1" w:sz="1"/>
              <w:bottom w:val="single" w:color="CBD5E1" w:sz="1"/>
              <w:right w:val="single" w:color="CBD5E1"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TwinVal Dashboard</w:t>
            </w:r>
          </w:p>
        </w:tc>
      </w:tr>
      <w:tr>
        <w:trPr>
          <w:tblHeader w:val="false"/>
        </w:trPr>
        <w:tc>
          <w:tcPr>
            <w:tcW w:type="dxa" w:w="2700"/>
            <w:tcBorders>
              <w:top w:val="single" w:color="CBD5E1" w:sz="1"/>
              <w:left w:val="single" w:color="CBD5E1" w:sz="1"/>
              <w:bottom w:val="single" w:color="CBD5E1" w:sz="1"/>
              <w:right w:val="single" w:color="CBD5E1" w:sz="1"/>
            </w:tcBorders>
            <w:shd w:fill="F0F4F8" w:val="clear"/>
            <w:tcMar>
              <w:top w:type="dxa" w:w="90"/>
              <w:left w:type="dxa" w:w="140"/>
              <w:bottom w:type="dxa" w:w="90"/>
              <w:right w:type="dxa" w:w="140"/>
            </w:tcMar>
          </w:tcPr>
          <w:p>
            <w:r>
              <w:rPr>
                <w:rFonts w:ascii="Arial" w:cs="Arial" w:eastAsia="Arial" w:hAnsi="Arial"/>
                <w:b/>
                <w:bCs/>
                <w:color w:val="0A1628"/>
                <w:sz w:val="20"/>
                <w:szCs w:val="20"/>
              </w:rPr>
              <w:t xml:space="preserve">DPU calculation</w:t>
            </w:r>
          </w:p>
        </w:tc>
        <w:tc>
          <w:tcPr>
            <w:tcW w:type="dxa" w:w="333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20"/>
                <w:szCs w:val="20"/>
              </w:rPr>
              <w:t xml:space="preserve">Quarterly by finance team in Excel</w:t>
            </w:r>
          </w:p>
        </w:tc>
        <w:tc>
          <w:tcPr>
            <w:tcW w:type="dxa" w:w="333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20"/>
                <w:szCs w:val="20"/>
              </w:rPr>
              <w:t xml:space="preserve">Continuous — derived from live NPI, interest, and fee rates</w:t>
            </w:r>
          </w:p>
        </w:tc>
      </w:tr>
      <w:tr>
        <w:trPr>
          <w:tblHeader w:val="false"/>
        </w:trPr>
        <w:tc>
          <w:tcPr>
            <w:tcW w:type="dxa" w:w="2700"/>
            <w:tcBorders>
              <w:top w:val="single" w:color="CBD5E1" w:sz="1"/>
              <w:left w:val="single" w:color="CBD5E1" w:sz="1"/>
              <w:bottom w:val="single" w:color="CBD5E1" w:sz="1"/>
              <w:right w:val="single" w:color="CBD5E1" w:sz="1"/>
            </w:tcBorders>
            <w:shd w:fill="F0F4F8" w:val="clear"/>
            <w:tcMar>
              <w:top w:type="dxa" w:w="90"/>
              <w:left w:type="dxa" w:w="140"/>
              <w:bottom w:type="dxa" w:w="90"/>
              <w:right w:type="dxa" w:w="140"/>
            </w:tcMar>
          </w:tcPr>
          <w:p>
            <w:r>
              <w:rPr>
                <w:rFonts w:ascii="Arial" w:cs="Arial" w:eastAsia="Arial" w:hAnsi="Arial"/>
                <w:b/>
                <w:bCs/>
                <w:color w:val="0A1628"/>
                <w:sz w:val="20"/>
                <w:szCs w:val="20"/>
              </w:rPr>
              <w:t xml:space="preserve">Gearing ratio monitoring</w:t>
            </w:r>
          </w:p>
        </w:tc>
        <w:tc>
          <w:tcPr>
            <w:tcW w:type="dxa" w:w="3330"/>
            <w:tcBorders>
              <w:top w:val="single" w:color="CBD5E1" w:sz="1"/>
              <w:left w:val="single" w:color="CBD5E1" w:sz="1"/>
              <w:bottom w:val="single" w:color="CBD5E1" w:sz="1"/>
              <w:right w:val="single" w:color="CBD5E1" w:sz="1"/>
            </w:tcBorders>
            <w:shd w:fill="FAFAFA" w:val="clear"/>
            <w:tcMar>
              <w:top w:type="dxa" w:w="90"/>
              <w:left w:type="dxa" w:w="140"/>
              <w:bottom w:type="dxa" w:w="90"/>
              <w:right w:type="dxa" w:w="140"/>
            </w:tcMar>
          </w:tcPr>
          <w:p>
            <w:r>
              <w:rPr>
                <w:rFonts w:ascii="Arial" w:cs="Arial" w:eastAsia="Arial" w:hAnsi="Arial"/>
                <w:b w:val="false"/>
                <w:bCs w:val="false"/>
                <w:color w:val="1E293B"/>
                <w:sz w:val="20"/>
                <w:szCs w:val="20"/>
              </w:rPr>
              <w:t xml:space="preserve">Monthly or quarterly from management accounts</w:t>
            </w:r>
          </w:p>
        </w:tc>
        <w:tc>
          <w:tcPr>
            <w:tcW w:type="dxa" w:w="3330"/>
            <w:tcBorders>
              <w:top w:val="single" w:color="CBD5E1" w:sz="1"/>
              <w:left w:val="single" w:color="CBD5E1" w:sz="1"/>
              <w:bottom w:val="single" w:color="CBD5E1" w:sz="1"/>
              <w:right w:val="single" w:color="CBD5E1" w:sz="1"/>
            </w:tcBorders>
            <w:shd w:fill="FAFAFA" w:val="clear"/>
            <w:tcMar>
              <w:top w:type="dxa" w:w="90"/>
              <w:left w:type="dxa" w:w="140"/>
              <w:bottom w:type="dxa" w:w="90"/>
              <w:right w:type="dxa" w:w="140"/>
            </w:tcMar>
          </w:tcPr>
          <w:p>
            <w:r>
              <w:rPr>
                <w:rFonts w:ascii="Arial" w:cs="Arial" w:eastAsia="Arial" w:hAnsi="Arial"/>
                <w:b w:val="false"/>
                <w:bCs w:val="false"/>
                <w:color w:val="1E293B"/>
                <w:sz w:val="20"/>
                <w:szCs w:val="20"/>
              </w:rPr>
              <w:t xml:space="preserve">Continuous — denominator (RTPMV) updates live</w:t>
            </w:r>
          </w:p>
        </w:tc>
      </w:tr>
      <w:tr>
        <w:trPr>
          <w:tblHeader w:val="false"/>
        </w:trPr>
        <w:tc>
          <w:tcPr>
            <w:tcW w:type="dxa" w:w="2700"/>
            <w:tcBorders>
              <w:top w:val="single" w:color="CBD5E1" w:sz="1"/>
              <w:left w:val="single" w:color="CBD5E1" w:sz="1"/>
              <w:bottom w:val="single" w:color="CBD5E1" w:sz="1"/>
              <w:right w:val="single" w:color="CBD5E1" w:sz="1"/>
            </w:tcBorders>
            <w:shd w:fill="F0F4F8" w:val="clear"/>
            <w:tcMar>
              <w:top w:type="dxa" w:w="90"/>
              <w:left w:type="dxa" w:w="140"/>
              <w:bottom w:type="dxa" w:w="90"/>
              <w:right w:type="dxa" w:w="140"/>
            </w:tcMar>
          </w:tcPr>
          <w:p>
            <w:r>
              <w:rPr>
                <w:rFonts w:ascii="Arial" w:cs="Arial" w:eastAsia="Arial" w:hAnsi="Arial"/>
                <w:b/>
                <w:bCs/>
                <w:color w:val="0A1628"/>
                <w:sz w:val="20"/>
                <w:szCs w:val="20"/>
              </w:rPr>
              <w:t xml:space="preserve">NAV per unit</w:t>
            </w:r>
          </w:p>
        </w:tc>
        <w:tc>
          <w:tcPr>
            <w:tcW w:type="dxa" w:w="333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20"/>
                <w:szCs w:val="20"/>
              </w:rPr>
              <w:t xml:space="preserve">Reported semi-annually or annually</w:t>
            </w:r>
          </w:p>
        </w:tc>
        <w:tc>
          <w:tcPr>
            <w:tcW w:type="dxa" w:w="333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20"/>
                <w:szCs w:val="20"/>
              </w:rPr>
              <w:t xml:space="preserve">Live — updates with every sensor tick</w:t>
            </w:r>
          </w:p>
        </w:tc>
      </w:tr>
      <w:tr>
        <w:trPr>
          <w:tblHeader w:val="false"/>
        </w:trPr>
        <w:tc>
          <w:tcPr>
            <w:tcW w:type="dxa" w:w="2700"/>
            <w:tcBorders>
              <w:top w:val="single" w:color="CBD5E1" w:sz="1"/>
              <w:left w:val="single" w:color="CBD5E1" w:sz="1"/>
              <w:bottom w:val="single" w:color="CBD5E1" w:sz="1"/>
              <w:right w:val="single" w:color="CBD5E1" w:sz="1"/>
            </w:tcBorders>
            <w:shd w:fill="F0F4F8" w:val="clear"/>
            <w:tcMar>
              <w:top w:type="dxa" w:w="90"/>
              <w:left w:type="dxa" w:w="140"/>
              <w:bottom w:type="dxa" w:w="90"/>
              <w:right w:type="dxa" w:w="140"/>
            </w:tcMar>
          </w:tcPr>
          <w:p>
            <w:r>
              <w:rPr>
                <w:rFonts w:ascii="Arial" w:cs="Arial" w:eastAsia="Arial" w:hAnsi="Arial"/>
                <w:b/>
                <w:bCs/>
                <w:color w:val="0A1628"/>
                <w:sz w:val="20"/>
                <w:szCs w:val="20"/>
              </w:rPr>
              <w:t xml:space="preserve">Income waterfall</w:t>
            </w:r>
          </w:p>
        </w:tc>
        <w:tc>
          <w:tcPr>
            <w:tcW w:type="dxa" w:w="3330"/>
            <w:tcBorders>
              <w:top w:val="single" w:color="CBD5E1" w:sz="1"/>
              <w:left w:val="single" w:color="CBD5E1" w:sz="1"/>
              <w:bottom w:val="single" w:color="CBD5E1" w:sz="1"/>
              <w:right w:val="single" w:color="CBD5E1" w:sz="1"/>
            </w:tcBorders>
            <w:shd w:fill="FAFAFA" w:val="clear"/>
            <w:tcMar>
              <w:top w:type="dxa" w:w="90"/>
              <w:left w:type="dxa" w:w="140"/>
              <w:bottom w:type="dxa" w:w="90"/>
              <w:right w:type="dxa" w:w="140"/>
            </w:tcMar>
          </w:tcPr>
          <w:p>
            <w:r>
              <w:rPr>
                <w:rFonts w:ascii="Arial" w:cs="Arial" w:eastAsia="Arial" w:hAnsi="Arial"/>
                <w:b w:val="false"/>
                <w:bCs w:val="false"/>
                <w:color w:val="1E293B"/>
                <w:sz w:val="20"/>
                <w:szCs w:val="20"/>
              </w:rPr>
              <w:t xml:space="preserve">Static P&amp;L in accounting system</w:t>
            </w:r>
          </w:p>
        </w:tc>
        <w:tc>
          <w:tcPr>
            <w:tcW w:type="dxa" w:w="3330"/>
            <w:tcBorders>
              <w:top w:val="single" w:color="CBD5E1" w:sz="1"/>
              <w:left w:val="single" w:color="CBD5E1" w:sz="1"/>
              <w:bottom w:val="single" w:color="CBD5E1" w:sz="1"/>
              <w:right w:val="single" w:color="CBD5E1" w:sz="1"/>
            </w:tcBorders>
            <w:shd w:fill="FAFAFA" w:val="clear"/>
            <w:tcMar>
              <w:top w:type="dxa" w:w="90"/>
              <w:left w:type="dxa" w:w="140"/>
              <w:bottom w:type="dxa" w:w="90"/>
              <w:right w:type="dxa" w:w="140"/>
            </w:tcMar>
          </w:tcPr>
          <w:p>
            <w:r>
              <w:rPr>
                <w:rFonts w:ascii="Arial" w:cs="Arial" w:eastAsia="Arial" w:hAnsi="Arial"/>
                <w:b w:val="false"/>
                <w:bCs w:val="false"/>
                <w:color w:val="1E293B"/>
                <w:sz w:val="20"/>
                <w:szCs w:val="20"/>
              </w:rPr>
              <w:t xml:space="preserve">Live waterfall from GRI through to distributable income</w:t>
            </w:r>
          </w:p>
        </w:tc>
      </w:tr>
      <w:tr>
        <w:trPr>
          <w:tblHeader w:val="false"/>
        </w:trPr>
        <w:tc>
          <w:tcPr>
            <w:tcW w:type="dxa" w:w="2700"/>
            <w:tcBorders>
              <w:top w:val="single" w:color="CBD5E1" w:sz="1"/>
              <w:left w:val="single" w:color="CBD5E1" w:sz="1"/>
              <w:bottom w:val="single" w:color="CBD5E1" w:sz="1"/>
              <w:right w:val="single" w:color="CBD5E1" w:sz="1"/>
            </w:tcBorders>
            <w:shd w:fill="F0F4F8" w:val="clear"/>
            <w:tcMar>
              <w:top w:type="dxa" w:w="90"/>
              <w:left w:type="dxa" w:w="140"/>
              <w:bottom w:type="dxa" w:w="90"/>
              <w:right w:type="dxa" w:w="140"/>
            </w:tcMar>
          </w:tcPr>
          <w:p>
            <w:r>
              <w:rPr>
                <w:rFonts w:ascii="Arial" w:cs="Arial" w:eastAsia="Arial" w:hAnsi="Arial"/>
                <w:b/>
                <w:bCs/>
                <w:color w:val="0A1628"/>
                <w:sz w:val="20"/>
                <w:szCs w:val="20"/>
              </w:rPr>
              <w:t xml:space="preserve">Tenant concentration risk</w:t>
            </w:r>
          </w:p>
        </w:tc>
        <w:tc>
          <w:tcPr>
            <w:tcW w:type="dxa" w:w="333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20"/>
                <w:szCs w:val="20"/>
              </w:rPr>
              <w:t xml:space="preserve">Annual report disclosure</w:t>
            </w:r>
          </w:p>
        </w:tc>
        <w:tc>
          <w:tcPr>
            <w:tcW w:type="dxa" w:w="333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20"/>
                <w:szCs w:val="20"/>
              </w:rPr>
              <w:t xml:space="preserve">Live — visible per property with automated warning flags</w:t>
            </w:r>
          </w:p>
        </w:tc>
      </w:tr>
    </w:tbl>
    <w:p>
      <w:pPr>
        <w:spacing w:before="0" w:after="0"/>
      </w:pPr>
      <w:r>
        <w:t xml:space="preserve"/>
      </w:r>
    </w:p>
    <w:p>
      <w:pPr>
        <w:pStyle w:val="Heading2"/>
        <w:spacing w:before="300" w:after="120"/>
      </w:pPr>
      <w:r>
        <w:rPr>
          <w:rFonts w:ascii="Arial" w:cs="Arial" w:eastAsia="Arial" w:hAnsi="Arial"/>
          <w:b/>
          <w:bCs/>
          <w:color w:val="0A1628"/>
          <w:sz w:val="30"/>
          <w:szCs w:val="30"/>
        </w:rPr>
        <w:t xml:space="preserve">12.4  Exchange &amp; Trading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30"/>
        <w:gridCol w:w="3330"/>
      </w:tblGrid>
      <w:tr>
        <w:trPr>
          <w:tblHeader/>
        </w:trPr>
        <w:tc>
          <w:tcPr>
            <w:tcW w:type="dxa" w:w="2700"/>
            <w:tcBorders>
              <w:top w:val="single" w:color="CBD5E1" w:sz="1"/>
              <w:left w:val="single" w:color="CBD5E1" w:sz="1"/>
              <w:bottom w:val="single" w:color="CBD5E1" w:sz="1"/>
              <w:right w:val="single" w:color="CBD5E1"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Dimension</w:t>
            </w:r>
          </w:p>
        </w:tc>
        <w:tc>
          <w:tcPr>
            <w:tcW w:type="dxa" w:w="3330"/>
            <w:tcBorders>
              <w:top w:val="single" w:color="CBD5E1" w:sz="1"/>
              <w:left w:val="single" w:color="CBD5E1" w:sz="1"/>
              <w:bottom w:val="single" w:color="CBD5E1" w:sz="1"/>
              <w:right w:val="single" w:color="CBD5E1"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Conventional REIT Tools</w:t>
            </w:r>
          </w:p>
        </w:tc>
        <w:tc>
          <w:tcPr>
            <w:tcW w:type="dxa" w:w="3330"/>
            <w:tcBorders>
              <w:top w:val="single" w:color="CBD5E1" w:sz="1"/>
              <w:left w:val="single" w:color="CBD5E1" w:sz="1"/>
              <w:bottom w:val="single" w:color="CBD5E1" w:sz="1"/>
              <w:right w:val="single" w:color="CBD5E1"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TwinVal Dashboard</w:t>
            </w:r>
          </w:p>
        </w:tc>
      </w:tr>
      <w:tr>
        <w:trPr>
          <w:tblHeader w:val="false"/>
        </w:trPr>
        <w:tc>
          <w:tcPr>
            <w:tcW w:type="dxa" w:w="2700"/>
            <w:tcBorders>
              <w:top w:val="single" w:color="CBD5E1" w:sz="1"/>
              <w:left w:val="single" w:color="CBD5E1" w:sz="1"/>
              <w:bottom w:val="single" w:color="CBD5E1" w:sz="1"/>
              <w:right w:val="single" w:color="CBD5E1" w:sz="1"/>
            </w:tcBorders>
            <w:shd w:fill="F0F4F8" w:val="clear"/>
            <w:tcMar>
              <w:top w:type="dxa" w:w="90"/>
              <w:left w:type="dxa" w:w="140"/>
              <w:bottom w:type="dxa" w:w="90"/>
              <w:right w:type="dxa" w:w="140"/>
            </w:tcMar>
          </w:tcPr>
          <w:p>
            <w:r>
              <w:rPr>
                <w:rFonts w:ascii="Arial" w:cs="Arial" w:eastAsia="Arial" w:hAnsi="Arial"/>
                <w:b/>
                <w:bCs/>
                <w:color w:val="0A1628"/>
                <w:sz w:val="20"/>
                <w:szCs w:val="20"/>
              </w:rPr>
              <w:t xml:space="preserve">Property trading</w:t>
            </w:r>
          </w:p>
        </w:tc>
        <w:tc>
          <w:tcPr>
            <w:tcW w:type="dxa" w:w="333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20"/>
                <w:szCs w:val="20"/>
              </w:rPr>
              <w:t xml:space="preserve">REIT units traded on stock exchange (not individual assets)</w:t>
            </w:r>
          </w:p>
        </w:tc>
        <w:tc>
          <w:tcPr>
            <w:tcW w:type="dxa" w:w="333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20"/>
                <w:szCs w:val="20"/>
              </w:rPr>
              <w:t xml:space="preserve">Individual asset valuation tokens on multi-property exchange</w:t>
            </w:r>
          </w:p>
        </w:tc>
      </w:tr>
      <w:tr>
        <w:trPr>
          <w:tblHeader w:val="false"/>
        </w:trPr>
        <w:tc>
          <w:tcPr>
            <w:tcW w:type="dxa" w:w="2700"/>
            <w:tcBorders>
              <w:top w:val="single" w:color="CBD5E1" w:sz="1"/>
              <w:left w:val="single" w:color="CBD5E1" w:sz="1"/>
              <w:bottom w:val="single" w:color="CBD5E1" w:sz="1"/>
              <w:right w:val="single" w:color="CBD5E1" w:sz="1"/>
            </w:tcBorders>
            <w:shd w:fill="F0F4F8" w:val="clear"/>
            <w:tcMar>
              <w:top w:type="dxa" w:w="90"/>
              <w:left w:type="dxa" w:w="140"/>
              <w:bottom w:type="dxa" w:w="90"/>
              <w:right w:type="dxa" w:w="140"/>
            </w:tcMar>
          </w:tcPr>
          <w:p>
            <w:r>
              <w:rPr>
                <w:rFonts w:ascii="Arial" w:cs="Arial" w:eastAsia="Arial" w:hAnsi="Arial"/>
                <w:b/>
                <w:bCs/>
                <w:color w:val="0A1628"/>
                <w:sz w:val="20"/>
                <w:szCs w:val="20"/>
              </w:rPr>
              <w:t xml:space="preserve">Bid/ask pricing</w:t>
            </w:r>
          </w:p>
        </w:tc>
        <w:tc>
          <w:tcPr>
            <w:tcW w:type="dxa" w:w="3330"/>
            <w:tcBorders>
              <w:top w:val="single" w:color="CBD5E1" w:sz="1"/>
              <w:left w:val="single" w:color="CBD5E1" w:sz="1"/>
              <w:bottom w:val="single" w:color="CBD5E1" w:sz="1"/>
              <w:right w:val="single" w:color="CBD5E1" w:sz="1"/>
            </w:tcBorders>
            <w:shd w:fill="FAFAFA" w:val="clear"/>
            <w:tcMar>
              <w:top w:type="dxa" w:w="90"/>
              <w:left w:type="dxa" w:w="140"/>
              <w:bottom w:type="dxa" w:w="90"/>
              <w:right w:type="dxa" w:w="140"/>
            </w:tcMar>
          </w:tcPr>
          <w:p>
            <w:r>
              <w:rPr>
                <w:rFonts w:ascii="Arial" w:cs="Arial" w:eastAsia="Arial" w:hAnsi="Arial"/>
                <w:b w:val="false"/>
                <w:bCs w:val="false"/>
                <w:color w:val="1E293B"/>
                <w:sz w:val="20"/>
                <w:szCs w:val="20"/>
              </w:rPr>
              <w:t xml:space="preserve">Market-determined (stock price)</w:t>
            </w:r>
          </w:p>
        </w:tc>
        <w:tc>
          <w:tcPr>
            <w:tcW w:type="dxa" w:w="3330"/>
            <w:tcBorders>
              <w:top w:val="single" w:color="CBD5E1" w:sz="1"/>
              <w:left w:val="single" w:color="CBD5E1" w:sz="1"/>
              <w:bottom w:val="single" w:color="CBD5E1" w:sz="1"/>
              <w:right w:val="single" w:color="CBD5E1" w:sz="1"/>
            </w:tcBorders>
            <w:shd w:fill="FAFAFA" w:val="clear"/>
            <w:tcMar>
              <w:top w:type="dxa" w:w="90"/>
              <w:left w:type="dxa" w:w="140"/>
              <w:bottom w:type="dxa" w:w="90"/>
              <w:right w:type="dxa" w:w="140"/>
            </w:tcMar>
          </w:tcPr>
          <w:p>
            <w:r>
              <w:rPr>
                <w:rFonts w:ascii="Arial" w:cs="Arial" w:eastAsia="Arial" w:hAnsi="Arial"/>
                <w:b w:val="false"/>
                <w:bCs w:val="false"/>
                <w:color w:val="1E293B"/>
                <w:sz w:val="20"/>
                <w:szCs w:val="20"/>
              </w:rPr>
              <w:t xml:space="preserve">Sensor-determined — spread driven by CI and Health Factor</w:t>
            </w:r>
          </w:p>
        </w:tc>
      </w:tr>
      <w:tr>
        <w:trPr>
          <w:tblHeader w:val="false"/>
        </w:trPr>
        <w:tc>
          <w:tcPr>
            <w:tcW w:type="dxa" w:w="2700"/>
            <w:tcBorders>
              <w:top w:val="single" w:color="CBD5E1" w:sz="1"/>
              <w:left w:val="single" w:color="CBD5E1" w:sz="1"/>
              <w:bottom w:val="single" w:color="CBD5E1" w:sz="1"/>
              <w:right w:val="single" w:color="CBD5E1" w:sz="1"/>
            </w:tcBorders>
            <w:shd w:fill="F0F4F8" w:val="clear"/>
            <w:tcMar>
              <w:top w:type="dxa" w:w="90"/>
              <w:left w:type="dxa" w:w="140"/>
              <w:bottom w:type="dxa" w:w="90"/>
              <w:right w:type="dxa" w:w="140"/>
            </w:tcMar>
          </w:tcPr>
          <w:p>
            <w:r>
              <w:rPr>
                <w:rFonts w:ascii="Arial" w:cs="Arial" w:eastAsia="Arial" w:hAnsi="Arial"/>
                <w:b/>
                <w:bCs/>
                <w:color w:val="0A1628"/>
                <w:sz w:val="20"/>
                <w:szCs w:val="20"/>
              </w:rPr>
              <w:t xml:space="preserve">Market controls</w:t>
            </w:r>
          </w:p>
        </w:tc>
        <w:tc>
          <w:tcPr>
            <w:tcW w:type="dxa" w:w="333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20"/>
                <w:szCs w:val="20"/>
              </w:rPr>
              <w:t xml:space="preserve">Standard stock exchange circuit breakers (price-based)</w:t>
            </w:r>
          </w:p>
        </w:tc>
        <w:tc>
          <w:tcPr>
            <w:tcW w:type="dxa" w:w="333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20"/>
                <w:szCs w:val="20"/>
              </w:rPr>
              <w:t xml:space="preserve">Condition-based — halted when sensor data is unreliable</w:t>
            </w:r>
          </w:p>
        </w:tc>
      </w:tr>
      <w:tr>
        <w:trPr>
          <w:tblHeader w:val="false"/>
        </w:trPr>
        <w:tc>
          <w:tcPr>
            <w:tcW w:type="dxa" w:w="2700"/>
            <w:tcBorders>
              <w:top w:val="single" w:color="CBD5E1" w:sz="1"/>
              <w:left w:val="single" w:color="CBD5E1" w:sz="1"/>
              <w:bottom w:val="single" w:color="CBD5E1" w:sz="1"/>
              <w:right w:val="single" w:color="CBD5E1" w:sz="1"/>
            </w:tcBorders>
            <w:shd w:fill="F0F4F8" w:val="clear"/>
            <w:tcMar>
              <w:top w:type="dxa" w:w="90"/>
              <w:left w:type="dxa" w:w="140"/>
              <w:bottom w:type="dxa" w:w="90"/>
              <w:right w:type="dxa" w:w="140"/>
            </w:tcMar>
          </w:tcPr>
          <w:p>
            <w:r>
              <w:rPr>
                <w:rFonts w:ascii="Arial" w:cs="Arial" w:eastAsia="Arial" w:hAnsi="Arial"/>
                <w:b/>
                <w:bCs/>
                <w:color w:val="0A1628"/>
                <w:sz w:val="20"/>
                <w:szCs w:val="20"/>
              </w:rPr>
              <w:t xml:space="preserve">Automatic restoration</w:t>
            </w:r>
          </w:p>
        </w:tc>
        <w:tc>
          <w:tcPr>
            <w:tcW w:type="dxa" w:w="3330"/>
            <w:tcBorders>
              <w:top w:val="single" w:color="CBD5E1" w:sz="1"/>
              <w:left w:val="single" w:color="CBD5E1" w:sz="1"/>
              <w:bottom w:val="single" w:color="CBD5E1" w:sz="1"/>
              <w:right w:val="single" w:color="CBD5E1" w:sz="1"/>
            </w:tcBorders>
            <w:shd w:fill="FAFAFA" w:val="clear"/>
            <w:tcMar>
              <w:top w:type="dxa" w:w="90"/>
              <w:left w:type="dxa" w:w="140"/>
              <w:bottom w:type="dxa" w:w="90"/>
              <w:right w:type="dxa" w:w="140"/>
            </w:tcMar>
          </w:tcPr>
          <w:p>
            <w:r>
              <w:rPr>
                <w:rFonts w:ascii="Arial" w:cs="Arial" w:eastAsia="Arial" w:hAnsi="Arial"/>
                <w:b w:val="false"/>
                <w:bCs w:val="false"/>
                <w:color w:val="1E293B"/>
                <w:sz w:val="20"/>
                <w:szCs w:val="20"/>
              </w:rPr>
              <w:t xml:space="preserve">Manual re-listing after trading halt</w:t>
            </w:r>
          </w:p>
        </w:tc>
        <w:tc>
          <w:tcPr>
            <w:tcW w:type="dxa" w:w="3330"/>
            <w:tcBorders>
              <w:top w:val="single" w:color="CBD5E1" w:sz="1"/>
              <w:left w:val="single" w:color="CBD5E1" w:sz="1"/>
              <w:bottom w:val="single" w:color="CBD5E1" w:sz="1"/>
              <w:right w:val="single" w:color="CBD5E1" w:sz="1"/>
            </w:tcBorders>
            <w:shd w:fill="FAFAFA" w:val="clear"/>
            <w:tcMar>
              <w:top w:type="dxa" w:w="90"/>
              <w:left w:type="dxa" w:w="140"/>
              <w:bottom w:type="dxa" w:w="90"/>
              <w:right w:type="dxa" w:w="140"/>
            </w:tcMar>
          </w:tcPr>
          <w:p>
            <w:r>
              <w:rPr>
                <w:rFonts w:ascii="Arial" w:cs="Arial" w:eastAsia="Arial" w:hAnsi="Arial"/>
                <w:b w:val="false"/>
                <w:bCs w:val="false"/>
                <w:color w:val="1E293B"/>
                <w:sz w:val="20"/>
                <w:szCs w:val="20"/>
              </w:rPr>
              <w:t xml:space="preserve">Automatic — sensor-verified remediation restores access</w:t>
            </w:r>
          </w:p>
        </w:tc>
      </w:tr>
      <w:tr>
        <w:trPr>
          <w:tblHeader w:val="false"/>
        </w:trPr>
        <w:tc>
          <w:tcPr>
            <w:tcW w:type="dxa" w:w="2700"/>
            <w:tcBorders>
              <w:top w:val="single" w:color="CBD5E1" w:sz="1"/>
              <w:left w:val="single" w:color="CBD5E1" w:sz="1"/>
              <w:bottom w:val="single" w:color="CBD5E1" w:sz="1"/>
              <w:right w:val="single" w:color="CBD5E1" w:sz="1"/>
            </w:tcBorders>
            <w:shd w:fill="F0F4F8" w:val="clear"/>
            <w:tcMar>
              <w:top w:type="dxa" w:w="90"/>
              <w:left w:type="dxa" w:w="140"/>
              <w:bottom w:type="dxa" w:w="90"/>
              <w:right w:type="dxa" w:w="140"/>
            </w:tcMar>
          </w:tcPr>
          <w:p>
            <w:r>
              <w:rPr>
                <w:rFonts w:ascii="Arial" w:cs="Arial" w:eastAsia="Arial" w:hAnsi="Arial"/>
                <w:b/>
                <w:bCs/>
                <w:color w:val="0A1628"/>
                <w:sz w:val="20"/>
                <w:szCs w:val="20"/>
              </w:rPr>
              <w:t xml:space="preserve">Shariah-compliant structuring</w:t>
            </w:r>
          </w:p>
        </w:tc>
        <w:tc>
          <w:tcPr>
            <w:tcW w:type="dxa" w:w="333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20"/>
                <w:szCs w:val="20"/>
              </w:rPr>
              <w:t xml:space="preserve">Requires separate structuring by Islamic finance lawyers</w:t>
            </w:r>
          </w:p>
        </w:tc>
        <w:tc>
          <w:tcPr>
            <w:tcW w:type="dxa" w:w="333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20"/>
                <w:szCs w:val="20"/>
              </w:rPr>
              <w:t xml:space="preserve">Murabahah, Ijarah, Musharakah Mutanaqisah natively supported</w:t>
            </w:r>
          </w:p>
        </w:tc>
      </w:tr>
    </w:tbl>
    <w:p>
      <w:pPr>
        <w:spacing w:before="0" w:after="0"/>
      </w:pPr>
      <w:r>
        <w:t xml:space="preserve"/>
      </w:r>
    </w:p>
    <w:p>
      <w:pPr>
        <w:pStyle w:val="Heading2"/>
        <w:spacing w:before="300" w:after="120"/>
      </w:pPr>
      <w:r>
        <w:rPr>
          <w:rFonts w:ascii="Arial" w:cs="Arial" w:eastAsia="Arial" w:hAnsi="Arial"/>
          <w:b/>
          <w:bCs/>
          <w:color w:val="0A1628"/>
          <w:sz w:val="30"/>
          <w:szCs w:val="30"/>
        </w:rPr>
        <w:t xml:space="preserve">12.5  Audit &amp;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30"/>
        <w:gridCol w:w="3330"/>
      </w:tblGrid>
      <w:tr>
        <w:trPr>
          <w:tblHeader/>
        </w:trPr>
        <w:tc>
          <w:tcPr>
            <w:tcW w:type="dxa" w:w="2700"/>
            <w:tcBorders>
              <w:top w:val="single" w:color="CBD5E1" w:sz="1"/>
              <w:left w:val="single" w:color="CBD5E1" w:sz="1"/>
              <w:bottom w:val="single" w:color="CBD5E1" w:sz="1"/>
              <w:right w:val="single" w:color="CBD5E1"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Dimension</w:t>
            </w:r>
          </w:p>
        </w:tc>
        <w:tc>
          <w:tcPr>
            <w:tcW w:type="dxa" w:w="3330"/>
            <w:tcBorders>
              <w:top w:val="single" w:color="CBD5E1" w:sz="1"/>
              <w:left w:val="single" w:color="CBD5E1" w:sz="1"/>
              <w:bottom w:val="single" w:color="CBD5E1" w:sz="1"/>
              <w:right w:val="single" w:color="CBD5E1"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Conventional REIT Tools</w:t>
            </w:r>
          </w:p>
        </w:tc>
        <w:tc>
          <w:tcPr>
            <w:tcW w:type="dxa" w:w="3330"/>
            <w:tcBorders>
              <w:top w:val="single" w:color="CBD5E1" w:sz="1"/>
              <w:left w:val="single" w:color="CBD5E1" w:sz="1"/>
              <w:bottom w:val="single" w:color="CBD5E1" w:sz="1"/>
              <w:right w:val="single" w:color="CBD5E1" w:sz="1"/>
            </w:tcBorders>
            <w:shd w:fill="1E3A5F" w:val="clear"/>
            <w:tcMar>
              <w:top w:type="dxa" w:w="90"/>
              <w:left w:type="dxa" w:w="140"/>
              <w:bottom w:type="dxa" w:w="90"/>
              <w:right w:type="dxa" w:w="140"/>
            </w:tcMar>
          </w:tcPr>
          <w:p>
            <w:r>
              <w:rPr>
                <w:rFonts w:ascii="Arial" w:cs="Arial" w:eastAsia="Arial" w:hAnsi="Arial"/>
                <w:b/>
                <w:bCs/>
                <w:color w:val="FFFFFF"/>
                <w:sz w:val="20"/>
                <w:szCs w:val="20"/>
              </w:rPr>
              <w:t xml:space="preserve">TwinVal Dashboard</w:t>
            </w:r>
          </w:p>
        </w:tc>
      </w:tr>
      <w:tr>
        <w:trPr>
          <w:tblHeader w:val="false"/>
        </w:trPr>
        <w:tc>
          <w:tcPr>
            <w:tcW w:type="dxa" w:w="2700"/>
            <w:tcBorders>
              <w:top w:val="single" w:color="CBD5E1" w:sz="1"/>
              <w:left w:val="single" w:color="CBD5E1" w:sz="1"/>
              <w:bottom w:val="single" w:color="CBD5E1" w:sz="1"/>
              <w:right w:val="single" w:color="CBD5E1" w:sz="1"/>
            </w:tcBorders>
            <w:shd w:fill="F0F4F8" w:val="clear"/>
            <w:tcMar>
              <w:top w:type="dxa" w:w="90"/>
              <w:left w:type="dxa" w:w="140"/>
              <w:bottom w:type="dxa" w:w="90"/>
              <w:right w:type="dxa" w:w="140"/>
            </w:tcMar>
          </w:tcPr>
          <w:p>
            <w:r>
              <w:rPr>
                <w:rFonts w:ascii="Arial" w:cs="Arial" w:eastAsia="Arial" w:hAnsi="Arial"/>
                <w:b/>
                <w:bCs/>
                <w:color w:val="0A1628"/>
                <w:sz w:val="20"/>
                <w:szCs w:val="20"/>
              </w:rPr>
              <w:t xml:space="preserve">Valuation audit trail</w:t>
            </w:r>
          </w:p>
        </w:tc>
        <w:tc>
          <w:tcPr>
            <w:tcW w:type="dxa" w:w="333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20"/>
                <w:szCs w:val="20"/>
              </w:rPr>
              <w:t xml:space="preserve">Paper-based valuation reports, filed periodically</w:t>
            </w:r>
          </w:p>
        </w:tc>
        <w:tc>
          <w:tcPr>
            <w:tcW w:type="dxa" w:w="333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20"/>
                <w:szCs w:val="20"/>
              </w:rPr>
              <w:t xml:space="preserve">Cryptographic hash chain — every computation recorded, tamper-evident</w:t>
            </w:r>
          </w:p>
        </w:tc>
      </w:tr>
      <w:tr>
        <w:trPr>
          <w:tblHeader w:val="false"/>
        </w:trPr>
        <w:tc>
          <w:tcPr>
            <w:tcW w:type="dxa" w:w="2700"/>
            <w:tcBorders>
              <w:top w:val="single" w:color="CBD5E1" w:sz="1"/>
              <w:left w:val="single" w:color="CBD5E1" w:sz="1"/>
              <w:bottom w:val="single" w:color="CBD5E1" w:sz="1"/>
              <w:right w:val="single" w:color="CBD5E1" w:sz="1"/>
            </w:tcBorders>
            <w:shd w:fill="F0F4F8" w:val="clear"/>
            <w:tcMar>
              <w:top w:type="dxa" w:w="90"/>
              <w:left w:type="dxa" w:w="140"/>
              <w:bottom w:type="dxa" w:w="90"/>
              <w:right w:type="dxa" w:w="140"/>
            </w:tcMar>
          </w:tcPr>
          <w:p>
            <w:r>
              <w:rPr>
                <w:rFonts w:ascii="Arial" w:cs="Arial" w:eastAsia="Arial" w:hAnsi="Arial"/>
                <w:b/>
                <w:bCs/>
                <w:color w:val="0A1628"/>
                <w:sz w:val="20"/>
                <w:szCs w:val="20"/>
              </w:rPr>
              <w:t xml:space="preserve">Parameter traceability</w:t>
            </w:r>
          </w:p>
        </w:tc>
        <w:tc>
          <w:tcPr>
            <w:tcW w:type="dxa" w:w="3330"/>
            <w:tcBorders>
              <w:top w:val="single" w:color="CBD5E1" w:sz="1"/>
              <w:left w:val="single" w:color="CBD5E1" w:sz="1"/>
              <w:bottom w:val="single" w:color="CBD5E1" w:sz="1"/>
              <w:right w:val="single" w:color="CBD5E1" w:sz="1"/>
            </w:tcBorders>
            <w:shd w:fill="FAFAFA" w:val="clear"/>
            <w:tcMar>
              <w:top w:type="dxa" w:w="90"/>
              <w:left w:type="dxa" w:w="140"/>
              <w:bottom w:type="dxa" w:w="90"/>
              <w:right w:type="dxa" w:w="140"/>
            </w:tcMar>
          </w:tcPr>
          <w:p>
            <w:r>
              <w:rPr>
                <w:rFonts w:ascii="Arial" w:cs="Arial" w:eastAsia="Arial" w:hAnsi="Arial"/>
                <w:b w:val="false"/>
                <w:bCs w:val="false"/>
                <w:color w:val="1E293B"/>
                <w:sz w:val="20"/>
                <w:szCs w:val="20"/>
              </w:rPr>
              <w:t xml:space="preserve">Appraiser's methodology note (varies by firm)</w:t>
            </w:r>
          </w:p>
        </w:tc>
        <w:tc>
          <w:tcPr>
            <w:tcW w:type="dxa" w:w="3330"/>
            <w:tcBorders>
              <w:top w:val="single" w:color="CBD5E1" w:sz="1"/>
              <w:left w:val="single" w:color="CBD5E1" w:sz="1"/>
              <w:bottom w:val="single" w:color="CBD5E1" w:sz="1"/>
              <w:right w:val="single" w:color="CBD5E1" w:sz="1"/>
            </w:tcBorders>
            <w:shd w:fill="FAFAFA" w:val="clear"/>
            <w:tcMar>
              <w:top w:type="dxa" w:w="90"/>
              <w:left w:type="dxa" w:w="140"/>
              <w:bottom w:type="dxa" w:w="90"/>
              <w:right w:type="dxa" w:w="140"/>
            </w:tcMar>
          </w:tcPr>
          <w:p>
            <w:r>
              <w:rPr>
                <w:rFonts w:ascii="Arial" w:cs="Arial" w:eastAsia="Arial" w:hAnsi="Arial"/>
                <w:b w:val="false"/>
                <w:bCs w:val="false"/>
                <w:color w:val="1E293B"/>
                <w:sz w:val="20"/>
                <w:szCs w:val="20"/>
              </w:rPr>
              <w:t xml:space="preserve">Engineer-certified thresholds, frozen at audit time, independently reproducible</w:t>
            </w:r>
          </w:p>
        </w:tc>
      </w:tr>
      <w:tr>
        <w:trPr>
          <w:tblHeader w:val="false"/>
        </w:trPr>
        <w:tc>
          <w:tcPr>
            <w:tcW w:type="dxa" w:w="2700"/>
            <w:tcBorders>
              <w:top w:val="single" w:color="CBD5E1" w:sz="1"/>
              <w:left w:val="single" w:color="CBD5E1" w:sz="1"/>
              <w:bottom w:val="single" w:color="CBD5E1" w:sz="1"/>
              <w:right w:val="single" w:color="CBD5E1" w:sz="1"/>
            </w:tcBorders>
            <w:shd w:fill="F0F4F8" w:val="clear"/>
            <w:tcMar>
              <w:top w:type="dxa" w:w="90"/>
              <w:left w:type="dxa" w:w="140"/>
              <w:bottom w:type="dxa" w:w="90"/>
              <w:right w:type="dxa" w:w="140"/>
            </w:tcMar>
          </w:tcPr>
          <w:p>
            <w:r>
              <w:rPr>
                <w:rFonts w:ascii="Arial" w:cs="Arial" w:eastAsia="Arial" w:hAnsi="Arial"/>
                <w:b/>
                <w:bCs/>
                <w:color w:val="0A1628"/>
                <w:sz w:val="20"/>
                <w:szCs w:val="20"/>
              </w:rPr>
              <w:t xml:space="preserve">Override documentation</w:t>
            </w:r>
          </w:p>
        </w:tc>
        <w:tc>
          <w:tcPr>
            <w:tcW w:type="dxa" w:w="333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20"/>
                <w:szCs w:val="20"/>
              </w:rPr>
              <w:t xml:space="preserve">Email or Excel comment — informal, lossy</w:t>
            </w:r>
          </w:p>
        </w:tc>
        <w:tc>
          <w:tcPr>
            <w:tcW w:type="dxa" w:w="333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20"/>
                <w:szCs w:val="20"/>
              </w:rPr>
              <w:t xml:space="preserve">Structured log with reason, approver, timestamp — part of hash chain</w:t>
            </w:r>
          </w:p>
        </w:tc>
      </w:tr>
      <w:tr>
        <w:trPr>
          <w:tblHeader w:val="false"/>
        </w:trPr>
        <w:tc>
          <w:tcPr>
            <w:tcW w:type="dxa" w:w="2700"/>
            <w:tcBorders>
              <w:top w:val="single" w:color="CBD5E1" w:sz="1"/>
              <w:left w:val="single" w:color="CBD5E1" w:sz="1"/>
              <w:bottom w:val="single" w:color="CBD5E1" w:sz="1"/>
              <w:right w:val="single" w:color="CBD5E1" w:sz="1"/>
            </w:tcBorders>
            <w:shd w:fill="F0F4F8" w:val="clear"/>
            <w:tcMar>
              <w:top w:type="dxa" w:w="90"/>
              <w:left w:type="dxa" w:w="140"/>
              <w:bottom w:type="dxa" w:w="90"/>
              <w:right w:type="dxa" w:w="140"/>
            </w:tcMar>
          </w:tcPr>
          <w:p>
            <w:r>
              <w:rPr>
                <w:rFonts w:ascii="Arial" w:cs="Arial" w:eastAsia="Arial" w:hAnsi="Arial"/>
                <w:b/>
                <w:bCs/>
                <w:color w:val="0A1628"/>
                <w:sz w:val="20"/>
                <w:szCs w:val="20"/>
              </w:rPr>
              <w:t xml:space="preserve">Regulatory audit mode</w:t>
            </w:r>
          </w:p>
        </w:tc>
        <w:tc>
          <w:tcPr>
            <w:tcW w:type="dxa" w:w="3330"/>
            <w:tcBorders>
              <w:top w:val="single" w:color="CBD5E1" w:sz="1"/>
              <w:left w:val="single" w:color="CBD5E1" w:sz="1"/>
              <w:bottom w:val="single" w:color="CBD5E1" w:sz="1"/>
              <w:right w:val="single" w:color="CBD5E1" w:sz="1"/>
            </w:tcBorders>
            <w:shd w:fill="FAFAFA" w:val="clear"/>
            <w:tcMar>
              <w:top w:type="dxa" w:w="90"/>
              <w:left w:type="dxa" w:w="140"/>
              <w:bottom w:type="dxa" w:w="90"/>
              <w:right w:type="dxa" w:w="140"/>
            </w:tcMar>
          </w:tcPr>
          <w:p>
            <w:r>
              <w:rPr>
                <w:rFonts w:ascii="Arial" w:cs="Arial" w:eastAsia="Arial" w:hAnsi="Arial"/>
                <w:b w:val="false"/>
                <w:bCs w:val="false"/>
                <w:color w:val="1E293B"/>
                <w:sz w:val="20"/>
                <w:szCs w:val="20"/>
              </w:rPr>
              <w:t xml:space="preserve">Not available</w:t>
            </w:r>
          </w:p>
        </w:tc>
        <w:tc>
          <w:tcPr>
            <w:tcW w:type="dxa" w:w="3330"/>
            <w:tcBorders>
              <w:top w:val="single" w:color="CBD5E1" w:sz="1"/>
              <w:left w:val="single" w:color="CBD5E1" w:sz="1"/>
              <w:bottom w:val="single" w:color="CBD5E1" w:sz="1"/>
              <w:right w:val="single" w:color="CBD5E1" w:sz="1"/>
            </w:tcBorders>
            <w:shd w:fill="FAFAFA" w:val="clear"/>
            <w:tcMar>
              <w:top w:type="dxa" w:w="90"/>
              <w:left w:type="dxa" w:w="140"/>
              <w:bottom w:type="dxa" w:w="90"/>
              <w:right w:type="dxa" w:w="140"/>
            </w:tcMar>
          </w:tcPr>
          <w:p>
            <w:r>
              <w:rPr>
                <w:rFonts w:ascii="Arial" w:cs="Arial" w:eastAsia="Arial" w:hAnsi="Arial"/>
                <w:b w:val="false"/>
                <w:bCs w:val="false"/>
                <w:color w:val="1E293B"/>
                <w:sz w:val="20"/>
                <w:szCs w:val="20"/>
              </w:rPr>
              <w:t xml:space="preserve">Full parameter freeze with historical reproduction capability</w:t>
            </w:r>
          </w:p>
        </w:tc>
      </w:tr>
      <w:tr>
        <w:trPr>
          <w:tblHeader w:val="false"/>
        </w:trPr>
        <w:tc>
          <w:tcPr>
            <w:tcW w:type="dxa" w:w="2700"/>
            <w:tcBorders>
              <w:top w:val="single" w:color="CBD5E1" w:sz="1"/>
              <w:left w:val="single" w:color="CBD5E1" w:sz="1"/>
              <w:bottom w:val="single" w:color="CBD5E1" w:sz="1"/>
              <w:right w:val="single" w:color="CBD5E1" w:sz="1"/>
            </w:tcBorders>
            <w:shd w:fill="F0F4F8" w:val="clear"/>
            <w:tcMar>
              <w:top w:type="dxa" w:w="90"/>
              <w:left w:type="dxa" w:w="140"/>
              <w:bottom w:type="dxa" w:w="90"/>
              <w:right w:type="dxa" w:w="140"/>
            </w:tcMar>
          </w:tcPr>
          <w:p>
            <w:r>
              <w:rPr>
                <w:rFonts w:ascii="Arial" w:cs="Arial" w:eastAsia="Arial" w:hAnsi="Arial"/>
                <w:b/>
                <w:bCs/>
                <w:color w:val="0A1628"/>
                <w:sz w:val="20"/>
                <w:szCs w:val="20"/>
              </w:rPr>
              <w:t xml:space="preserve">Shariah audit support</w:t>
            </w:r>
          </w:p>
        </w:tc>
        <w:tc>
          <w:tcPr>
            <w:tcW w:type="dxa" w:w="333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20"/>
                <w:szCs w:val="20"/>
              </w:rPr>
              <w:t xml:space="preserve">Separate Shariah board review process</w:t>
            </w:r>
          </w:p>
        </w:tc>
        <w:tc>
          <w:tcPr>
            <w:tcW w:type="dxa" w:w="333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val="false"/>
                <w:bCs w:val="false"/>
                <w:color w:val="1E293B"/>
                <w:sz w:val="20"/>
                <w:szCs w:val="20"/>
              </w:rPr>
              <w:t xml:space="preserve">Audit log designed for Shariah board governance — every parameter decision traceable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4444" w:sz="6"/>
              <w:left w:val="single" w:color="EF4444" w:sz="14"/>
              <w:bottom w:val="single" w:color="E2E8F0" w:sz="1"/>
              <w:right w:val="single" w:color="E2E8F0" w:sz="1"/>
            </w:tcBorders>
            <w:shd w:fill="FFF1F2" w:val="clear"/>
            <w:tcMar>
              <w:top w:type="dxa" w:w="120"/>
              <w:left w:type="dxa" w:w="200"/>
              <w:bottom w:type="dxa" w:w="120"/>
              <w:right w:type="dxa" w:w="180"/>
            </w:tcMar>
          </w:tcPr>
          <w:p>
            <w:pPr>
              <w:spacing w:before="0" w:after="60"/>
            </w:pPr>
            <w:r>
              <w:rPr>
                <w:rFonts w:ascii="Arial" w:cs="Arial" w:eastAsia="Arial" w:hAnsi="Arial"/>
                <w:b/>
                <w:bCs/>
                <w:color w:val="0A1628"/>
                <w:sz w:val="22"/>
                <w:szCs w:val="22"/>
              </w:rPr>
              <w:t xml:space="preserve">The Single Most Important Difference</w:t>
            </w:r>
          </w:p>
          <w:p>
            <w:pPr>
              <w:spacing w:before="0" w:after="0"/>
            </w:pPr>
            <w:r>
              <w:rPr>
                <w:rFonts w:ascii="Arial" w:cs="Arial" w:eastAsia="Arial" w:hAnsi="Arial"/>
                <w:color w:val="374151"/>
                <w:sz w:val="21"/>
                <w:szCs w:val="21"/>
              </w:rPr>
              <w:t xml:space="preserve">Every existing REIT tool measures what happened. TwinVal measures what is happening right now — and provides the documented, auditable, engineer-certified basis for that measurement that regulators, lenders, insurers, and Shariah boards require. This is not an incremental improvement on existing tools. It is a different category of capability.</w:t>
            </w:r>
          </w:p>
        </w:tc>
      </w:tr>
    </w:tbl>
    <w:p>
      <w:pPr>
        <w:pBdr>
          <w:bottom w:val="single" w:color="CBD5E1" w:sz="4" w:space="1"/>
        </w:pBdr>
        <w:spacing w:before="160" w:after="160"/>
      </w:pPr>
      <w:r>
        <w:t xml:space="preserve"/>
      </w:r>
    </w:p>
    <w:p>
      <w:pPr>
        <w:pStyle w:val="Heading1"/>
        <w:spacing w:before="400" w:after="160"/>
      </w:pPr>
      <w:r>
        <w:rPr>
          <w:rFonts w:ascii="Arial" w:cs="Arial" w:eastAsia="Arial" w:hAnsi="Arial"/>
          <w:b/>
          <w:bCs/>
          <w:color w:val="0A1628"/>
          <w:sz w:val="40"/>
          <w:szCs w:val="40"/>
        </w:rPr>
        <w:t xml:space="preserve">13. Shariah Compliance Architecture</w:t>
      </w:r>
    </w:p>
    <w:p>
      <w:pPr>
        <w:spacing w:before="60" w:after="80"/>
      </w:pPr>
      <w:r>
        <w:rPr>
          <w:rFonts w:ascii="Arial" w:cs="Arial" w:eastAsia="Arial" w:hAnsi="Arial"/>
          <w:b w:val="false"/>
          <w:bCs w:val="false"/>
          <w:color w:val="1E293B"/>
          <w:sz w:val="22"/>
          <w:szCs w:val="22"/>
        </w:rPr>
        <w:t xml:space="preserve">TwinVal is architected from inception with Shariah compliance as a core design constraint, not a feature added after the fact.</w:t>
      </w:r>
    </w:p>
    <w:p>
      <w:pPr>
        <w:pStyle w:val="Heading3"/>
        <w:spacing w:before="240" w:after="80"/>
      </w:pPr>
      <w:r>
        <w:rPr>
          <w:rFonts w:ascii="Arial" w:cs="Arial" w:eastAsia="Arial" w:hAnsi="Arial"/>
          <w:b/>
          <w:bCs/>
          <w:color w:val="0EA5E9"/>
          <w:sz w:val="24"/>
          <w:szCs w:val="24"/>
        </w:rPr>
        <w:t xml:space="preserve">13.1  Engineer-Certified Parameters as a Regulatory Moat</w:t>
      </w:r>
    </w:p>
    <w:p>
      <w:pPr>
        <w:spacing w:before="60" w:after="80"/>
      </w:pPr>
      <w:r>
        <w:rPr>
          <w:rFonts w:ascii="Arial" w:cs="Arial" w:eastAsia="Arial" w:hAnsi="Arial"/>
          <w:b w:val="false"/>
          <w:bCs w:val="false"/>
          <w:color w:val="1E293B"/>
          <w:sz w:val="22"/>
          <w:szCs w:val="22"/>
        </w:rPr>
        <w:t xml:space="preserve">All valuation thresholds and weights are certified by qualified professional engineers against ASHRAE, ASCE, and BS EN Eurocode standards. This certification is permanent — not a pre-seed constraint. No parameter affecting an RTPMV output can be machine-learned or arbitrarily adjusted without a certified engineer's sign-off. This directly satisfies Bank Negara Malaysia's requirement for full traceability of parameters affecting financial outputs, and equivalent requirements of the UAE Central Bank and SAMA.</w:t>
      </w:r>
    </w:p>
    <w:p>
      <w:pPr>
        <w:pStyle w:val="Heading3"/>
        <w:spacing w:before="240" w:after="80"/>
      </w:pPr>
      <w:r>
        <w:rPr>
          <w:rFonts w:ascii="Arial" w:cs="Arial" w:eastAsia="Arial" w:hAnsi="Arial"/>
          <w:b/>
          <w:bCs/>
          <w:color w:val="0EA5E9"/>
          <w:sz w:val="24"/>
          <w:szCs w:val="24"/>
        </w:rPr>
        <w:t xml:space="preserve">13.2  Cryptographic Audit Chain</w:t>
      </w:r>
    </w:p>
    <w:p>
      <w:pPr>
        <w:spacing w:before="60" w:after="80"/>
      </w:pPr>
      <w:r>
        <w:rPr>
          <w:rFonts w:ascii="Arial" w:cs="Arial" w:eastAsia="Arial" w:hAnsi="Arial"/>
          <w:b w:val="false"/>
          <w:bCs w:val="false"/>
          <w:color w:val="1E293B"/>
          <w:sz w:val="22"/>
          <w:szCs w:val="22"/>
        </w:rPr>
        <w:t xml:space="preserve">The SHA-256 hash chain means every RTPMV used in any Islamic finance transaction — Murabahah sale, Ijarah lease, Musharakah Mutanaqisah instalment — is permanently documented and independently verifiable. A Shariah board can audit any historical transaction and reproduce the exact valuation that supported it.</w:t>
      </w:r>
    </w:p>
    <w:p>
      <w:pPr>
        <w:pStyle w:val="Heading3"/>
        <w:spacing w:before="240" w:after="80"/>
      </w:pPr>
      <w:r>
        <w:rPr>
          <w:rFonts w:ascii="Arial" w:cs="Arial" w:eastAsia="Arial" w:hAnsi="Arial"/>
          <w:b/>
          <w:bCs/>
          <w:color w:val="0EA5E9"/>
          <w:sz w:val="24"/>
          <w:szCs w:val="24"/>
        </w:rPr>
        <w:t xml:space="preserve">13.3  Prohibition of Gharar</w:t>
      </w:r>
    </w:p>
    <w:p>
      <w:pPr>
        <w:spacing w:before="60" w:after="80"/>
      </w:pPr>
      <w:r>
        <w:rPr>
          <w:rFonts w:ascii="Arial" w:cs="Arial" w:eastAsia="Arial" w:hAnsi="Arial"/>
          <w:b w:val="false"/>
          <w:bCs w:val="false"/>
          <w:color w:val="1E293B"/>
          <w:sz w:val="22"/>
          <w:szCs w:val="22"/>
        </w:rPr>
        <w:t xml:space="preserve">Islamic finance prohibits transactions involving excessive uncertainty (gharar). The TwinVal exchange controls directly operationalise this principle: when CI falls below 50%, trading is halted. No transaction can be executed on unreliable data. The exchange is architecturally prevented from facilitating transactions that would introduce impermissible uncertainty — a feature unique to TwinVal in the global PropTech landscape.</w:t>
      </w:r>
    </w:p>
    <w:p>
      <w:pPr>
        <w:pBdr>
          <w:bottom w:val="single" w:color="CBD5E1" w:sz="4" w:space="1"/>
        </w:pBdr>
        <w:spacing w:before="160" w:after="160"/>
      </w:pPr>
      <w:r>
        <w:t xml:space="preserve"/>
      </w:r>
    </w:p>
    <w:p>
      <w:pPr>
        <w:pStyle w:val="Heading1"/>
        <w:spacing w:before="400" w:after="160"/>
      </w:pPr>
      <w:r>
        <w:rPr>
          <w:rFonts w:ascii="Arial" w:cs="Arial" w:eastAsia="Arial" w:hAnsi="Arial"/>
          <w:b/>
          <w:bCs/>
          <w:color w:val="0A1628"/>
          <w:sz w:val="40"/>
          <w:szCs w:val="40"/>
        </w:rPr>
        <w:t xml:space="preserve">14. Deployment &amp; Integration</w:t>
      </w:r>
    </w:p>
    <w:p>
      <w:pPr>
        <w:pStyle w:val="Heading3"/>
        <w:spacing w:before="240" w:after="80"/>
      </w:pPr>
      <w:r>
        <w:rPr>
          <w:rFonts w:ascii="Arial" w:cs="Arial" w:eastAsia="Arial" w:hAnsi="Arial"/>
          <w:b/>
          <w:bCs/>
          <w:color w:val="0EA5E9"/>
          <w:sz w:val="24"/>
          <w:szCs w:val="24"/>
        </w:rPr>
        <w:t xml:space="preserve">14.1  Current Demo Environment</w:t>
      </w:r>
    </w:p>
    <w:p>
      <w:pPr>
        <w:spacing w:before="60" w:after="80"/>
      </w:pPr>
      <w:r>
        <w:rPr>
          <w:rFonts w:ascii="Arial" w:cs="Arial" w:eastAsia="Arial" w:hAnsi="Arial"/>
          <w:b w:val="false"/>
          <w:bCs w:val="false"/>
          <w:color w:val="1E293B"/>
          <w:sz w:val="22"/>
          <w:szCs w:val="22"/>
        </w:rPr>
        <w:t xml:space="preserve">The dashboard at localhost:5173 is a fully functional React prototype using simulated sensor data compatible with Samsung S24 Ultra and Phyphox sensor profiles. All calculations — RTPMV, health scores, exchange controls, NAV bridge, DPU, gearing — are live and formula-driven, using ASHRAE GEPIII building profiles for the five Malaysian properties shown.</w:t>
      </w:r>
    </w:p>
    <w:p>
      <w:pPr>
        <w:pStyle w:val="Heading3"/>
        <w:spacing w:before="240" w:after="80"/>
      </w:pPr>
      <w:r>
        <w:rPr>
          <w:rFonts w:ascii="Arial" w:cs="Arial" w:eastAsia="Arial" w:hAnsi="Arial"/>
          <w:b/>
          <w:bCs/>
          <w:color w:val="0EA5E9"/>
          <w:sz w:val="24"/>
          <w:szCs w:val="24"/>
        </w:rPr>
        <w:t xml:space="preserve">14.2  Production Architecture</w:t>
      </w:r>
    </w:p>
    <w:p>
      <w:pPr>
        <w:spacing w:before="60" w:after="80"/>
      </w:pPr>
      <w:r>
        <w:rPr>
          <w:rFonts w:ascii="Arial" w:cs="Arial" w:eastAsia="Arial" w:hAnsi="Arial"/>
          <w:b w:val="false"/>
          <w:bCs w:val="false"/>
          <w:color w:val="1E293B"/>
          <w:sz w:val="22"/>
          <w:szCs w:val="22"/>
        </w:rPr>
        <w:t xml:space="preserve">In production, the sensor simulation layer is replaced by live IoT sensor feeds from physical sensors in buildings. The dashboard connects to the TwinVal backend API (digital_twin_exchange_v2.py) which handles sensor ingestion, ASHRAE GEPIII processing, RTPMV computation, hash chain maintenance, and exchange parameter management.</w:t>
      </w:r>
    </w:p>
    <w:p>
      <w:pPr>
        <w:pStyle w:val="Heading3"/>
        <w:spacing w:before="240" w:after="80"/>
      </w:pPr>
      <w:r>
        <w:rPr>
          <w:rFonts w:ascii="Arial" w:cs="Arial" w:eastAsia="Arial" w:hAnsi="Arial"/>
          <w:b/>
          <w:bCs/>
          <w:color w:val="0EA5E9"/>
          <w:sz w:val="24"/>
          <w:szCs w:val="24"/>
        </w:rPr>
        <w:t xml:space="preserve">14.3  Integration Points</w:t>
      </w:r>
    </w:p>
    <w:p>
      <w:pPr>
        <w:pStyle w:val="ListParagraph"/>
        <w:numPr>
          <w:ilvl w:val="0"/>
          <w:numId w:val="2"/>
        </w:numPr>
        <w:spacing w:before="40" w:after="40"/>
      </w:pPr>
      <w:r>
        <w:rPr>
          <w:rFonts w:ascii="Arial" w:cs="Arial" w:eastAsia="Arial" w:hAnsi="Arial"/>
          <w:b w:val="false"/>
          <w:bCs w:val="false"/>
          <w:color w:val="1E293B"/>
          <w:sz w:val="22"/>
          <w:szCs w:val="22"/>
        </w:rPr>
        <w:t xml:space="preserve">REIT asset management systems (MRI, Yardi, SAP RE-FX) — REST API for lease and financial data</w:t>
      </w:r>
    </w:p>
    <w:p>
      <w:pPr>
        <w:pStyle w:val="ListParagraph"/>
        <w:numPr>
          <w:ilvl w:val="0"/>
          <w:numId w:val="2"/>
        </w:numPr>
        <w:spacing w:before="40" w:after="40"/>
      </w:pPr>
      <w:r>
        <w:rPr>
          <w:rFonts w:ascii="Arial" w:cs="Arial" w:eastAsia="Arial" w:hAnsi="Arial"/>
          <w:b w:val="false"/>
          <w:bCs w:val="false"/>
          <w:color w:val="1E293B"/>
          <w:sz w:val="22"/>
          <w:szCs w:val="22"/>
        </w:rPr>
        <w:t xml:space="preserve">Bank Negara Malaysia / SC Malaysia regulatory reporting — structured export in prescribed formats</w:t>
      </w:r>
    </w:p>
    <w:p>
      <w:pPr>
        <w:pStyle w:val="ListParagraph"/>
        <w:numPr>
          <w:ilvl w:val="0"/>
          <w:numId w:val="2"/>
        </w:numPr>
        <w:spacing w:before="40" w:after="40"/>
      </w:pPr>
      <w:r>
        <w:rPr>
          <w:rFonts w:ascii="Arial" w:cs="Arial" w:eastAsia="Arial" w:hAnsi="Arial"/>
          <w:b w:val="false"/>
          <w:bCs w:val="false"/>
          <w:color w:val="1E293B"/>
          <w:sz w:val="22"/>
          <w:szCs w:val="22"/>
        </w:rPr>
        <w:t xml:space="preserve">Bloomberg / Reuters — RTPMV feed for institutional data distribution</w:t>
      </w:r>
    </w:p>
    <w:p>
      <w:pPr>
        <w:pStyle w:val="ListParagraph"/>
        <w:numPr>
          <w:ilvl w:val="0"/>
          <w:numId w:val="2"/>
        </w:numPr>
        <w:spacing w:before="40" w:after="40"/>
      </w:pPr>
      <w:r>
        <w:rPr>
          <w:rFonts w:ascii="Arial" w:cs="Arial" w:eastAsia="Arial" w:hAnsi="Arial"/>
          <w:b w:val="false"/>
          <w:bCs w:val="false"/>
          <w:color w:val="1E293B"/>
          <w:sz w:val="22"/>
          <w:szCs w:val="22"/>
        </w:rPr>
        <w:t xml:space="preserve">JPPH government valuation database — baseline government valuation import</w:t>
      </w:r>
    </w:p>
    <w:p>
      <w:pPr>
        <w:pStyle w:val="ListParagraph"/>
        <w:numPr>
          <w:ilvl w:val="0"/>
          <w:numId w:val="2"/>
        </w:numPr>
        <w:spacing w:before="40" w:after="40"/>
      </w:pPr>
      <w:r>
        <w:rPr>
          <w:rFonts w:ascii="Arial" w:cs="Arial" w:eastAsia="Arial" w:hAnsi="Arial"/>
          <w:b w:val="false"/>
          <w:bCs w:val="false"/>
          <w:color w:val="1E293B"/>
          <w:sz w:val="22"/>
          <w:szCs w:val="22"/>
        </w:rPr>
        <w:t xml:space="preserve">Islamic finance transaction platforms — Murabahah / Ijarah / Musharakah structuring</w:t>
      </w:r>
    </w:p>
    <w:p>
      <w:pPr>
        <w:pBdr>
          <w:bottom w:val="single" w:color="CBD5E1" w:sz="4" w:space="1"/>
        </w:pBdr>
        <w:spacing w:before="160" w:after="160"/>
      </w:pPr>
      <w:r>
        <w:t xml:space="preserve"/>
      </w:r>
    </w:p>
    <w:p>
      <w:pPr>
        <w:pStyle w:val="Heading1"/>
        <w:spacing w:before="400" w:after="160"/>
      </w:pPr>
      <w:r>
        <w:rPr>
          <w:rFonts w:ascii="Arial" w:cs="Arial" w:eastAsia="Arial" w:hAnsi="Arial"/>
          <w:b/>
          <w:bCs/>
          <w:color w:val="0A1628"/>
          <w:sz w:val="40"/>
          <w:szCs w:val="40"/>
        </w:rPr>
        <w:t xml:space="preserve">15. Conclusion</w:t>
      </w:r>
    </w:p>
    <w:p>
      <w:pPr>
        <w:spacing w:before="60" w:after="80"/>
      </w:pPr>
      <w:r>
        <w:rPr>
          <w:rFonts w:ascii="Arial" w:cs="Arial" w:eastAsia="Arial" w:hAnsi="Arial"/>
          <w:b w:val="false"/>
          <w:bCs w:val="false"/>
          <w:color w:val="1E293B"/>
          <w:sz w:val="22"/>
          <w:szCs w:val="22"/>
        </w:rPr>
        <w:t xml:space="preserve">The TwinVal REIT Portfolio Intelligence Dashboard represents a step-change in how REIT portfolio managers, compliance officers, and investors access and act on property information. By combining live IoT sensor data, engineer-certified valuation parameters, cryptographic audit trails, and a patent-protected sensor-governed exchange — all surfaced through a single, real-time dashboard — TwinVal replaces the quarterly snapshot model of REIT management with a continuously live, auditable, and Shariah-compliant alternative.</w:t>
      </w:r>
    </w:p>
    <w:p>
      <w:pPr>
        <w:spacing w:before="0" w:after="0"/>
      </w:pPr>
      <w:r>
        <w:t xml:space="preserve"/>
      </w:r>
    </w:p>
    <w:p>
      <w:pPr>
        <w:spacing w:before="60" w:after="80"/>
      </w:pPr>
      <w:r>
        <w:rPr>
          <w:rFonts w:ascii="Arial" w:cs="Arial" w:eastAsia="Arial" w:hAnsi="Arial"/>
          <w:b w:val="false"/>
          <w:bCs w:val="false"/>
          <w:color w:val="1E293B"/>
          <w:sz w:val="22"/>
          <w:szCs w:val="22"/>
        </w:rPr>
        <w:t xml:space="preserve">The nine tabs of the dashboard — Portfolio, Income &amp; DPU, Tenants &amp; Leases, Capital Structure, Capex, Property Detail, Exchange, Override, and Audit Log — together cover the full operational and financial lifecycle of a REIT portfolio. Each tab is designed around the specific workflows of the users who rely on it: portfolio managers, finance directors, compliance officers, investor relations teams, and Shariah boards.</w:t>
      </w:r>
    </w:p>
    <w:p>
      <w:pPr>
        <w:spacing w:before="0" w:after="0"/>
      </w:pPr>
      <w:r>
        <w:t xml:space="preserve"/>
      </w:r>
    </w:p>
    <w:p>
      <w:pPr>
        <w:spacing w:before="60" w:after="80"/>
      </w:pPr>
      <w:r>
        <w:rPr>
          <w:rFonts w:ascii="Arial" w:cs="Arial" w:eastAsia="Arial" w:hAnsi="Arial"/>
          <w:b w:val="false"/>
          <w:bCs w:val="false"/>
          <w:color w:val="1E293B"/>
          <w:sz w:val="22"/>
          <w:szCs w:val="22"/>
        </w:rPr>
        <w:t xml:space="preserve">For a Malaysian Islamic REIT managing RM 500M to RM 5B in assets, TwinVal delivers four categories of measurable value: continuous valuation accuracy, early warning of asset deterioration, regulatory audit readiness, and the infrastructure for a sensor-governed property exchange that does not yet exist anywhere in the market.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6"/>
              <w:left w:val="single" w:color="0EA5E9" w:sz="14"/>
              <w:bottom w:val="single" w:color="E2E8F0" w:sz="1"/>
              <w:right w:val="single" w:color="E2E8F0" w:sz="1"/>
            </w:tcBorders>
            <w:shd w:fill="F0FDF4" w:val="clear"/>
            <w:tcMar>
              <w:top w:type="dxa" w:w="120"/>
              <w:left w:type="dxa" w:w="200"/>
              <w:bottom w:type="dxa" w:w="120"/>
              <w:right w:type="dxa" w:w="180"/>
            </w:tcMar>
          </w:tcPr>
          <w:p>
            <w:pPr>
              <w:spacing w:before="0" w:after="60"/>
            </w:pPr>
            <w:r>
              <w:rPr>
                <w:rFonts w:ascii="Arial" w:cs="Arial" w:eastAsia="Arial" w:hAnsi="Arial"/>
                <w:b/>
                <w:bCs/>
                <w:color w:val="0A1628"/>
                <w:sz w:val="22"/>
                <w:szCs w:val="22"/>
              </w:rPr>
              <w:t xml:space="preserve">Next Step</w:t>
            </w:r>
          </w:p>
          <w:p>
            <w:pPr>
              <w:spacing w:before="0" w:after="0"/>
            </w:pPr>
            <w:r>
              <w:rPr>
                <w:rFonts w:ascii="Arial" w:cs="Arial" w:eastAsia="Arial" w:hAnsi="Arial"/>
                <w:color w:val="374151"/>
                <w:sz w:val="21"/>
                <w:szCs w:val="21"/>
              </w:rPr>
              <w:t xml:space="preserve">A live demonstration of the TwinVal dashboard can be arranged at your convenience. A Letter of Intent for a pilot deployment covering 10–20 properties will be the basis for the first commercial engagement, with full production deployment targeting Q4 2026 following the IIUM campus pilot.</w:t>
            </w:r>
          </w:p>
        </w:tc>
      </w:tr>
    </w:tbl>
    <w:p>
      <w:pPr>
        <w:spacing w:before="0" w:after="0"/>
      </w:pPr>
      <w:r>
        <w:t xml:space="preserve"/>
      </w:r>
    </w:p>
    <w:p>
      <w:pPr>
        <w:spacing w:before="0" w:after="0"/>
      </w:pPr>
      <w:r>
        <w:t xml:space="preserve"/>
      </w:r>
    </w:p>
    <w:p>
      <w:pPr>
        <w:spacing w:before="0" w:after="0"/>
        <w:jc w:val="center"/>
      </w:pPr>
      <w:r>
        <w:rPr>
          <w:rFonts w:ascii="Arial" w:cs="Arial" w:eastAsia="Arial" w:hAnsi="Arial"/>
          <w:color w:val="475569"/>
          <w:sz w:val="18"/>
          <w:szCs w:val="18"/>
        </w:rPr>
        <w:t xml:space="preserve">TwinVal REIT Portfolio Intelligence  ·  Patent Pending (Ref: 2527401IN-CS)  ·  </w:t>
      </w:r>
      <w:r>
        <w:rPr>
          <w:rFonts w:ascii="Arial" w:cs="Arial" w:eastAsia="Arial" w:hAnsi="Arial"/>
          <w:i/>
          <w:iCs/>
          <w:color w:val="475569"/>
          <w:sz w:val="18"/>
          <w:szCs w:val="18"/>
        </w:rPr>
        <w:t xml:space="preserve">Confidential — For Authorised Recipients Only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tabs>
        <w:tab w:val="right" w:pos="9026"/>
      </w:tabs>
      <w:spacing w:before="160" w:after="0"/>
    </w:pPr>
    <w:r>
      <w:rPr>
        <w:rFonts w:ascii="Arial" w:cs="Arial" w:eastAsia="Arial" w:hAnsi="Arial"/>
        <w:color w:val="475569"/>
        <w:sz w:val="18"/>
        <w:szCs w:val="18"/>
      </w:rPr>
      <w:t xml:space="preserve">Confidential  ·  Patent Pending</w:t>
    </w:r>
    <w:r>
      <w:rPr>
        <w:rFonts w:ascii="Arial" w:cs="Arial" w:eastAsia="Arial" w:hAnsi="Arial"/>
        <w:color w:val="475569"/>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1"/>
      </w:pBdr>
      <w:spacing w:before="0" w:after="160"/>
    </w:pPr>
    <w:r>
      <w:rPr>
        <w:rFonts w:ascii="Arial" w:cs="Arial" w:eastAsia="Arial" w:hAnsi="Arial"/>
        <w:color w:val="475569"/>
        <w:sz w:val="18"/>
        <w:szCs w:val="18"/>
      </w:rPr>
      <w:t xml:space="preserve">TwinVal REIT Portfolio Intelligence Dashboard  ·  Product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A1628"/>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0A1628"/>
      <w:sz w:val="30"/>
      <w:szCs w:val="30"/>
    </w:rPr>
  </w:style>
  <w:style w:type="paragraph" w:styleId="Heading3">
    <w:name w:val="Heading 3"/>
    <w:basedOn w:val="Normal"/>
    <w:next w:val="Normal"/>
    <w:qFormat/>
    <w:pPr>
      <w:spacing w:before="240" w:after="80"/>
      <w:outlineLvl w:val="2"/>
    </w:pPr>
    <w:rPr>
      <w:rFonts w:ascii="Arial" w:cs="Arial" w:eastAsia="Arial" w:hAnsi="Arial"/>
      <w:b/>
      <w:bCs/>
      <w:color w:val="0EA5E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2026-03-11T12:02:38.704Z</dcterms:created>
  <dcterms:modified xsi:type="dcterms:W3CDTF">2026-03-11T12:02:38.705Z</dcterms:modified>
</cp:coreProperties>
</file>

<file path=docProps/custom.xml><?xml version="1.0" encoding="utf-8"?>
<Properties xmlns="http://schemas.openxmlformats.org/officeDocument/2006/custom-properties" xmlns:vt="http://schemas.openxmlformats.org/officeDocument/2006/docPropsVTypes"/>
</file>