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80D" w:rsidRDefault="0020780D" w:rsidP="0020780D">
      <w:pPr>
        <w:widowControl/>
        <w:jc w:val="center"/>
        <w:rPr>
          <w:rFonts w:ascii="Arial" w:eastAsia="ＭＳ Ｐゴシック" w:hAnsi="Arial" w:cs="Arial"/>
          <w:color w:val="000000"/>
          <w:kern w:val="0"/>
          <w:sz w:val="24"/>
          <w:szCs w:val="20"/>
        </w:rPr>
      </w:pPr>
    </w:p>
    <w:p w:rsidR="0020780D" w:rsidRDefault="0020780D" w:rsidP="0020780D">
      <w:pPr>
        <w:widowControl/>
        <w:jc w:val="center"/>
        <w:rPr>
          <w:rFonts w:ascii="Arial" w:eastAsia="ＭＳ Ｐゴシック" w:hAnsi="Arial" w:cs="Arial"/>
          <w:color w:val="000000"/>
          <w:kern w:val="0"/>
          <w:sz w:val="24"/>
          <w:szCs w:val="20"/>
        </w:rPr>
      </w:pPr>
    </w:p>
    <w:p w:rsidR="0020780D" w:rsidRDefault="0020780D" w:rsidP="0020780D">
      <w:pPr>
        <w:widowControl/>
        <w:jc w:val="center"/>
        <w:rPr>
          <w:rFonts w:ascii="Arial" w:eastAsia="ＭＳ Ｐゴシック" w:hAnsi="Arial" w:cs="Arial"/>
          <w:color w:val="000000"/>
          <w:kern w:val="0"/>
          <w:sz w:val="24"/>
          <w:szCs w:val="20"/>
        </w:rPr>
      </w:pPr>
    </w:p>
    <w:p w:rsidR="0020780D" w:rsidRPr="002911C9" w:rsidRDefault="0020780D" w:rsidP="0020780D">
      <w:pPr>
        <w:widowControl/>
        <w:jc w:val="center"/>
        <w:rPr>
          <w:rFonts w:ascii="Arial" w:eastAsia="ＭＳ Ｐゴシック" w:hAnsi="Arial" w:cs="Arial"/>
          <w:color w:val="000000"/>
          <w:kern w:val="0"/>
          <w:sz w:val="24"/>
          <w:szCs w:val="20"/>
        </w:rPr>
      </w:pPr>
      <w:r>
        <w:rPr>
          <w:rFonts w:ascii="Arial" w:eastAsia="ＭＳ Ｐゴシック" w:hAnsi="Arial" w:cs="Arial" w:hint="eastAsia"/>
          <w:color w:val="000000"/>
          <w:kern w:val="0"/>
          <w:sz w:val="24"/>
          <w:szCs w:val="20"/>
        </w:rPr>
        <w:t>2017</w:t>
      </w:r>
      <w:r>
        <w:rPr>
          <w:rFonts w:ascii="Arial" w:eastAsia="ＭＳ Ｐゴシック" w:hAnsi="Arial" w:cs="Arial" w:hint="eastAsia"/>
          <w:color w:val="000000"/>
          <w:kern w:val="0"/>
          <w:sz w:val="24"/>
          <w:szCs w:val="20"/>
        </w:rPr>
        <w:t>年度</w:t>
      </w:r>
      <w:r>
        <w:rPr>
          <w:rFonts w:ascii="Arial" w:eastAsia="ＭＳ Ｐゴシック" w:hAnsi="Arial" w:cs="Arial" w:hint="eastAsia"/>
          <w:color w:val="000000"/>
          <w:kern w:val="0"/>
          <w:sz w:val="24"/>
          <w:szCs w:val="20"/>
        </w:rPr>
        <w:t>(</w:t>
      </w:r>
      <w:r>
        <w:rPr>
          <w:rFonts w:ascii="Arial" w:eastAsia="ＭＳ Ｐゴシック" w:hAnsi="Arial" w:cs="Arial" w:hint="eastAsia"/>
          <w:color w:val="000000"/>
          <w:kern w:val="0"/>
          <w:sz w:val="24"/>
          <w:szCs w:val="20"/>
        </w:rPr>
        <w:t>平成</w:t>
      </w:r>
      <w:r>
        <w:rPr>
          <w:rFonts w:ascii="Arial" w:eastAsia="ＭＳ Ｐゴシック" w:hAnsi="Arial" w:cs="Arial" w:hint="eastAsia"/>
          <w:color w:val="000000"/>
          <w:kern w:val="0"/>
          <w:sz w:val="24"/>
          <w:szCs w:val="20"/>
        </w:rPr>
        <w:t>28</w:t>
      </w:r>
      <w:r>
        <w:rPr>
          <w:rFonts w:ascii="Arial" w:eastAsia="ＭＳ Ｐゴシック" w:hAnsi="Arial" w:cs="Arial" w:hint="eastAsia"/>
          <w:color w:val="000000"/>
          <w:kern w:val="0"/>
          <w:sz w:val="24"/>
          <w:szCs w:val="20"/>
        </w:rPr>
        <w:t>年度</w:t>
      </w:r>
      <w:r>
        <w:rPr>
          <w:rFonts w:ascii="Arial" w:eastAsia="ＭＳ Ｐゴシック" w:hAnsi="Arial" w:cs="Arial" w:hint="eastAsia"/>
          <w:color w:val="000000"/>
          <w:kern w:val="0"/>
          <w:sz w:val="24"/>
          <w:szCs w:val="20"/>
        </w:rPr>
        <w:t>)</w:t>
      </w:r>
      <w:r>
        <w:rPr>
          <w:rFonts w:ascii="Arial" w:eastAsia="ＭＳ Ｐゴシック" w:hAnsi="Arial" w:cs="Arial" w:hint="eastAsia"/>
          <w:color w:val="000000"/>
          <w:kern w:val="0"/>
          <w:sz w:val="24"/>
          <w:szCs w:val="20"/>
        </w:rPr>
        <w:t xml:space="preserve">　修士論文</w:t>
      </w:r>
    </w:p>
    <w:p w:rsidR="0020780D" w:rsidRPr="0020780D" w:rsidRDefault="0020780D" w:rsidP="0020780D">
      <w:pPr>
        <w:widowControl/>
        <w:jc w:val="center"/>
        <w:rPr>
          <w:rFonts w:ascii="Arial" w:eastAsia="ＭＳ Ｐゴシック" w:hAnsi="Arial" w:cs="Arial"/>
          <w:color w:val="000000"/>
          <w:kern w:val="0"/>
          <w:sz w:val="32"/>
          <w:szCs w:val="20"/>
        </w:rPr>
      </w:pPr>
    </w:p>
    <w:p w:rsidR="0020780D" w:rsidRDefault="0020780D" w:rsidP="0020780D">
      <w:pPr>
        <w:widowControl/>
        <w:jc w:val="center"/>
        <w:rPr>
          <w:rFonts w:ascii="Arial" w:eastAsia="ＭＳ Ｐゴシック" w:hAnsi="Arial" w:cs="Arial"/>
          <w:color w:val="000000"/>
          <w:kern w:val="0"/>
          <w:sz w:val="32"/>
          <w:szCs w:val="20"/>
        </w:rPr>
      </w:pPr>
    </w:p>
    <w:p w:rsidR="0020780D" w:rsidRPr="00025A38" w:rsidRDefault="0020780D" w:rsidP="0020780D">
      <w:pPr>
        <w:widowControl/>
        <w:jc w:val="center"/>
        <w:rPr>
          <w:rFonts w:ascii="Arial" w:eastAsia="ＭＳ Ｐゴシック" w:hAnsi="Arial" w:cs="Arial"/>
          <w:color w:val="000000"/>
          <w:kern w:val="0"/>
          <w:sz w:val="40"/>
          <w:szCs w:val="20"/>
        </w:rPr>
      </w:pPr>
      <w:r w:rsidRPr="0020780D">
        <w:rPr>
          <w:rFonts w:ascii="Arial" w:eastAsia="ＭＳ Ｐゴシック" w:hAnsi="Arial" w:cs="Arial" w:hint="eastAsia"/>
          <w:color w:val="000000"/>
          <w:kern w:val="0"/>
          <w:sz w:val="40"/>
          <w:szCs w:val="20"/>
        </w:rPr>
        <w:t>公的年金の積立金運用の分析と評価</w:t>
      </w:r>
    </w:p>
    <w:p w:rsidR="0020780D" w:rsidRPr="00B30A16" w:rsidRDefault="0020780D" w:rsidP="0020780D">
      <w:pPr>
        <w:jc w:val="center"/>
        <w:rPr>
          <w:rFonts w:ascii="Arial" w:eastAsia="ＭＳ Ｐゴシック" w:hAnsi="Arial" w:cs="Arial"/>
          <w:color w:val="000000"/>
          <w:kern w:val="0"/>
          <w:sz w:val="36"/>
          <w:szCs w:val="20"/>
        </w:rPr>
      </w:pPr>
    </w:p>
    <w:p w:rsidR="0020780D" w:rsidRPr="006A7905" w:rsidRDefault="0020780D" w:rsidP="0020780D">
      <w:pPr>
        <w:rPr>
          <w:sz w:val="24"/>
        </w:rPr>
      </w:pPr>
    </w:p>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Default="0020780D" w:rsidP="0020780D"/>
    <w:p w:rsidR="0020780D" w:rsidRPr="00025A38" w:rsidRDefault="0020780D" w:rsidP="0020780D">
      <w:pPr>
        <w:pStyle w:val="a3"/>
        <w:jc w:val="center"/>
        <w:rPr>
          <w:sz w:val="27"/>
          <w:szCs w:val="27"/>
        </w:rPr>
      </w:pPr>
      <w:r w:rsidRPr="00025A38">
        <w:rPr>
          <w:rFonts w:hint="eastAsia"/>
          <w:sz w:val="27"/>
          <w:szCs w:val="27"/>
        </w:rPr>
        <w:t>平成</w:t>
      </w:r>
      <w:r>
        <w:rPr>
          <w:rFonts w:hint="eastAsia"/>
          <w:sz w:val="27"/>
          <w:szCs w:val="27"/>
        </w:rPr>
        <w:t>30</w:t>
      </w:r>
      <w:r w:rsidRPr="00025A38">
        <w:rPr>
          <w:rFonts w:hint="eastAsia"/>
          <w:sz w:val="27"/>
          <w:szCs w:val="27"/>
        </w:rPr>
        <w:t>年</w:t>
      </w:r>
      <w:r>
        <w:rPr>
          <w:rFonts w:hint="eastAsia"/>
          <w:sz w:val="27"/>
          <w:szCs w:val="27"/>
        </w:rPr>
        <w:t>1</w:t>
      </w:r>
      <w:r w:rsidRPr="00025A38">
        <w:rPr>
          <w:rFonts w:hint="eastAsia"/>
          <w:sz w:val="27"/>
          <w:szCs w:val="27"/>
        </w:rPr>
        <w:t>月</w:t>
      </w:r>
      <w:r>
        <w:rPr>
          <w:rFonts w:hint="eastAsia"/>
          <w:sz w:val="27"/>
          <w:szCs w:val="27"/>
        </w:rPr>
        <w:t>12</w:t>
      </w:r>
      <w:r w:rsidRPr="00025A38">
        <w:rPr>
          <w:rFonts w:hint="eastAsia"/>
          <w:sz w:val="27"/>
          <w:szCs w:val="27"/>
        </w:rPr>
        <w:t>日</w:t>
      </w:r>
    </w:p>
    <w:p w:rsidR="0020780D" w:rsidRPr="00025A38" w:rsidRDefault="0020780D" w:rsidP="0020780D">
      <w:pPr>
        <w:pStyle w:val="a3"/>
        <w:jc w:val="center"/>
        <w:rPr>
          <w:sz w:val="27"/>
          <w:szCs w:val="27"/>
        </w:rPr>
      </w:pPr>
    </w:p>
    <w:p w:rsidR="0020780D" w:rsidRPr="00025A38" w:rsidRDefault="0020780D" w:rsidP="0020780D">
      <w:pPr>
        <w:pStyle w:val="a3"/>
        <w:jc w:val="center"/>
        <w:rPr>
          <w:sz w:val="27"/>
          <w:szCs w:val="27"/>
        </w:rPr>
      </w:pPr>
    </w:p>
    <w:p w:rsidR="0020780D" w:rsidRPr="00025A38" w:rsidRDefault="0020780D" w:rsidP="0020780D">
      <w:pPr>
        <w:pStyle w:val="a3"/>
        <w:jc w:val="center"/>
        <w:rPr>
          <w:sz w:val="27"/>
          <w:szCs w:val="27"/>
        </w:rPr>
      </w:pPr>
      <w:r w:rsidRPr="00025A38">
        <w:rPr>
          <w:rFonts w:hint="eastAsia"/>
          <w:sz w:val="27"/>
          <w:szCs w:val="27"/>
        </w:rPr>
        <w:t>慶應義塾大学</w:t>
      </w:r>
      <w:r>
        <w:rPr>
          <w:rFonts w:hint="eastAsia"/>
          <w:sz w:val="27"/>
          <w:szCs w:val="27"/>
        </w:rPr>
        <w:t>大学院</w:t>
      </w:r>
      <w:r w:rsidRPr="00025A38">
        <w:rPr>
          <w:rFonts w:hint="eastAsia"/>
          <w:sz w:val="27"/>
          <w:szCs w:val="27"/>
        </w:rPr>
        <w:t xml:space="preserve">　政策</w:t>
      </w:r>
      <w:r>
        <w:rPr>
          <w:rFonts w:hint="eastAsia"/>
          <w:sz w:val="27"/>
          <w:szCs w:val="27"/>
        </w:rPr>
        <w:t>・メディア研究科</w:t>
      </w:r>
    </w:p>
    <w:p w:rsidR="0020780D" w:rsidRDefault="0020780D" w:rsidP="0020780D">
      <w:pPr>
        <w:pStyle w:val="a3"/>
        <w:jc w:val="center"/>
        <w:rPr>
          <w:sz w:val="27"/>
          <w:szCs w:val="27"/>
        </w:rPr>
      </w:pPr>
      <w:r w:rsidRPr="00025A38">
        <w:rPr>
          <w:rFonts w:hint="eastAsia"/>
          <w:sz w:val="27"/>
          <w:szCs w:val="27"/>
        </w:rPr>
        <w:t xml:space="preserve">学籍番号　</w:t>
      </w:r>
      <w:r>
        <w:rPr>
          <w:rFonts w:hint="eastAsia"/>
          <w:sz w:val="27"/>
          <w:szCs w:val="27"/>
        </w:rPr>
        <w:t>81624070</w:t>
      </w:r>
    </w:p>
    <w:p w:rsidR="0020780D" w:rsidRPr="00025A38" w:rsidRDefault="0020780D" w:rsidP="0020780D">
      <w:pPr>
        <w:pStyle w:val="a3"/>
        <w:jc w:val="center"/>
        <w:rPr>
          <w:sz w:val="27"/>
          <w:szCs w:val="27"/>
        </w:rPr>
      </w:pPr>
    </w:p>
    <w:p w:rsidR="0020780D" w:rsidRDefault="0020780D" w:rsidP="0020780D">
      <w:pPr>
        <w:jc w:val="center"/>
        <w:rPr>
          <w:sz w:val="27"/>
          <w:szCs w:val="27"/>
        </w:rPr>
      </w:pPr>
      <w:r w:rsidRPr="00025A38">
        <w:rPr>
          <w:rFonts w:hint="eastAsia"/>
          <w:sz w:val="27"/>
          <w:szCs w:val="27"/>
        </w:rPr>
        <w:t>池田　達哉</w:t>
      </w:r>
    </w:p>
    <w:p w:rsidR="005A7D24" w:rsidRDefault="005A7D24" w:rsidP="0020780D">
      <w:pPr>
        <w:rPr>
          <w:sz w:val="36"/>
          <w:szCs w:val="27"/>
        </w:rPr>
        <w:sectPr w:rsidR="005A7D24">
          <w:pgSz w:w="11906" w:h="16838"/>
          <w:pgMar w:top="1985" w:right="1701" w:bottom="1701" w:left="1701" w:header="851" w:footer="992" w:gutter="0"/>
          <w:cols w:space="425"/>
          <w:docGrid w:type="lines" w:linePitch="360"/>
        </w:sectPr>
      </w:pPr>
    </w:p>
    <w:p w:rsidR="005A7D24" w:rsidRDefault="005A7D24" w:rsidP="0020780D">
      <w:pPr>
        <w:rPr>
          <w:sz w:val="36"/>
          <w:szCs w:val="27"/>
        </w:rPr>
      </w:pPr>
      <w:r>
        <w:rPr>
          <w:rFonts w:hint="eastAsia"/>
          <w:sz w:val="36"/>
          <w:szCs w:val="27"/>
        </w:rPr>
        <w:lastRenderedPageBreak/>
        <w:t>概要</w:t>
      </w: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5A7D24" w:rsidRDefault="005A7D24" w:rsidP="0020780D">
      <w:pPr>
        <w:rPr>
          <w:szCs w:val="27"/>
        </w:rPr>
      </w:pPr>
    </w:p>
    <w:p w:rsidR="00F63196" w:rsidRDefault="00F63196" w:rsidP="0020780D">
      <w:pPr>
        <w:rPr>
          <w:sz w:val="36"/>
          <w:szCs w:val="27"/>
        </w:rPr>
        <w:sectPr w:rsidR="00F63196">
          <w:pgSz w:w="11906" w:h="16838"/>
          <w:pgMar w:top="1985" w:right="1701" w:bottom="1701" w:left="1701" w:header="851" w:footer="992" w:gutter="0"/>
          <w:cols w:space="425"/>
          <w:docGrid w:type="lines" w:linePitch="360"/>
        </w:sectPr>
      </w:pPr>
    </w:p>
    <w:p w:rsidR="0020780D" w:rsidRPr="006F5349" w:rsidRDefault="0020780D" w:rsidP="006F5349">
      <w:pPr>
        <w:rPr>
          <w:sz w:val="36"/>
          <w:szCs w:val="27"/>
        </w:rPr>
      </w:pPr>
    </w:p>
    <w:sdt>
      <w:sdtPr>
        <w:rPr>
          <w:rFonts w:asciiTheme="minorHAnsi" w:hAnsiTheme="minorHAnsi" w:cstheme="minorBidi"/>
          <w:color w:val="auto"/>
          <w:kern w:val="2"/>
          <w:sz w:val="21"/>
          <w:szCs w:val="22"/>
          <w:lang w:val="ja-JP"/>
        </w:rPr>
        <w:id w:val="-412238278"/>
        <w:docPartObj>
          <w:docPartGallery w:val="Table of Contents"/>
          <w:docPartUnique/>
        </w:docPartObj>
      </w:sdtPr>
      <w:sdtEndPr>
        <w:rPr>
          <w:b/>
          <w:bCs/>
        </w:rPr>
      </w:sdtEndPr>
      <w:sdtContent>
        <w:p w:rsidR="00F63196" w:rsidRPr="00F63196" w:rsidRDefault="00F63196">
          <w:pPr>
            <w:pStyle w:val="a9"/>
            <w:rPr>
              <w:color w:val="auto"/>
            </w:rPr>
          </w:pPr>
          <w:r w:rsidRPr="00F63196">
            <w:rPr>
              <w:rFonts w:hint="eastAsia"/>
              <w:color w:val="auto"/>
              <w:lang w:val="ja-JP"/>
            </w:rPr>
            <w:t>目次</w:t>
          </w:r>
        </w:p>
        <w:p w:rsidR="00C40C2D" w:rsidRDefault="00F63196">
          <w:pPr>
            <w:pStyle w:val="11"/>
            <w:tabs>
              <w:tab w:val="right" w:leader="dot" w:pos="8494"/>
            </w:tabs>
            <w:rPr>
              <w:noProof/>
            </w:rPr>
          </w:pPr>
          <w:r>
            <w:fldChar w:fldCharType="begin"/>
          </w:r>
          <w:r>
            <w:instrText xml:space="preserve"> TOC \o "1-3" \h \z \u </w:instrText>
          </w:r>
          <w:r>
            <w:fldChar w:fldCharType="separate"/>
          </w:r>
          <w:hyperlink w:anchor="_Toc503411923" w:history="1">
            <w:r w:rsidR="00C40C2D" w:rsidRPr="00B31DF8">
              <w:rPr>
                <w:rStyle w:val="aa"/>
                <w:noProof/>
              </w:rPr>
              <w:t>第1章　序章</w:t>
            </w:r>
            <w:r w:rsidR="00C40C2D">
              <w:rPr>
                <w:noProof/>
                <w:webHidden/>
              </w:rPr>
              <w:tab/>
            </w:r>
            <w:r w:rsidR="00C40C2D">
              <w:rPr>
                <w:noProof/>
                <w:webHidden/>
              </w:rPr>
              <w:fldChar w:fldCharType="begin"/>
            </w:r>
            <w:r w:rsidR="00C40C2D">
              <w:rPr>
                <w:noProof/>
                <w:webHidden/>
              </w:rPr>
              <w:instrText xml:space="preserve"> PAGEREF _Toc503411923 \h </w:instrText>
            </w:r>
            <w:r w:rsidR="00C40C2D">
              <w:rPr>
                <w:noProof/>
                <w:webHidden/>
              </w:rPr>
            </w:r>
            <w:r w:rsidR="00C40C2D">
              <w:rPr>
                <w:noProof/>
                <w:webHidden/>
              </w:rPr>
              <w:fldChar w:fldCharType="separate"/>
            </w:r>
            <w:r w:rsidR="00C40C2D">
              <w:rPr>
                <w:noProof/>
                <w:webHidden/>
              </w:rPr>
              <w:t>1</w:t>
            </w:r>
            <w:r w:rsidR="00C40C2D">
              <w:rPr>
                <w:noProof/>
                <w:webHidden/>
              </w:rPr>
              <w:fldChar w:fldCharType="end"/>
            </w:r>
          </w:hyperlink>
        </w:p>
        <w:p w:rsidR="00C40C2D" w:rsidRDefault="008F3912">
          <w:pPr>
            <w:pStyle w:val="21"/>
            <w:tabs>
              <w:tab w:val="right" w:leader="dot" w:pos="8494"/>
            </w:tabs>
            <w:rPr>
              <w:noProof/>
            </w:rPr>
          </w:pPr>
          <w:hyperlink w:anchor="_Toc503411924" w:history="1">
            <w:r w:rsidR="00C40C2D" w:rsidRPr="00B31DF8">
              <w:rPr>
                <w:rStyle w:val="aa"/>
                <w:noProof/>
              </w:rPr>
              <w:t>1.1　研究の背景</w:t>
            </w:r>
            <w:r w:rsidR="00C40C2D">
              <w:rPr>
                <w:noProof/>
                <w:webHidden/>
              </w:rPr>
              <w:tab/>
            </w:r>
            <w:r w:rsidR="00C40C2D">
              <w:rPr>
                <w:noProof/>
                <w:webHidden/>
              </w:rPr>
              <w:fldChar w:fldCharType="begin"/>
            </w:r>
            <w:r w:rsidR="00C40C2D">
              <w:rPr>
                <w:noProof/>
                <w:webHidden/>
              </w:rPr>
              <w:instrText xml:space="preserve"> PAGEREF _Toc503411924 \h </w:instrText>
            </w:r>
            <w:r w:rsidR="00C40C2D">
              <w:rPr>
                <w:noProof/>
                <w:webHidden/>
              </w:rPr>
            </w:r>
            <w:r w:rsidR="00C40C2D">
              <w:rPr>
                <w:noProof/>
                <w:webHidden/>
              </w:rPr>
              <w:fldChar w:fldCharType="separate"/>
            </w:r>
            <w:r w:rsidR="00C40C2D">
              <w:rPr>
                <w:noProof/>
                <w:webHidden/>
              </w:rPr>
              <w:t>1</w:t>
            </w:r>
            <w:r w:rsidR="00C40C2D">
              <w:rPr>
                <w:noProof/>
                <w:webHidden/>
              </w:rPr>
              <w:fldChar w:fldCharType="end"/>
            </w:r>
          </w:hyperlink>
        </w:p>
        <w:p w:rsidR="00C40C2D" w:rsidRDefault="008F3912">
          <w:pPr>
            <w:pStyle w:val="21"/>
            <w:tabs>
              <w:tab w:val="right" w:leader="dot" w:pos="8494"/>
            </w:tabs>
            <w:rPr>
              <w:noProof/>
            </w:rPr>
          </w:pPr>
          <w:hyperlink w:anchor="_Toc503411925" w:history="1">
            <w:r w:rsidR="00C40C2D" w:rsidRPr="00B31DF8">
              <w:rPr>
                <w:rStyle w:val="aa"/>
                <w:noProof/>
              </w:rPr>
              <w:t>1.2　本論文の目的と意義</w:t>
            </w:r>
            <w:r w:rsidR="00C40C2D">
              <w:rPr>
                <w:noProof/>
                <w:webHidden/>
              </w:rPr>
              <w:tab/>
            </w:r>
            <w:r w:rsidR="00C40C2D">
              <w:rPr>
                <w:noProof/>
                <w:webHidden/>
              </w:rPr>
              <w:fldChar w:fldCharType="begin"/>
            </w:r>
            <w:r w:rsidR="00C40C2D">
              <w:rPr>
                <w:noProof/>
                <w:webHidden/>
              </w:rPr>
              <w:instrText xml:space="preserve"> PAGEREF _Toc503411925 \h </w:instrText>
            </w:r>
            <w:r w:rsidR="00C40C2D">
              <w:rPr>
                <w:noProof/>
                <w:webHidden/>
              </w:rPr>
            </w:r>
            <w:r w:rsidR="00C40C2D">
              <w:rPr>
                <w:noProof/>
                <w:webHidden/>
              </w:rPr>
              <w:fldChar w:fldCharType="separate"/>
            </w:r>
            <w:r w:rsidR="00C40C2D">
              <w:rPr>
                <w:noProof/>
                <w:webHidden/>
              </w:rPr>
              <w:t>1</w:t>
            </w:r>
            <w:r w:rsidR="00C40C2D">
              <w:rPr>
                <w:noProof/>
                <w:webHidden/>
              </w:rPr>
              <w:fldChar w:fldCharType="end"/>
            </w:r>
          </w:hyperlink>
        </w:p>
        <w:p w:rsidR="00C40C2D" w:rsidRDefault="008F3912">
          <w:pPr>
            <w:pStyle w:val="21"/>
            <w:tabs>
              <w:tab w:val="right" w:leader="dot" w:pos="8494"/>
            </w:tabs>
            <w:rPr>
              <w:noProof/>
            </w:rPr>
          </w:pPr>
          <w:hyperlink w:anchor="_Toc503411926" w:history="1">
            <w:r w:rsidR="00C40C2D" w:rsidRPr="00B31DF8">
              <w:rPr>
                <w:rStyle w:val="aa"/>
                <w:noProof/>
              </w:rPr>
              <w:t>1.3　本論文の構成</w:t>
            </w:r>
            <w:r w:rsidR="00C40C2D">
              <w:rPr>
                <w:noProof/>
                <w:webHidden/>
              </w:rPr>
              <w:tab/>
            </w:r>
            <w:r w:rsidR="00C40C2D">
              <w:rPr>
                <w:noProof/>
                <w:webHidden/>
              </w:rPr>
              <w:fldChar w:fldCharType="begin"/>
            </w:r>
            <w:r w:rsidR="00C40C2D">
              <w:rPr>
                <w:noProof/>
                <w:webHidden/>
              </w:rPr>
              <w:instrText xml:space="preserve"> PAGEREF _Toc503411926 \h </w:instrText>
            </w:r>
            <w:r w:rsidR="00C40C2D">
              <w:rPr>
                <w:noProof/>
                <w:webHidden/>
              </w:rPr>
            </w:r>
            <w:r w:rsidR="00C40C2D">
              <w:rPr>
                <w:noProof/>
                <w:webHidden/>
              </w:rPr>
              <w:fldChar w:fldCharType="separate"/>
            </w:r>
            <w:r w:rsidR="00C40C2D">
              <w:rPr>
                <w:noProof/>
                <w:webHidden/>
              </w:rPr>
              <w:t>2</w:t>
            </w:r>
            <w:r w:rsidR="00C40C2D">
              <w:rPr>
                <w:noProof/>
                <w:webHidden/>
              </w:rPr>
              <w:fldChar w:fldCharType="end"/>
            </w:r>
          </w:hyperlink>
        </w:p>
        <w:p w:rsidR="00C40C2D" w:rsidRDefault="008F3912">
          <w:pPr>
            <w:pStyle w:val="11"/>
            <w:tabs>
              <w:tab w:val="right" w:leader="dot" w:pos="8494"/>
            </w:tabs>
            <w:rPr>
              <w:noProof/>
            </w:rPr>
          </w:pPr>
          <w:hyperlink w:anchor="_Toc503411927" w:history="1">
            <w:r w:rsidR="00C40C2D" w:rsidRPr="00B31DF8">
              <w:rPr>
                <w:rStyle w:val="aa"/>
                <w:noProof/>
              </w:rPr>
              <w:t>第2章　我が国の公的年金制度</w:t>
            </w:r>
            <w:r w:rsidR="00C40C2D">
              <w:rPr>
                <w:noProof/>
                <w:webHidden/>
              </w:rPr>
              <w:tab/>
            </w:r>
            <w:r w:rsidR="00C40C2D">
              <w:rPr>
                <w:noProof/>
                <w:webHidden/>
              </w:rPr>
              <w:fldChar w:fldCharType="begin"/>
            </w:r>
            <w:r w:rsidR="00C40C2D">
              <w:rPr>
                <w:noProof/>
                <w:webHidden/>
              </w:rPr>
              <w:instrText xml:space="preserve"> PAGEREF _Toc503411927 \h </w:instrText>
            </w:r>
            <w:r w:rsidR="00C40C2D">
              <w:rPr>
                <w:noProof/>
                <w:webHidden/>
              </w:rPr>
            </w:r>
            <w:r w:rsidR="00C40C2D">
              <w:rPr>
                <w:noProof/>
                <w:webHidden/>
              </w:rPr>
              <w:fldChar w:fldCharType="separate"/>
            </w:r>
            <w:r w:rsidR="00C40C2D">
              <w:rPr>
                <w:noProof/>
                <w:webHidden/>
              </w:rPr>
              <w:t>3</w:t>
            </w:r>
            <w:r w:rsidR="00C40C2D">
              <w:rPr>
                <w:noProof/>
                <w:webHidden/>
              </w:rPr>
              <w:fldChar w:fldCharType="end"/>
            </w:r>
          </w:hyperlink>
        </w:p>
        <w:p w:rsidR="00C40C2D" w:rsidRDefault="008F3912">
          <w:pPr>
            <w:pStyle w:val="21"/>
            <w:tabs>
              <w:tab w:val="right" w:leader="dot" w:pos="8494"/>
            </w:tabs>
            <w:rPr>
              <w:noProof/>
            </w:rPr>
          </w:pPr>
          <w:hyperlink w:anchor="_Toc503411928" w:history="1">
            <w:r w:rsidR="00C40C2D" w:rsidRPr="00B31DF8">
              <w:rPr>
                <w:rStyle w:val="aa"/>
                <w:noProof/>
              </w:rPr>
              <w:t>2.1　我が国の公的年金制度の概要</w:t>
            </w:r>
            <w:r w:rsidR="00C40C2D">
              <w:rPr>
                <w:noProof/>
                <w:webHidden/>
              </w:rPr>
              <w:tab/>
            </w:r>
            <w:r w:rsidR="00C40C2D">
              <w:rPr>
                <w:noProof/>
                <w:webHidden/>
              </w:rPr>
              <w:fldChar w:fldCharType="begin"/>
            </w:r>
            <w:r w:rsidR="00C40C2D">
              <w:rPr>
                <w:noProof/>
                <w:webHidden/>
              </w:rPr>
              <w:instrText xml:space="preserve"> PAGEREF _Toc503411928 \h </w:instrText>
            </w:r>
            <w:r w:rsidR="00C40C2D">
              <w:rPr>
                <w:noProof/>
                <w:webHidden/>
              </w:rPr>
            </w:r>
            <w:r w:rsidR="00C40C2D">
              <w:rPr>
                <w:noProof/>
                <w:webHidden/>
              </w:rPr>
              <w:fldChar w:fldCharType="separate"/>
            </w:r>
            <w:r w:rsidR="00C40C2D">
              <w:rPr>
                <w:noProof/>
                <w:webHidden/>
              </w:rPr>
              <w:t>3</w:t>
            </w:r>
            <w:r w:rsidR="00C40C2D">
              <w:rPr>
                <w:noProof/>
                <w:webHidden/>
              </w:rPr>
              <w:fldChar w:fldCharType="end"/>
            </w:r>
          </w:hyperlink>
        </w:p>
        <w:p w:rsidR="00C40C2D" w:rsidRDefault="008F3912">
          <w:pPr>
            <w:pStyle w:val="21"/>
            <w:tabs>
              <w:tab w:val="right" w:leader="dot" w:pos="8494"/>
            </w:tabs>
            <w:rPr>
              <w:noProof/>
            </w:rPr>
          </w:pPr>
          <w:hyperlink w:anchor="_Toc503411929" w:history="1">
            <w:r w:rsidR="00C40C2D" w:rsidRPr="00B31DF8">
              <w:rPr>
                <w:rStyle w:val="aa"/>
                <w:noProof/>
              </w:rPr>
              <w:t>2.2　海外公的年金制度との比較</w:t>
            </w:r>
            <w:r w:rsidR="00C40C2D">
              <w:rPr>
                <w:noProof/>
                <w:webHidden/>
              </w:rPr>
              <w:tab/>
            </w:r>
            <w:r w:rsidR="00C40C2D">
              <w:rPr>
                <w:noProof/>
                <w:webHidden/>
              </w:rPr>
              <w:fldChar w:fldCharType="begin"/>
            </w:r>
            <w:r w:rsidR="00C40C2D">
              <w:rPr>
                <w:noProof/>
                <w:webHidden/>
              </w:rPr>
              <w:instrText xml:space="preserve"> PAGEREF _Toc503411929 \h </w:instrText>
            </w:r>
            <w:r w:rsidR="00C40C2D">
              <w:rPr>
                <w:noProof/>
                <w:webHidden/>
              </w:rPr>
            </w:r>
            <w:r w:rsidR="00C40C2D">
              <w:rPr>
                <w:noProof/>
                <w:webHidden/>
              </w:rPr>
              <w:fldChar w:fldCharType="separate"/>
            </w:r>
            <w:r w:rsidR="00C40C2D">
              <w:rPr>
                <w:noProof/>
                <w:webHidden/>
              </w:rPr>
              <w:t>5</w:t>
            </w:r>
            <w:r w:rsidR="00C40C2D">
              <w:rPr>
                <w:noProof/>
                <w:webHidden/>
              </w:rPr>
              <w:fldChar w:fldCharType="end"/>
            </w:r>
          </w:hyperlink>
        </w:p>
        <w:p w:rsidR="00C40C2D" w:rsidRDefault="008F3912">
          <w:pPr>
            <w:pStyle w:val="21"/>
            <w:tabs>
              <w:tab w:val="right" w:leader="dot" w:pos="8494"/>
            </w:tabs>
            <w:rPr>
              <w:noProof/>
            </w:rPr>
          </w:pPr>
          <w:hyperlink w:anchor="_Toc503411930" w:history="1">
            <w:r w:rsidR="00C40C2D" w:rsidRPr="00B31DF8">
              <w:rPr>
                <w:rStyle w:val="aa"/>
                <w:noProof/>
              </w:rPr>
              <w:t>2.3　年金積立金管理運用独立行政法人(GPIF)について</w:t>
            </w:r>
            <w:r w:rsidR="00C40C2D">
              <w:rPr>
                <w:noProof/>
                <w:webHidden/>
              </w:rPr>
              <w:tab/>
            </w:r>
            <w:r w:rsidR="00C40C2D">
              <w:rPr>
                <w:noProof/>
                <w:webHidden/>
              </w:rPr>
              <w:fldChar w:fldCharType="begin"/>
            </w:r>
            <w:r w:rsidR="00C40C2D">
              <w:rPr>
                <w:noProof/>
                <w:webHidden/>
              </w:rPr>
              <w:instrText xml:space="preserve"> PAGEREF _Toc503411930 \h </w:instrText>
            </w:r>
            <w:r w:rsidR="00C40C2D">
              <w:rPr>
                <w:noProof/>
                <w:webHidden/>
              </w:rPr>
            </w:r>
            <w:r w:rsidR="00C40C2D">
              <w:rPr>
                <w:noProof/>
                <w:webHidden/>
              </w:rPr>
              <w:fldChar w:fldCharType="separate"/>
            </w:r>
            <w:r w:rsidR="00C40C2D">
              <w:rPr>
                <w:noProof/>
                <w:webHidden/>
              </w:rPr>
              <w:t>6</w:t>
            </w:r>
            <w:r w:rsidR="00C40C2D">
              <w:rPr>
                <w:noProof/>
                <w:webHidden/>
              </w:rPr>
              <w:fldChar w:fldCharType="end"/>
            </w:r>
          </w:hyperlink>
        </w:p>
        <w:p w:rsidR="00C40C2D" w:rsidRDefault="008F3912">
          <w:pPr>
            <w:pStyle w:val="11"/>
            <w:tabs>
              <w:tab w:val="right" w:leader="dot" w:pos="8494"/>
            </w:tabs>
            <w:rPr>
              <w:noProof/>
            </w:rPr>
          </w:pPr>
          <w:hyperlink w:anchor="_Toc503411931" w:history="1">
            <w:r w:rsidR="00C40C2D" w:rsidRPr="00B31DF8">
              <w:rPr>
                <w:rStyle w:val="aa"/>
                <w:noProof/>
              </w:rPr>
              <w:t>第3章　GPIFによる年金積立金の運用に関する先行研究</w:t>
            </w:r>
            <w:r w:rsidR="00C40C2D">
              <w:rPr>
                <w:noProof/>
                <w:webHidden/>
              </w:rPr>
              <w:tab/>
            </w:r>
            <w:r w:rsidR="00C40C2D">
              <w:rPr>
                <w:noProof/>
                <w:webHidden/>
              </w:rPr>
              <w:fldChar w:fldCharType="begin"/>
            </w:r>
            <w:r w:rsidR="00C40C2D">
              <w:rPr>
                <w:noProof/>
                <w:webHidden/>
              </w:rPr>
              <w:instrText xml:space="preserve"> PAGEREF _Toc503411931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8F3912">
          <w:pPr>
            <w:pStyle w:val="21"/>
            <w:tabs>
              <w:tab w:val="right" w:leader="dot" w:pos="8494"/>
            </w:tabs>
            <w:rPr>
              <w:noProof/>
            </w:rPr>
          </w:pPr>
          <w:hyperlink w:anchor="_Toc503411932" w:history="1">
            <w:r w:rsidR="00C40C2D" w:rsidRPr="00B31DF8">
              <w:rPr>
                <w:rStyle w:val="aa"/>
                <w:noProof/>
              </w:rPr>
              <w:t>3.1　　定性的な先行研究</w:t>
            </w:r>
            <w:r w:rsidR="00C40C2D">
              <w:rPr>
                <w:noProof/>
                <w:webHidden/>
              </w:rPr>
              <w:tab/>
            </w:r>
            <w:r w:rsidR="00C40C2D">
              <w:rPr>
                <w:noProof/>
                <w:webHidden/>
              </w:rPr>
              <w:fldChar w:fldCharType="begin"/>
            </w:r>
            <w:r w:rsidR="00C40C2D">
              <w:rPr>
                <w:noProof/>
                <w:webHidden/>
              </w:rPr>
              <w:instrText xml:space="preserve"> PAGEREF _Toc503411932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8F3912">
          <w:pPr>
            <w:pStyle w:val="21"/>
            <w:tabs>
              <w:tab w:val="right" w:leader="dot" w:pos="8494"/>
            </w:tabs>
            <w:rPr>
              <w:noProof/>
            </w:rPr>
          </w:pPr>
          <w:hyperlink w:anchor="_Toc503411933" w:history="1">
            <w:r w:rsidR="00C40C2D" w:rsidRPr="00B31DF8">
              <w:rPr>
                <w:rStyle w:val="aa"/>
                <w:noProof/>
              </w:rPr>
              <w:t>3.2　　定量的な先行研究</w:t>
            </w:r>
            <w:r w:rsidR="00C40C2D">
              <w:rPr>
                <w:noProof/>
                <w:webHidden/>
              </w:rPr>
              <w:tab/>
            </w:r>
            <w:r w:rsidR="00C40C2D">
              <w:rPr>
                <w:noProof/>
                <w:webHidden/>
              </w:rPr>
              <w:fldChar w:fldCharType="begin"/>
            </w:r>
            <w:r w:rsidR="00C40C2D">
              <w:rPr>
                <w:noProof/>
                <w:webHidden/>
              </w:rPr>
              <w:instrText xml:space="preserve"> PAGEREF _Toc503411933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8F3912">
          <w:pPr>
            <w:pStyle w:val="21"/>
            <w:tabs>
              <w:tab w:val="right" w:leader="dot" w:pos="8494"/>
            </w:tabs>
            <w:rPr>
              <w:noProof/>
            </w:rPr>
          </w:pPr>
          <w:hyperlink w:anchor="_Toc503411934" w:history="1">
            <w:r w:rsidR="00C40C2D" w:rsidRPr="00B31DF8">
              <w:rPr>
                <w:rStyle w:val="aa"/>
                <w:noProof/>
              </w:rPr>
              <w:t>3.3　　本論文におけるリサーチクエスチョン</w:t>
            </w:r>
            <w:r w:rsidR="00C40C2D">
              <w:rPr>
                <w:noProof/>
                <w:webHidden/>
              </w:rPr>
              <w:tab/>
            </w:r>
            <w:r w:rsidR="00C40C2D">
              <w:rPr>
                <w:noProof/>
                <w:webHidden/>
              </w:rPr>
              <w:fldChar w:fldCharType="begin"/>
            </w:r>
            <w:r w:rsidR="00C40C2D">
              <w:rPr>
                <w:noProof/>
                <w:webHidden/>
              </w:rPr>
              <w:instrText xml:space="preserve"> PAGEREF _Toc503411934 \h </w:instrText>
            </w:r>
            <w:r w:rsidR="00C40C2D">
              <w:rPr>
                <w:noProof/>
                <w:webHidden/>
              </w:rPr>
            </w:r>
            <w:r w:rsidR="00C40C2D">
              <w:rPr>
                <w:noProof/>
                <w:webHidden/>
              </w:rPr>
              <w:fldChar w:fldCharType="separate"/>
            </w:r>
            <w:r w:rsidR="00C40C2D">
              <w:rPr>
                <w:noProof/>
                <w:webHidden/>
              </w:rPr>
              <w:t>8</w:t>
            </w:r>
            <w:r w:rsidR="00C40C2D">
              <w:rPr>
                <w:noProof/>
                <w:webHidden/>
              </w:rPr>
              <w:fldChar w:fldCharType="end"/>
            </w:r>
          </w:hyperlink>
        </w:p>
        <w:p w:rsidR="00C40C2D" w:rsidRDefault="008F3912">
          <w:pPr>
            <w:pStyle w:val="11"/>
            <w:tabs>
              <w:tab w:val="right" w:leader="dot" w:pos="8494"/>
            </w:tabs>
            <w:rPr>
              <w:noProof/>
            </w:rPr>
          </w:pPr>
          <w:hyperlink w:anchor="_Toc503411935" w:history="1">
            <w:r w:rsidR="00C40C2D" w:rsidRPr="00B31DF8">
              <w:rPr>
                <w:rStyle w:val="aa"/>
                <w:noProof/>
              </w:rPr>
              <w:t>第4章　GPIFによる年金積立金の基本ポートフォリオの分析</w:t>
            </w:r>
            <w:r w:rsidR="00C40C2D">
              <w:rPr>
                <w:noProof/>
                <w:webHidden/>
              </w:rPr>
              <w:tab/>
            </w:r>
            <w:r w:rsidR="00C40C2D">
              <w:rPr>
                <w:noProof/>
                <w:webHidden/>
              </w:rPr>
              <w:fldChar w:fldCharType="begin"/>
            </w:r>
            <w:r w:rsidR="00C40C2D">
              <w:rPr>
                <w:noProof/>
                <w:webHidden/>
              </w:rPr>
              <w:instrText xml:space="preserve"> PAGEREF _Toc503411935 \h </w:instrText>
            </w:r>
            <w:r w:rsidR="00C40C2D">
              <w:rPr>
                <w:noProof/>
                <w:webHidden/>
              </w:rPr>
            </w:r>
            <w:r w:rsidR="00C40C2D">
              <w:rPr>
                <w:noProof/>
                <w:webHidden/>
              </w:rPr>
              <w:fldChar w:fldCharType="separate"/>
            </w:r>
            <w:r w:rsidR="00C40C2D">
              <w:rPr>
                <w:noProof/>
                <w:webHidden/>
              </w:rPr>
              <w:t>9</w:t>
            </w:r>
            <w:r w:rsidR="00C40C2D">
              <w:rPr>
                <w:noProof/>
                <w:webHidden/>
              </w:rPr>
              <w:fldChar w:fldCharType="end"/>
            </w:r>
          </w:hyperlink>
        </w:p>
        <w:p w:rsidR="00C40C2D" w:rsidRDefault="008F3912">
          <w:pPr>
            <w:pStyle w:val="21"/>
            <w:tabs>
              <w:tab w:val="right" w:leader="dot" w:pos="8494"/>
            </w:tabs>
            <w:rPr>
              <w:noProof/>
            </w:rPr>
          </w:pPr>
          <w:hyperlink w:anchor="_Toc503411936" w:history="1">
            <w:r w:rsidR="00C40C2D" w:rsidRPr="00B31DF8">
              <w:rPr>
                <w:rStyle w:val="aa"/>
                <w:noProof/>
              </w:rPr>
              <w:t>4.1　分析対象データについて</w:t>
            </w:r>
            <w:r w:rsidR="00C40C2D">
              <w:rPr>
                <w:noProof/>
                <w:webHidden/>
              </w:rPr>
              <w:tab/>
            </w:r>
            <w:r w:rsidR="00C40C2D">
              <w:rPr>
                <w:noProof/>
                <w:webHidden/>
              </w:rPr>
              <w:fldChar w:fldCharType="begin"/>
            </w:r>
            <w:r w:rsidR="00C40C2D">
              <w:rPr>
                <w:noProof/>
                <w:webHidden/>
              </w:rPr>
              <w:instrText xml:space="preserve"> PAGEREF _Toc503411936 \h </w:instrText>
            </w:r>
            <w:r w:rsidR="00C40C2D">
              <w:rPr>
                <w:noProof/>
                <w:webHidden/>
              </w:rPr>
            </w:r>
            <w:r w:rsidR="00C40C2D">
              <w:rPr>
                <w:noProof/>
                <w:webHidden/>
              </w:rPr>
              <w:fldChar w:fldCharType="separate"/>
            </w:r>
            <w:r w:rsidR="00C40C2D">
              <w:rPr>
                <w:noProof/>
                <w:webHidden/>
              </w:rPr>
              <w:t>9</w:t>
            </w:r>
            <w:r w:rsidR="00C40C2D">
              <w:rPr>
                <w:noProof/>
                <w:webHidden/>
              </w:rPr>
              <w:fldChar w:fldCharType="end"/>
            </w:r>
          </w:hyperlink>
        </w:p>
        <w:p w:rsidR="00C40C2D" w:rsidRDefault="008F3912">
          <w:pPr>
            <w:pStyle w:val="21"/>
            <w:tabs>
              <w:tab w:val="right" w:leader="dot" w:pos="8494"/>
            </w:tabs>
            <w:rPr>
              <w:noProof/>
            </w:rPr>
          </w:pPr>
          <w:hyperlink w:anchor="_Toc503411937" w:history="1">
            <w:r w:rsidR="00C40C2D" w:rsidRPr="00B31DF8">
              <w:rPr>
                <w:rStyle w:val="aa"/>
                <w:noProof/>
              </w:rPr>
              <w:t>4.2　標準偏差をリスク指標とした分析</w:t>
            </w:r>
            <w:r w:rsidR="00C40C2D">
              <w:rPr>
                <w:noProof/>
                <w:webHidden/>
              </w:rPr>
              <w:tab/>
            </w:r>
            <w:r w:rsidR="00C40C2D">
              <w:rPr>
                <w:noProof/>
                <w:webHidden/>
              </w:rPr>
              <w:fldChar w:fldCharType="begin"/>
            </w:r>
            <w:r w:rsidR="00C40C2D">
              <w:rPr>
                <w:noProof/>
                <w:webHidden/>
              </w:rPr>
              <w:instrText xml:space="preserve"> PAGEREF _Toc503411937 \h </w:instrText>
            </w:r>
            <w:r w:rsidR="00C40C2D">
              <w:rPr>
                <w:noProof/>
                <w:webHidden/>
              </w:rPr>
            </w:r>
            <w:r w:rsidR="00C40C2D">
              <w:rPr>
                <w:noProof/>
                <w:webHidden/>
              </w:rPr>
              <w:fldChar w:fldCharType="separate"/>
            </w:r>
            <w:r w:rsidR="00C40C2D">
              <w:rPr>
                <w:noProof/>
                <w:webHidden/>
              </w:rPr>
              <w:t>11</w:t>
            </w:r>
            <w:r w:rsidR="00C40C2D">
              <w:rPr>
                <w:noProof/>
                <w:webHidden/>
              </w:rPr>
              <w:fldChar w:fldCharType="end"/>
            </w:r>
          </w:hyperlink>
        </w:p>
        <w:p w:rsidR="00C40C2D" w:rsidRDefault="008F3912">
          <w:pPr>
            <w:pStyle w:val="21"/>
            <w:tabs>
              <w:tab w:val="right" w:leader="dot" w:pos="8494"/>
            </w:tabs>
            <w:rPr>
              <w:noProof/>
            </w:rPr>
          </w:pPr>
          <w:hyperlink w:anchor="_Toc503411938" w:history="1">
            <w:r w:rsidR="00C40C2D" w:rsidRPr="00B31DF8">
              <w:rPr>
                <w:rStyle w:val="aa"/>
                <w:noProof/>
              </w:rPr>
              <w:t>4.3　CVaRをリスク指標とした分析</w:t>
            </w:r>
            <w:r w:rsidR="00C40C2D">
              <w:rPr>
                <w:noProof/>
                <w:webHidden/>
              </w:rPr>
              <w:tab/>
            </w:r>
            <w:r w:rsidR="00C40C2D">
              <w:rPr>
                <w:noProof/>
                <w:webHidden/>
              </w:rPr>
              <w:fldChar w:fldCharType="begin"/>
            </w:r>
            <w:r w:rsidR="00C40C2D">
              <w:rPr>
                <w:noProof/>
                <w:webHidden/>
              </w:rPr>
              <w:instrText xml:space="preserve"> PAGEREF _Toc503411938 \h </w:instrText>
            </w:r>
            <w:r w:rsidR="00C40C2D">
              <w:rPr>
                <w:noProof/>
                <w:webHidden/>
              </w:rPr>
            </w:r>
            <w:r w:rsidR="00C40C2D">
              <w:rPr>
                <w:noProof/>
                <w:webHidden/>
              </w:rPr>
              <w:fldChar w:fldCharType="separate"/>
            </w:r>
            <w:r w:rsidR="00C40C2D">
              <w:rPr>
                <w:noProof/>
                <w:webHidden/>
              </w:rPr>
              <w:t>11</w:t>
            </w:r>
            <w:r w:rsidR="00C40C2D">
              <w:rPr>
                <w:noProof/>
                <w:webHidden/>
              </w:rPr>
              <w:fldChar w:fldCharType="end"/>
            </w:r>
          </w:hyperlink>
        </w:p>
        <w:p w:rsidR="00C40C2D" w:rsidRDefault="008F3912">
          <w:pPr>
            <w:pStyle w:val="31"/>
            <w:tabs>
              <w:tab w:val="right" w:leader="dot" w:pos="8494"/>
            </w:tabs>
            <w:rPr>
              <w:noProof/>
            </w:rPr>
          </w:pPr>
          <w:hyperlink w:anchor="_Toc503411939" w:history="1">
            <w:r w:rsidR="00C40C2D" w:rsidRPr="00B31DF8">
              <w:rPr>
                <w:rStyle w:val="aa"/>
                <w:noProof/>
              </w:rPr>
              <w:t>4.3.1　CVaRについて</w:t>
            </w:r>
            <w:r w:rsidR="00C40C2D">
              <w:rPr>
                <w:noProof/>
                <w:webHidden/>
              </w:rPr>
              <w:tab/>
            </w:r>
            <w:r w:rsidR="00C40C2D">
              <w:rPr>
                <w:noProof/>
                <w:webHidden/>
              </w:rPr>
              <w:fldChar w:fldCharType="begin"/>
            </w:r>
            <w:r w:rsidR="00C40C2D">
              <w:rPr>
                <w:noProof/>
                <w:webHidden/>
              </w:rPr>
              <w:instrText xml:space="preserve"> PAGEREF _Toc503411939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31"/>
            <w:tabs>
              <w:tab w:val="right" w:leader="dot" w:pos="8494"/>
            </w:tabs>
            <w:rPr>
              <w:noProof/>
            </w:rPr>
          </w:pPr>
          <w:hyperlink w:anchor="_Toc503411940" w:history="1">
            <w:r w:rsidR="00C40C2D" w:rsidRPr="00B31DF8">
              <w:rPr>
                <w:rStyle w:val="aa"/>
                <w:noProof/>
              </w:rPr>
              <w:t>4.3.2　分析の実行</w:t>
            </w:r>
            <w:r w:rsidR="00C40C2D">
              <w:rPr>
                <w:noProof/>
                <w:webHidden/>
              </w:rPr>
              <w:tab/>
            </w:r>
            <w:r w:rsidR="00C40C2D">
              <w:rPr>
                <w:noProof/>
                <w:webHidden/>
              </w:rPr>
              <w:fldChar w:fldCharType="begin"/>
            </w:r>
            <w:r w:rsidR="00C40C2D">
              <w:rPr>
                <w:noProof/>
                <w:webHidden/>
              </w:rPr>
              <w:instrText xml:space="preserve"> PAGEREF _Toc503411940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21"/>
            <w:tabs>
              <w:tab w:val="right" w:leader="dot" w:pos="8494"/>
            </w:tabs>
            <w:rPr>
              <w:noProof/>
            </w:rPr>
          </w:pPr>
          <w:hyperlink w:anchor="_Toc503411941" w:history="1">
            <w:r w:rsidR="00C40C2D" w:rsidRPr="00B31DF8">
              <w:rPr>
                <w:rStyle w:val="aa"/>
                <w:noProof/>
              </w:rPr>
              <w:t>4.4　シミュレーションによる分析</w:t>
            </w:r>
            <w:r w:rsidR="00C40C2D">
              <w:rPr>
                <w:noProof/>
                <w:webHidden/>
              </w:rPr>
              <w:tab/>
            </w:r>
            <w:r w:rsidR="00C40C2D">
              <w:rPr>
                <w:noProof/>
                <w:webHidden/>
              </w:rPr>
              <w:fldChar w:fldCharType="begin"/>
            </w:r>
            <w:r w:rsidR="00C40C2D">
              <w:rPr>
                <w:noProof/>
                <w:webHidden/>
              </w:rPr>
              <w:instrText xml:space="preserve"> PAGEREF _Toc503411941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31"/>
            <w:tabs>
              <w:tab w:val="right" w:leader="dot" w:pos="8494"/>
            </w:tabs>
            <w:rPr>
              <w:noProof/>
            </w:rPr>
          </w:pPr>
          <w:hyperlink w:anchor="_Toc503411942" w:history="1">
            <w:r w:rsidR="00C40C2D" w:rsidRPr="00B31DF8">
              <w:rPr>
                <w:rStyle w:val="aa"/>
                <w:noProof/>
              </w:rPr>
              <w:t>4.4.1　各データ間の関係の推定</w:t>
            </w:r>
            <w:r w:rsidR="00C40C2D">
              <w:rPr>
                <w:noProof/>
                <w:webHidden/>
              </w:rPr>
              <w:tab/>
            </w:r>
            <w:r w:rsidR="00C40C2D">
              <w:rPr>
                <w:noProof/>
                <w:webHidden/>
              </w:rPr>
              <w:fldChar w:fldCharType="begin"/>
            </w:r>
            <w:r w:rsidR="00C40C2D">
              <w:rPr>
                <w:noProof/>
                <w:webHidden/>
              </w:rPr>
              <w:instrText xml:space="preserve"> PAGEREF _Toc503411942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11"/>
            <w:tabs>
              <w:tab w:val="right" w:leader="dot" w:pos="8494"/>
            </w:tabs>
            <w:rPr>
              <w:noProof/>
            </w:rPr>
          </w:pPr>
          <w:hyperlink w:anchor="_Toc503411943" w:history="1">
            <w:r w:rsidR="00C40C2D" w:rsidRPr="00B31DF8">
              <w:rPr>
                <w:rStyle w:val="aa"/>
                <w:noProof/>
              </w:rPr>
              <w:t>第5章　結論</w:t>
            </w:r>
            <w:r w:rsidR="00C40C2D">
              <w:rPr>
                <w:noProof/>
                <w:webHidden/>
              </w:rPr>
              <w:tab/>
            </w:r>
            <w:r w:rsidR="00C40C2D">
              <w:rPr>
                <w:noProof/>
                <w:webHidden/>
              </w:rPr>
              <w:fldChar w:fldCharType="begin"/>
            </w:r>
            <w:r w:rsidR="00C40C2D">
              <w:rPr>
                <w:noProof/>
                <w:webHidden/>
              </w:rPr>
              <w:instrText xml:space="preserve"> PAGEREF _Toc503411943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21"/>
            <w:tabs>
              <w:tab w:val="right" w:leader="dot" w:pos="8494"/>
            </w:tabs>
            <w:rPr>
              <w:noProof/>
            </w:rPr>
          </w:pPr>
          <w:hyperlink w:anchor="_Toc503411944" w:history="1">
            <w:r w:rsidR="00C40C2D" w:rsidRPr="00B31DF8">
              <w:rPr>
                <w:rStyle w:val="aa"/>
                <w:noProof/>
              </w:rPr>
              <w:t>5.1　考察</w:t>
            </w:r>
            <w:r w:rsidR="00C40C2D">
              <w:rPr>
                <w:noProof/>
                <w:webHidden/>
              </w:rPr>
              <w:tab/>
            </w:r>
            <w:r w:rsidR="00C40C2D">
              <w:rPr>
                <w:noProof/>
                <w:webHidden/>
              </w:rPr>
              <w:fldChar w:fldCharType="begin"/>
            </w:r>
            <w:r w:rsidR="00C40C2D">
              <w:rPr>
                <w:noProof/>
                <w:webHidden/>
              </w:rPr>
              <w:instrText xml:space="preserve"> PAGEREF _Toc503411944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21"/>
            <w:tabs>
              <w:tab w:val="right" w:leader="dot" w:pos="8494"/>
            </w:tabs>
            <w:rPr>
              <w:noProof/>
            </w:rPr>
          </w:pPr>
          <w:hyperlink w:anchor="_Toc503411945" w:history="1">
            <w:r w:rsidR="00C40C2D" w:rsidRPr="00B31DF8">
              <w:rPr>
                <w:rStyle w:val="aa"/>
                <w:noProof/>
              </w:rPr>
              <w:t>5.2　今後の課題</w:t>
            </w:r>
            <w:r w:rsidR="00C40C2D">
              <w:rPr>
                <w:noProof/>
                <w:webHidden/>
              </w:rPr>
              <w:tab/>
            </w:r>
            <w:r w:rsidR="00C40C2D">
              <w:rPr>
                <w:noProof/>
                <w:webHidden/>
              </w:rPr>
              <w:fldChar w:fldCharType="begin"/>
            </w:r>
            <w:r w:rsidR="00C40C2D">
              <w:rPr>
                <w:noProof/>
                <w:webHidden/>
              </w:rPr>
              <w:instrText xml:space="preserve"> PAGEREF _Toc503411945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11"/>
            <w:tabs>
              <w:tab w:val="right" w:leader="dot" w:pos="8494"/>
            </w:tabs>
            <w:rPr>
              <w:noProof/>
            </w:rPr>
          </w:pPr>
          <w:hyperlink w:anchor="_Toc503411946" w:history="1">
            <w:r w:rsidR="00C40C2D" w:rsidRPr="00B31DF8">
              <w:rPr>
                <w:rStyle w:val="aa"/>
                <w:noProof/>
              </w:rPr>
              <w:t>謝辞</w:t>
            </w:r>
            <w:r w:rsidR="00C40C2D">
              <w:rPr>
                <w:noProof/>
                <w:webHidden/>
              </w:rPr>
              <w:tab/>
            </w:r>
            <w:r w:rsidR="00C40C2D">
              <w:rPr>
                <w:noProof/>
                <w:webHidden/>
              </w:rPr>
              <w:fldChar w:fldCharType="begin"/>
            </w:r>
            <w:r w:rsidR="00C40C2D">
              <w:rPr>
                <w:noProof/>
                <w:webHidden/>
              </w:rPr>
              <w:instrText xml:space="preserve"> PAGEREF _Toc503411946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C40C2D" w:rsidRDefault="008F3912">
          <w:pPr>
            <w:pStyle w:val="11"/>
            <w:tabs>
              <w:tab w:val="right" w:leader="dot" w:pos="8494"/>
            </w:tabs>
            <w:rPr>
              <w:noProof/>
            </w:rPr>
          </w:pPr>
          <w:hyperlink w:anchor="_Toc503411947" w:history="1">
            <w:r w:rsidR="00C40C2D" w:rsidRPr="00B31DF8">
              <w:rPr>
                <w:rStyle w:val="aa"/>
                <w:noProof/>
              </w:rPr>
              <w:t>参考文献・URL</w:t>
            </w:r>
            <w:r w:rsidR="00C40C2D">
              <w:rPr>
                <w:noProof/>
                <w:webHidden/>
              </w:rPr>
              <w:tab/>
            </w:r>
            <w:r w:rsidR="00C40C2D">
              <w:rPr>
                <w:noProof/>
                <w:webHidden/>
              </w:rPr>
              <w:fldChar w:fldCharType="begin"/>
            </w:r>
            <w:r w:rsidR="00C40C2D">
              <w:rPr>
                <w:noProof/>
                <w:webHidden/>
              </w:rPr>
              <w:instrText xml:space="preserve"> PAGEREF _Toc503411947 \h </w:instrText>
            </w:r>
            <w:r w:rsidR="00C40C2D">
              <w:rPr>
                <w:noProof/>
                <w:webHidden/>
              </w:rPr>
            </w:r>
            <w:r w:rsidR="00C40C2D">
              <w:rPr>
                <w:noProof/>
                <w:webHidden/>
              </w:rPr>
              <w:fldChar w:fldCharType="separate"/>
            </w:r>
            <w:r w:rsidR="00C40C2D">
              <w:rPr>
                <w:noProof/>
                <w:webHidden/>
              </w:rPr>
              <w:t>12</w:t>
            </w:r>
            <w:r w:rsidR="00C40C2D">
              <w:rPr>
                <w:noProof/>
                <w:webHidden/>
              </w:rPr>
              <w:fldChar w:fldCharType="end"/>
            </w:r>
          </w:hyperlink>
        </w:p>
        <w:p w:rsidR="00F63196" w:rsidRDefault="00F63196">
          <w:r>
            <w:rPr>
              <w:b/>
              <w:bCs/>
              <w:lang w:val="ja-JP"/>
            </w:rPr>
            <w:fldChar w:fldCharType="end"/>
          </w:r>
        </w:p>
      </w:sdtContent>
    </w:sdt>
    <w:p w:rsidR="00C40C2D" w:rsidRDefault="00C40C2D" w:rsidP="00C40C2D">
      <w:pPr>
        <w:widowControl/>
        <w:jc w:val="left"/>
        <w:rPr>
          <w:szCs w:val="27"/>
        </w:rPr>
        <w:sectPr w:rsidR="00C40C2D" w:rsidSect="00F63196">
          <w:headerReference w:type="default" r:id="rId8"/>
          <w:footerReference w:type="default" r:id="rId9"/>
          <w:type w:val="continuous"/>
          <w:pgSz w:w="11906" w:h="16838"/>
          <w:pgMar w:top="1985" w:right="1701" w:bottom="1701" w:left="1701" w:header="851" w:footer="992" w:gutter="0"/>
          <w:pgNumType w:start="1"/>
          <w:cols w:space="425"/>
          <w:docGrid w:type="lines" w:linePitch="360"/>
        </w:sectPr>
      </w:pPr>
    </w:p>
    <w:p w:rsidR="00940DD3" w:rsidRPr="004166F7" w:rsidRDefault="00940DD3" w:rsidP="00F63196">
      <w:pPr>
        <w:pStyle w:val="1"/>
      </w:pPr>
      <w:bookmarkStart w:id="0" w:name="_Toc503411923"/>
      <w:r w:rsidRPr="004166F7">
        <w:rPr>
          <w:rFonts w:hint="eastAsia"/>
        </w:rPr>
        <w:lastRenderedPageBreak/>
        <w:t>第</w:t>
      </w:r>
      <w:r w:rsidRPr="004166F7">
        <w:rPr>
          <w:rFonts w:hint="eastAsia"/>
        </w:rPr>
        <w:t>1</w:t>
      </w:r>
      <w:r w:rsidRPr="004166F7">
        <w:rPr>
          <w:rFonts w:hint="eastAsia"/>
        </w:rPr>
        <w:t>章</w:t>
      </w:r>
      <w:r>
        <w:rPr>
          <w:rFonts w:hint="eastAsia"/>
        </w:rPr>
        <w:t xml:space="preserve">　序</w:t>
      </w:r>
      <w:r w:rsidR="00D070B8">
        <w:rPr>
          <w:rFonts w:hint="eastAsia"/>
        </w:rPr>
        <w:t>章</w:t>
      </w:r>
      <w:bookmarkEnd w:id="0"/>
    </w:p>
    <w:p w:rsidR="00940DD3" w:rsidRDefault="00940DD3" w:rsidP="006F5349">
      <w:pPr>
        <w:pStyle w:val="2"/>
        <w:ind w:firstLineChars="100" w:firstLine="280"/>
      </w:pPr>
      <w:bookmarkStart w:id="1" w:name="_Toc503411924"/>
      <w:r>
        <w:rPr>
          <w:rFonts w:hint="eastAsia"/>
        </w:rPr>
        <w:t>1.1</w:t>
      </w:r>
      <w:r>
        <w:rPr>
          <w:rFonts w:hint="eastAsia"/>
        </w:rPr>
        <w:t xml:space="preserve">　研究の背景</w:t>
      </w:r>
      <w:bookmarkEnd w:id="1"/>
    </w:p>
    <w:p w:rsidR="00576EAA" w:rsidRPr="00576EAA" w:rsidRDefault="00940DD3" w:rsidP="00CC2AE2">
      <w:pPr>
        <w:ind w:leftChars="100" w:left="210"/>
        <w:rPr>
          <w:szCs w:val="27"/>
        </w:rPr>
      </w:pPr>
      <w:r>
        <w:rPr>
          <w:rFonts w:hint="eastAsia"/>
          <w:szCs w:val="27"/>
        </w:rPr>
        <w:t xml:space="preserve">　</w:t>
      </w:r>
      <w:r w:rsidR="00576EAA" w:rsidRPr="00576EAA">
        <w:rPr>
          <w:rFonts w:hint="eastAsia"/>
          <w:szCs w:val="27"/>
        </w:rPr>
        <w:t>我が国の年金制度は様々な問題に直面している。まず、我が国では少子高齢化や平均寿命の延伸によって</w:t>
      </w:r>
      <w:r w:rsidR="00566DAB">
        <w:rPr>
          <w:rFonts w:hint="eastAsia"/>
          <w:szCs w:val="27"/>
        </w:rPr>
        <w:t>年金財政が悪化している</w:t>
      </w:r>
      <w:r w:rsidR="00576EAA" w:rsidRPr="00576EAA">
        <w:rPr>
          <w:rFonts w:hint="eastAsia"/>
          <w:szCs w:val="27"/>
        </w:rPr>
        <w:t>。</w:t>
      </w:r>
    </w:p>
    <w:p w:rsidR="00576EAA" w:rsidRPr="00576EAA" w:rsidRDefault="00566DAB" w:rsidP="00CC2AE2">
      <w:pPr>
        <w:ind w:leftChars="100" w:left="210"/>
        <w:rPr>
          <w:szCs w:val="27"/>
        </w:rPr>
      </w:pPr>
      <w:r>
        <w:rPr>
          <w:rFonts w:hint="eastAsia"/>
          <w:szCs w:val="27"/>
        </w:rPr>
        <w:t xml:space="preserve">　</w:t>
      </w:r>
      <w:r w:rsidR="00495325">
        <w:rPr>
          <w:rFonts w:asciiTheme="minorEastAsia" w:hAnsiTheme="minorEastAsia" w:hint="eastAsia"/>
        </w:rPr>
        <w:t>伊藤</w:t>
      </w:r>
      <w:r w:rsidR="005106CE">
        <w:rPr>
          <w:rFonts w:asciiTheme="minorEastAsia" w:hAnsiTheme="minorEastAsia" w:hint="eastAsia"/>
        </w:rPr>
        <w:t>(</w:t>
      </w:r>
      <w:r w:rsidR="00495325">
        <w:rPr>
          <w:rFonts w:asciiTheme="minorEastAsia" w:hAnsiTheme="minorEastAsia" w:hint="eastAsia"/>
        </w:rPr>
        <w:t>平成2</w:t>
      </w:r>
      <w:r w:rsidR="002E09C7">
        <w:rPr>
          <w:rFonts w:asciiTheme="minorEastAsia" w:hAnsiTheme="minorEastAsia" w:hint="eastAsia"/>
        </w:rPr>
        <w:t>7</w:t>
      </w:r>
      <w:r w:rsidR="005106CE">
        <w:rPr>
          <w:rFonts w:asciiTheme="minorEastAsia" w:hAnsiTheme="minorEastAsia" w:hint="eastAsia"/>
        </w:rPr>
        <w:t>)では、</w:t>
      </w:r>
      <w:r>
        <w:rPr>
          <w:rFonts w:hint="eastAsia"/>
          <w:szCs w:val="27"/>
        </w:rPr>
        <w:t>年金財政</w:t>
      </w:r>
      <w:r w:rsidR="005106CE">
        <w:rPr>
          <w:rFonts w:hint="eastAsia"/>
          <w:szCs w:val="27"/>
        </w:rPr>
        <w:t>状況を改善</w:t>
      </w:r>
      <w:r>
        <w:rPr>
          <w:rFonts w:hint="eastAsia"/>
          <w:szCs w:val="27"/>
        </w:rPr>
        <w:t>する</w:t>
      </w:r>
      <w:r w:rsidR="005106CE">
        <w:rPr>
          <w:rFonts w:hint="eastAsia"/>
          <w:szCs w:val="27"/>
        </w:rPr>
        <w:t>ためには、年金の保険料を増額させる、支給開始年齢の引き上げる、年金積立金の運用で収益を上げるといった対策があるとされている。その内、現在までに年金の保険料の増額と年金の支給開始年齢の引き上げは実施されており、さらなる国民の負担を避けるためにも年金積立金の運用で収益を上げることが求められている。</w:t>
      </w:r>
    </w:p>
    <w:p w:rsidR="007B5D70" w:rsidRPr="005106CE" w:rsidRDefault="005106CE" w:rsidP="00CC2AE2">
      <w:pPr>
        <w:ind w:leftChars="100" w:left="210"/>
        <w:rPr>
          <w:szCs w:val="27"/>
        </w:rPr>
      </w:pPr>
      <w:r>
        <w:rPr>
          <w:rFonts w:hint="eastAsia"/>
          <w:szCs w:val="27"/>
        </w:rPr>
        <w:t xml:space="preserve">　我が国の公的年金の積立金の運用は年金積立金管理運用独立行政法人(以下GPIF)が行っており、その投資は基本ポートフォリオと呼ばれる国内債券、国内株式など各資産クラスの</w:t>
      </w:r>
      <w:r w:rsidR="007B5D70">
        <w:rPr>
          <w:rFonts w:hint="eastAsia"/>
          <w:szCs w:val="27"/>
        </w:rPr>
        <w:t>投資配分を基に運用機関に委託して投資を行っているが、平成26年</w:t>
      </w:r>
      <w:r w:rsidR="000E16C1">
        <w:rPr>
          <w:rFonts w:hint="eastAsia"/>
          <w:szCs w:val="27"/>
        </w:rPr>
        <w:t>10月</w:t>
      </w:r>
      <w:r w:rsidR="007B5D70">
        <w:rPr>
          <w:rFonts w:hint="eastAsia"/>
          <w:szCs w:val="27"/>
        </w:rPr>
        <w:t>にこの基本ポートフォリオが比較的リスクが少ないとされている国内債券中心だったものから国内株式や外国の債券、株式の比率を高めた基本ポートフォリオに変更されたが、それに対して批判の声が上がっている。</w:t>
      </w:r>
    </w:p>
    <w:p w:rsidR="00940DD3" w:rsidRPr="00274B65" w:rsidRDefault="00940DD3" w:rsidP="00940DD3">
      <w:pPr>
        <w:rPr>
          <w:szCs w:val="27"/>
        </w:rPr>
      </w:pPr>
    </w:p>
    <w:p w:rsidR="00940DD3" w:rsidRDefault="00940DD3" w:rsidP="006F5349">
      <w:pPr>
        <w:pStyle w:val="2"/>
        <w:ind w:firstLineChars="100" w:firstLine="280"/>
      </w:pPr>
      <w:bookmarkStart w:id="2" w:name="_Toc503411925"/>
      <w:r>
        <w:rPr>
          <w:rFonts w:hint="eastAsia"/>
        </w:rPr>
        <w:t>1.2</w:t>
      </w:r>
      <w:r>
        <w:rPr>
          <w:rFonts w:hint="eastAsia"/>
        </w:rPr>
        <w:t xml:space="preserve">　本論文の</w:t>
      </w:r>
      <w:r w:rsidR="00AE4B40">
        <w:rPr>
          <w:rFonts w:hint="eastAsia"/>
        </w:rPr>
        <w:t>目的と</w:t>
      </w:r>
      <w:r>
        <w:rPr>
          <w:rFonts w:hint="eastAsia"/>
        </w:rPr>
        <w:t>意義</w:t>
      </w:r>
      <w:bookmarkEnd w:id="2"/>
    </w:p>
    <w:p w:rsidR="00A4239A" w:rsidRDefault="00940DD3" w:rsidP="00CC2AE2">
      <w:pPr>
        <w:ind w:leftChars="100" w:left="210"/>
        <w:rPr>
          <w:szCs w:val="27"/>
        </w:rPr>
      </w:pPr>
      <w:r>
        <w:rPr>
          <w:rFonts w:hint="eastAsia"/>
          <w:szCs w:val="27"/>
        </w:rPr>
        <w:t xml:space="preserve">　</w:t>
      </w:r>
      <w:r w:rsidR="00947F11">
        <w:rPr>
          <w:rFonts w:hint="eastAsia"/>
          <w:szCs w:val="27"/>
        </w:rPr>
        <w:t>本論文の目的は</w:t>
      </w:r>
      <w:r w:rsidR="0036177F">
        <w:rPr>
          <w:rFonts w:hint="eastAsia"/>
          <w:szCs w:val="27"/>
        </w:rPr>
        <w:t>平成26年10月の</w:t>
      </w:r>
      <w:r w:rsidR="0036177F" w:rsidRPr="003C5CE5">
        <w:rPr>
          <w:szCs w:val="27"/>
        </w:rPr>
        <w:t>GPIF の</w:t>
      </w:r>
      <w:r w:rsidR="0036177F">
        <w:rPr>
          <w:rFonts w:hint="eastAsia"/>
          <w:szCs w:val="27"/>
        </w:rPr>
        <w:t>基本ポートフォリオの変更の前の基本ポートフォリオと変更の後の基本ポートフォリオの2つを比較しながら分析を行うことによって今回のGPIFの基本ポートフォリオの変更が有効であったかを確認することである。</w:t>
      </w:r>
    </w:p>
    <w:p w:rsidR="003C5CE5" w:rsidRPr="003C5CE5" w:rsidRDefault="00947F11" w:rsidP="00CC2AE2">
      <w:pPr>
        <w:ind w:leftChars="100" w:left="210" w:firstLineChars="100" w:firstLine="210"/>
        <w:rPr>
          <w:szCs w:val="27"/>
        </w:rPr>
      </w:pPr>
      <w:r>
        <w:rPr>
          <w:rFonts w:hint="eastAsia"/>
          <w:szCs w:val="27"/>
        </w:rPr>
        <w:t>また、</w:t>
      </w:r>
      <w:r w:rsidR="00940DD3">
        <w:rPr>
          <w:rFonts w:hint="eastAsia"/>
          <w:szCs w:val="27"/>
        </w:rPr>
        <w:t>本論文の意義としては</w:t>
      </w:r>
      <w:r w:rsidR="003C5CE5" w:rsidRPr="003C5CE5">
        <w:rPr>
          <w:szCs w:val="27"/>
        </w:rPr>
        <w:t xml:space="preserve">GPIF の運用資金は国民の年金から構成されており、将来的には年金として国民に戻ってくるものである。よって、GPIF の収益額がマイナスになってしまうということは国民が将来もらえる年金の額が減少してしまうことと同義であり、年金保険金が収入のほとんどを占めている高齢者にとっては生活にかかわる非常に重要な問題である。 </w:t>
      </w:r>
    </w:p>
    <w:p w:rsidR="00F045AB" w:rsidRDefault="003C5CE5" w:rsidP="00C40C2D">
      <w:pPr>
        <w:ind w:leftChars="100" w:left="210"/>
        <w:rPr>
          <w:szCs w:val="27"/>
        </w:rPr>
      </w:pPr>
      <w:r w:rsidRPr="003C5CE5">
        <w:rPr>
          <w:szCs w:val="27"/>
        </w:rPr>
        <w:t xml:space="preserve">　従って、</w:t>
      </w:r>
      <w:r w:rsidR="000E16C1">
        <w:rPr>
          <w:rFonts w:hint="eastAsia"/>
          <w:szCs w:val="27"/>
        </w:rPr>
        <w:t>本論文</w:t>
      </w:r>
      <w:r w:rsidRPr="003C5CE5">
        <w:rPr>
          <w:szCs w:val="27"/>
        </w:rPr>
        <w:t>によって GPIF の</w:t>
      </w:r>
      <w:r w:rsidR="0036177F">
        <w:rPr>
          <w:rFonts w:hint="eastAsia"/>
          <w:szCs w:val="27"/>
        </w:rPr>
        <w:t>基本ポートフォリオの変更の有効性を検証</w:t>
      </w:r>
      <w:r w:rsidRPr="003C5CE5">
        <w:rPr>
          <w:szCs w:val="27"/>
        </w:rPr>
        <w:t>することで、</w:t>
      </w:r>
      <w:r w:rsidR="00F045AB">
        <w:rPr>
          <w:rFonts w:hint="eastAsia"/>
          <w:szCs w:val="27"/>
        </w:rPr>
        <w:t>現行の基本ポートフォリオを続けることが</w:t>
      </w:r>
      <w:r w:rsidR="00F045AB" w:rsidRPr="003C5CE5">
        <w:rPr>
          <w:szCs w:val="27"/>
        </w:rPr>
        <w:t>将来の国民の</w:t>
      </w:r>
      <w:r w:rsidR="00F045AB">
        <w:rPr>
          <w:rFonts w:hint="eastAsia"/>
          <w:szCs w:val="27"/>
        </w:rPr>
        <w:t>生活にとって有益であるのかを判断できる</w:t>
      </w:r>
      <w:r w:rsidRPr="003C5CE5">
        <w:rPr>
          <w:szCs w:val="27"/>
        </w:rPr>
        <w:t>点</w:t>
      </w:r>
      <w:r w:rsidR="00940DD3">
        <w:rPr>
          <w:rFonts w:hint="eastAsia"/>
          <w:szCs w:val="27"/>
        </w:rPr>
        <w:t>が本論文の意義である。</w:t>
      </w:r>
    </w:p>
    <w:p w:rsidR="00C40C2D" w:rsidRDefault="00C40C2D" w:rsidP="00C40C2D">
      <w:pPr>
        <w:ind w:leftChars="100" w:left="210"/>
        <w:rPr>
          <w:szCs w:val="27"/>
        </w:rPr>
      </w:pPr>
    </w:p>
    <w:p w:rsidR="00C40C2D" w:rsidRDefault="00C40C2D" w:rsidP="00C40C2D">
      <w:pPr>
        <w:ind w:leftChars="100" w:left="210"/>
        <w:rPr>
          <w:szCs w:val="27"/>
        </w:rPr>
      </w:pPr>
    </w:p>
    <w:p w:rsidR="00C40C2D" w:rsidRDefault="00C40C2D" w:rsidP="00C40C2D">
      <w:pPr>
        <w:ind w:leftChars="100" w:left="210"/>
        <w:rPr>
          <w:szCs w:val="27"/>
        </w:rPr>
      </w:pPr>
    </w:p>
    <w:p w:rsidR="00C40C2D" w:rsidRDefault="00C40C2D" w:rsidP="00C40C2D">
      <w:pPr>
        <w:ind w:leftChars="100" w:left="210"/>
        <w:rPr>
          <w:szCs w:val="27"/>
        </w:rPr>
      </w:pPr>
    </w:p>
    <w:p w:rsidR="00C40C2D" w:rsidRPr="00F045AB" w:rsidRDefault="00C40C2D" w:rsidP="00C40C2D">
      <w:pPr>
        <w:ind w:leftChars="100" w:left="210"/>
        <w:rPr>
          <w:szCs w:val="27"/>
        </w:rPr>
      </w:pPr>
    </w:p>
    <w:p w:rsidR="00940DD3" w:rsidRPr="004166F7" w:rsidRDefault="00940DD3" w:rsidP="006F5349">
      <w:pPr>
        <w:pStyle w:val="2"/>
        <w:ind w:firstLineChars="100" w:firstLine="280"/>
      </w:pPr>
      <w:bookmarkStart w:id="3" w:name="_Toc503411926"/>
      <w:r>
        <w:rPr>
          <w:rFonts w:hint="eastAsia"/>
        </w:rPr>
        <w:lastRenderedPageBreak/>
        <w:t>1.3</w:t>
      </w:r>
      <w:r>
        <w:rPr>
          <w:rFonts w:hint="eastAsia"/>
        </w:rPr>
        <w:t xml:space="preserve">　本論文の構成</w:t>
      </w:r>
      <w:bookmarkEnd w:id="3"/>
    </w:p>
    <w:p w:rsidR="00940DD3" w:rsidRDefault="00940DD3" w:rsidP="00CC2AE2">
      <w:pPr>
        <w:ind w:leftChars="100" w:left="210"/>
        <w:rPr>
          <w:szCs w:val="27"/>
        </w:rPr>
      </w:pPr>
      <w:r>
        <w:rPr>
          <w:rFonts w:hint="eastAsia"/>
          <w:szCs w:val="27"/>
        </w:rPr>
        <w:t xml:space="preserve">　本論文の構成は以下の通りである。まず、第2章では本論文で分析対象とする我が国の公的年金制度</w:t>
      </w:r>
      <w:r w:rsidR="00F267D1">
        <w:rPr>
          <w:rFonts w:hint="eastAsia"/>
          <w:szCs w:val="27"/>
        </w:rPr>
        <w:t>や</w:t>
      </w:r>
      <w:r w:rsidR="00E10A83">
        <w:rPr>
          <w:rFonts w:hint="eastAsia"/>
          <w:szCs w:val="27"/>
        </w:rPr>
        <w:t>海外の年金制度に触れ、我が国の公的年金制度の</w:t>
      </w:r>
      <w:r w:rsidR="003E3F7A">
        <w:rPr>
          <w:rFonts w:hint="eastAsia"/>
          <w:szCs w:val="27"/>
        </w:rPr>
        <w:t>特徴を紹介する。それに加え、</w:t>
      </w:r>
      <w:r>
        <w:rPr>
          <w:rFonts w:hint="eastAsia"/>
          <w:szCs w:val="27"/>
        </w:rPr>
        <w:t>年金積立金の運用を行っている</w:t>
      </w:r>
      <w:r w:rsidR="003E3F7A">
        <w:rPr>
          <w:rFonts w:hint="eastAsia"/>
          <w:szCs w:val="27"/>
        </w:rPr>
        <w:t>GPIF</w:t>
      </w:r>
      <w:r w:rsidR="00F267D1">
        <w:rPr>
          <w:rFonts w:hint="eastAsia"/>
          <w:szCs w:val="27"/>
        </w:rPr>
        <w:t>と年金積立金の運用に</w:t>
      </w:r>
      <w:r>
        <w:rPr>
          <w:rFonts w:hint="eastAsia"/>
          <w:szCs w:val="27"/>
        </w:rPr>
        <w:t>ついての説明を</w:t>
      </w:r>
      <w:r w:rsidR="003E3F7A">
        <w:rPr>
          <w:rFonts w:hint="eastAsia"/>
          <w:szCs w:val="27"/>
        </w:rPr>
        <w:t>する。</w:t>
      </w:r>
      <w:r>
        <w:rPr>
          <w:rFonts w:hint="eastAsia"/>
          <w:szCs w:val="27"/>
        </w:rPr>
        <w:t>第3章で</w:t>
      </w:r>
      <w:r w:rsidR="003E3F7A">
        <w:rPr>
          <w:rFonts w:hint="eastAsia"/>
          <w:szCs w:val="27"/>
        </w:rPr>
        <w:t>は、</w:t>
      </w:r>
      <w:r w:rsidR="00E10A83">
        <w:rPr>
          <w:rFonts w:hint="eastAsia"/>
          <w:szCs w:val="27"/>
        </w:rPr>
        <w:t>GPIFの年金積立金の運用の基本ポートフォリオに関する定性的な先行研究と定量的な先行研究を紹介し、</w:t>
      </w:r>
      <w:r w:rsidR="003E3F7A">
        <w:rPr>
          <w:rFonts w:hint="eastAsia"/>
          <w:szCs w:val="27"/>
        </w:rPr>
        <w:t>GPIFの年金積立金の運用の論点を確認する</w:t>
      </w:r>
      <w:r>
        <w:rPr>
          <w:rFonts w:hint="eastAsia"/>
          <w:szCs w:val="27"/>
        </w:rPr>
        <w:t>。第4章では</w:t>
      </w:r>
      <w:r w:rsidR="00F267D1">
        <w:rPr>
          <w:rFonts w:hint="eastAsia"/>
          <w:szCs w:val="27"/>
        </w:rPr>
        <w:t>過去の証券データを用いて</w:t>
      </w:r>
      <w:r>
        <w:rPr>
          <w:rFonts w:hint="eastAsia"/>
          <w:szCs w:val="27"/>
        </w:rPr>
        <w:t>実際に</w:t>
      </w:r>
      <w:r w:rsidR="00F267D1">
        <w:rPr>
          <w:rFonts w:hint="eastAsia"/>
          <w:szCs w:val="27"/>
        </w:rPr>
        <w:t>分析</w:t>
      </w:r>
      <w:r>
        <w:rPr>
          <w:rFonts w:hint="eastAsia"/>
          <w:szCs w:val="27"/>
        </w:rPr>
        <w:t>を</w:t>
      </w:r>
      <w:r w:rsidR="00E10A83">
        <w:rPr>
          <w:rFonts w:hint="eastAsia"/>
          <w:szCs w:val="27"/>
        </w:rPr>
        <w:t>し、２つの基本ポートフォリオの比較を</w:t>
      </w:r>
      <w:r>
        <w:rPr>
          <w:rFonts w:hint="eastAsia"/>
          <w:szCs w:val="27"/>
        </w:rPr>
        <w:t>行う。最後に第5章で本論文のまとめと今後の課題について述べる。</w:t>
      </w: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045AB" w:rsidRDefault="00F045AB" w:rsidP="00940DD3">
      <w:pPr>
        <w:rPr>
          <w:szCs w:val="27"/>
        </w:rPr>
      </w:pPr>
    </w:p>
    <w:p w:rsidR="00F46955" w:rsidRPr="00F46955" w:rsidRDefault="00F46955" w:rsidP="00F46955">
      <w:pPr>
        <w:rPr>
          <w:sz w:val="36"/>
          <w:szCs w:val="27"/>
        </w:rPr>
      </w:pPr>
    </w:p>
    <w:p w:rsidR="00F46955" w:rsidRPr="00F46955" w:rsidRDefault="00F46955" w:rsidP="006F5349">
      <w:pPr>
        <w:pStyle w:val="1"/>
      </w:pPr>
      <w:bookmarkStart w:id="4" w:name="_Toc503411927"/>
      <w:r w:rsidRPr="00F46955">
        <w:rPr>
          <w:rFonts w:hint="eastAsia"/>
        </w:rPr>
        <w:lastRenderedPageBreak/>
        <w:t>第</w:t>
      </w:r>
      <w:r w:rsidRPr="00F46955">
        <w:t>2</w:t>
      </w:r>
      <w:r w:rsidRPr="00F46955">
        <w:t>章</w:t>
      </w:r>
      <w:r w:rsidR="000B76BC">
        <w:rPr>
          <w:rFonts w:hint="eastAsia"/>
        </w:rPr>
        <w:t xml:space="preserve">　</w:t>
      </w:r>
      <w:r w:rsidRPr="00F46955">
        <w:t>我が国の公的年金制度</w:t>
      </w:r>
      <w:bookmarkEnd w:id="4"/>
    </w:p>
    <w:p w:rsidR="00FC734E" w:rsidRDefault="00FC734E" w:rsidP="001E3995">
      <w:pPr>
        <w:ind w:firstLineChars="100" w:firstLine="210"/>
        <w:rPr>
          <w:szCs w:val="27"/>
        </w:rPr>
      </w:pPr>
      <w:r>
        <w:rPr>
          <w:rFonts w:hint="eastAsia"/>
          <w:szCs w:val="27"/>
        </w:rPr>
        <w:t>本章では</w:t>
      </w:r>
      <w:r w:rsidR="001E3995">
        <w:rPr>
          <w:rFonts w:hint="eastAsia"/>
          <w:szCs w:val="27"/>
        </w:rPr>
        <w:t>、</w:t>
      </w:r>
      <w:r>
        <w:rPr>
          <w:rFonts w:hint="eastAsia"/>
          <w:szCs w:val="27"/>
        </w:rPr>
        <w:t>本論文で対象とする我が国の公的年金制度とGPIFについて海外の諸年金制度</w:t>
      </w:r>
      <w:r w:rsidR="004F074B">
        <w:rPr>
          <w:rFonts w:hint="eastAsia"/>
          <w:szCs w:val="27"/>
        </w:rPr>
        <w:t>や</w:t>
      </w:r>
      <w:r w:rsidR="00EB1870">
        <w:rPr>
          <w:rFonts w:hint="eastAsia"/>
          <w:szCs w:val="27"/>
        </w:rPr>
        <w:t>年金基金</w:t>
      </w:r>
      <w:r>
        <w:rPr>
          <w:rFonts w:hint="eastAsia"/>
          <w:szCs w:val="27"/>
        </w:rPr>
        <w:t>と比較を行いながら説明</w:t>
      </w:r>
      <w:r w:rsidR="001E3995">
        <w:rPr>
          <w:rFonts w:hint="eastAsia"/>
          <w:szCs w:val="27"/>
        </w:rPr>
        <w:t>を行う</w:t>
      </w:r>
      <w:r>
        <w:rPr>
          <w:rFonts w:hint="eastAsia"/>
          <w:szCs w:val="27"/>
        </w:rPr>
        <w:t>こととする。</w:t>
      </w:r>
    </w:p>
    <w:p w:rsidR="00FC734E" w:rsidRPr="001E3995" w:rsidRDefault="00FC734E" w:rsidP="00F46955">
      <w:pPr>
        <w:rPr>
          <w:szCs w:val="27"/>
        </w:rPr>
      </w:pPr>
    </w:p>
    <w:p w:rsidR="00CC2AE2" w:rsidRPr="00FC734E" w:rsidRDefault="00F46955" w:rsidP="006F5349">
      <w:pPr>
        <w:pStyle w:val="2"/>
        <w:ind w:firstLineChars="100" w:firstLine="280"/>
      </w:pPr>
      <w:bookmarkStart w:id="5" w:name="_Toc503411928"/>
      <w:r w:rsidRPr="00CC2AE2">
        <w:t>2.1</w:t>
      </w:r>
      <w:r w:rsidRPr="00CC2AE2">
        <w:t xml:space="preserve">　我が国の公的年金制度の概要</w:t>
      </w:r>
      <w:bookmarkEnd w:id="5"/>
    </w:p>
    <w:p w:rsidR="00524FA4" w:rsidRDefault="00524FA4" w:rsidP="002D6820">
      <w:pPr>
        <w:ind w:left="210" w:hangingChars="100" w:hanging="210"/>
        <w:rPr>
          <w:szCs w:val="27"/>
        </w:rPr>
      </w:pPr>
      <w:r>
        <w:rPr>
          <w:rFonts w:hint="eastAsia"/>
          <w:szCs w:val="27"/>
        </w:rPr>
        <w:t xml:space="preserve">　　まず我が国の公的年金制度についてであるが、</w:t>
      </w:r>
      <w:r w:rsidR="000E2C08">
        <w:rPr>
          <w:rFonts w:hint="eastAsia"/>
          <w:szCs w:val="27"/>
        </w:rPr>
        <w:t>すべての現役世代</w:t>
      </w:r>
      <w:r w:rsidR="00E34B60">
        <w:rPr>
          <w:rFonts w:hint="eastAsia"/>
          <w:szCs w:val="27"/>
        </w:rPr>
        <w:t>が被保険者となる</w:t>
      </w:r>
      <w:r w:rsidR="0086744C">
        <w:rPr>
          <w:rFonts w:hint="eastAsia"/>
          <w:szCs w:val="27"/>
        </w:rPr>
        <w:t>国民皆年金であ</w:t>
      </w:r>
      <w:r w:rsidR="00871B75">
        <w:rPr>
          <w:rFonts w:hint="eastAsia"/>
          <w:szCs w:val="27"/>
        </w:rPr>
        <w:t>る</w:t>
      </w:r>
      <w:r w:rsidR="00A977C9">
        <w:rPr>
          <w:rFonts w:hint="eastAsia"/>
          <w:szCs w:val="27"/>
        </w:rPr>
        <w:t>国民</w:t>
      </w:r>
      <w:r w:rsidR="000E2C08">
        <w:rPr>
          <w:rFonts w:hint="eastAsia"/>
          <w:szCs w:val="27"/>
        </w:rPr>
        <w:t>年金と</w:t>
      </w:r>
      <w:r w:rsidR="00E34B60">
        <w:rPr>
          <w:rFonts w:hint="eastAsia"/>
          <w:szCs w:val="27"/>
        </w:rPr>
        <w:t>民間のサラリーマンや公務員等が加入する</w:t>
      </w:r>
      <w:r w:rsidR="000E2C08">
        <w:rPr>
          <w:rFonts w:hint="eastAsia"/>
          <w:szCs w:val="27"/>
        </w:rPr>
        <w:t>厚生年金</w:t>
      </w:r>
      <w:r w:rsidR="0086744C">
        <w:rPr>
          <w:rFonts w:hint="eastAsia"/>
          <w:szCs w:val="27"/>
        </w:rPr>
        <w:t>や共済年金</w:t>
      </w:r>
      <w:r w:rsidR="00AD522E">
        <w:rPr>
          <w:rFonts w:hint="eastAsia"/>
          <w:szCs w:val="27"/>
        </w:rPr>
        <w:t>が存在する</w:t>
      </w:r>
      <w:r w:rsidR="00E34B60">
        <w:rPr>
          <w:rFonts w:hint="eastAsia"/>
          <w:szCs w:val="27"/>
        </w:rPr>
        <w:t>2階建ての構造をして</w:t>
      </w:r>
      <w:r w:rsidR="005C087D">
        <w:rPr>
          <w:rFonts w:hint="eastAsia"/>
          <w:szCs w:val="27"/>
        </w:rPr>
        <w:t>おり、どちらも強制保険であ</w:t>
      </w:r>
      <w:r w:rsidR="00AD522E">
        <w:rPr>
          <w:rFonts w:hint="eastAsia"/>
          <w:szCs w:val="27"/>
        </w:rPr>
        <w:t>る。</w:t>
      </w:r>
      <w:r w:rsidR="00E34B60">
        <w:rPr>
          <w:rFonts w:hint="eastAsia"/>
          <w:szCs w:val="27"/>
        </w:rPr>
        <w:t>現役世代の間に年金保険料を</w:t>
      </w:r>
      <w:r w:rsidR="0061198C">
        <w:rPr>
          <w:rFonts w:hint="eastAsia"/>
          <w:szCs w:val="27"/>
        </w:rPr>
        <w:t>義務として</w:t>
      </w:r>
      <w:r w:rsidR="00E34B60">
        <w:rPr>
          <w:rFonts w:hint="eastAsia"/>
          <w:szCs w:val="27"/>
        </w:rPr>
        <w:t>支払うことによって高齢期になった際</w:t>
      </w:r>
      <w:r w:rsidR="00AD522E">
        <w:rPr>
          <w:rFonts w:hint="eastAsia"/>
          <w:szCs w:val="27"/>
        </w:rPr>
        <w:t>等</w:t>
      </w:r>
      <w:r w:rsidR="00E34B60">
        <w:rPr>
          <w:rFonts w:hint="eastAsia"/>
          <w:szCs w:val="27"/>
        </w:rPr>
        <w:t>に給付を</w:t>
      </w:r>
      <w:r w:rsidR="00AD522E">
        <w:rPr>
          <w:rFonts w:hint="eastAsia"/>
          <w:szCs w:val="27"/>
        </w:rPr>
        <w:t>受けることができる。</w:t>
      </w:r>
      <w:r w:rsidR="002D4FDC">
        <w:rPr>
          <w:rFonts w:hint="eastAsia"/>
          <w:szCs w:val="27"/>
        </w:rPr>
        <w:t>また、これに加えて公的年金とは別に企業年金</w:t>
      </w:r>
      <w:r w:rsidR="0061198C">
        <w:rPr>
          <w:rFonts w:hint="eastAsia"/>
          <w:szCs w:val="27"/>
        </w:rPr>
        <w:t>や国民年金基金といった私的年金</w:t>
      </w:r>
      <w:r w:rsidR="002D4FDC">
        <w:rPr>
          <w:rFonts w:hint="eastAsia"/>
          <w:szCs w:val="27"/>
        </w:rPr>
        <w:t>が存在し、日本の年金制度</w:t>
      </w:r>
      <w:r w:rsidR="0061198C">
        <w:rPr>
          <w:rFonts w:hint="eastAsia"/>
          <w:szCs w:val="27"/>
        </w:rPr>
        <w:t>として</w:t>
      </w:r>
      <w:r w:rsidR="002D4FDC">
        <w:rPr>
          <w:rFonts w:hint="eastAsia"/>
          <w:szCs w:val="27"/>
        </w:rPr>
        <w:t>は</w:t>
      </w:r>
      <w:r w:rsidR="0061198C">
        <w:rPr>
          <w:rFonts w:hint="eastAsia"/>
          <w:szCs w:val="27"/>
        </w:rPr>
        <w:t>3</w:t>
      </w:r>
      <w:r w:rsidR="002D4FDC">
        <w:rPr>
          <w:rFonts w:hint="eastAsia"/>
          <w:szCs w:val="27"/>
        </w:rPr>
        <w:t>階建ての構造をしている。</w:t>
      </w:r>
    </w:p>
    <w:p w:rsidR="002D6820" w:rsidRDefault="00BA0610" w:rsidP="0077164C">
      <w:pPr>
        <w:ind w:left="210" w:hangingChars="100" w:hanging="210"/>
        <w:rPr>
          <w:szCs w:val="27"/>
        </w:rPr>
      </w:pPr>
      <w:r>
        <w:rPr>
          <w:rFonts w:hint="eastAsia"/>
          <w:szCs w:val="27"/>
        </w:rPr>
        <w:t xml:space="preserve">　</w:t>
      </w:r>
    </w:p>
    <w:p w:rsidR="001E3995" w:rsidRDefault="0022514B" w:rsidP="001905DD">
      <w:pPr>
        <w:ind w:left="210" w:hangingChars="100" w:hanging="210"/>
        <w:rPr>
          <w:szCs w:val="27"/>
        </w:rPr>
      </w:pPr>
      <w:r>
        <w:rPr>
          <w:rFonts w:hint="eastAsia"/>
          <w:szCs w:val="27"/>
        </w:rPr>
        <w:t xml:space="preserve">　　</w:t>
      </w:r>
      <w:r w:rsidR="00635164">
        <w:rPr>
          <w:rFonts w:hint="eastAsia"/>
          <w:szCs w:val="27"/>
        </w:rPr>
        <w:t>日本において</w:t>
      </w:r>
      <w:r w:rsidR="004F241C">
        <w:rPr>
          <w:rFonts w:hint="eastAsia"/>
          <w:szCs w:val="27"/>
        </w:rPr>
        <w:t>は少子高齢化が進んでおり、それに伴って</w:t>
      </w:r>
      <w:r>
        <w:rPr>
          <w:rFonts w:hint="eastAsia"/>
          <w:szCs w:val="27"/>
        </w:rPr>
        <w:t>年金</w:t>
      </w:r>
      <w:r w:rsidR="001905DD">
        <w:rPr>
          <w:rFonts w:hint="eastAsia"/>
          <w:szCs w:val="27"/>
        </w:rPr>
        <w:t>財政は悪化しており、それに対応するために年金の制度改革が行われている。</w:t>
      </w:r>
    </w:p>
    <w:p w:rsidR="000E2C08" w:rsidRDefault="00BA0610" w:rsidP="002D6820">
      <w:pPr>
        <w:ind w:leftChars="100" w:left="210"/>
        <w:rPr>
          <w:szCs w:val="27"/>
        </w:rPr>
      </w:pPr>
      <w:r>
        <w:rPr>
          <w:rFonts w:hint="eastAsia"/>
          <w:szCs w:val="27"/>
        </w:rPr>
        <w:t xml:space="preserve">　</w:t>
      </w:r>
      <w:r w:rsidR="001E3995">
        <w:rPr>
          <w:rFonts w:hint="eastAsia"/>
          <w:szCs w:val="27"/>
        </w:rPr>
        <w:t>まず、</w:t>
      </w:r>
      <w:r w:rsidR="002D7335">
        <w:rPr>
          <w:rFonts w:hint="eastAsia"/>
          <w:szCs w:val="27"/>
        </w:rPr>
        <w:t>年金保険料に関しては、以前は給付水準が一定で</w:t>
      </w:r>
      <w:r w:rsidR="007115D2">
        <w:rPr>
          <w:rFonts w:hint="eastAsia"/>
          <w:szCs w:val="27"/>
        </w:rPr>
        <w:t>、財政再計算によって</w:t>
      </w:r>
      <w:r w:rsidR="002D7335">
        <w:rPr>
          <w:rFonts w:hint="eastAsia"/>
          <w:szCs w:val="27"/>
        </w:rPr>
        <w:t>それに対応するよう</w:t>
      </w:r>
      <w:r w:rsidR="007115D2">
        <w:rPr>
          <w:rFonts w:hint="eastAsia"/>
          <w:szCs w:val="27"/>
        </w:rPr>
        <w:t>な</w:t>
      </w:r>
      <w:r w:rsidR="001E3995">
        <w:rPr>
          <w:rFonts w:hint="eastAsia"/>
          <w:szCs w:val="27"/>
        </w:rPr>
        <w:t>年金</w:t>
      </w:r>
      <w:r w:rsidR="002D7335">
        <w:rPr>
          <w:rFonts w:hint="eastAsia"/>
          <w:szCs w:val="27"/>
        </w:rPr>
        <w:t>保険料が決定されていたが、少子高齢化の影響で</w:t>
      </w:r>
      <w:r w:rsidR="007115D2">
        <w:rPr>
          <w:rFonts w:hint="eastAsia"/>
          <w:szCs w:val="27"/>
        </w:rPr>
        <w:t>、給付水準を保つために</w:t>
      </w:r>
      <w:r w:rsidR="002D7335">
        <w:rPr>
          <w:rFonts w:hint="eastAsia"/>
          <w:szCs w:val="27"/>
        </w:rPr>
        <w:t>現役世代が支払わなくてはならない年金保険料が大きくなってしまった。</w:t>
      </w:r>
      <w:r w:rsidR="007115D2">
        <w:rPr>
          <w:rFonts w:hint="eastAsia"/>
          <w:szCs w:val="27"/>
        </w:rPr>
        <w:t>そこで</w:t>
      </w:r>
      <w:r w:rsidR="002D7335">
        <w:rPr>
          <w:rFonts w:hint="eastAsia"/>
          <w:szCs w:val="27"/>
        </w:rPr>
        <w:t>、</w:t>
      </w:r>
      <w:r w:rsidR="007115D2">
        <w:rPr>
          <w:rFonts w:hint="eastAsia"/>
          <w:szCs w:val="27"/>
        </w:rPr>
        <w:t>平成16年の年金制度改正によって</w:t>
      </w:r>
      <w:r w:rsidR="002D7335">
        <w:rPr>
          <w:rFonts w:hint="eastAsia"/>
          <w:szCs w:val="27"/>
        </w:rPr>
        <w:t>保険料水準</w:t>
      </w:r>
      <w:r w:rsidR="0077164C">
        <w:rPr>
          <w:rFonts w:hint="eastAsia"/>
          <w:szCs w:val="27"/>
        </w:rPr>
        <w:t>を平成29年までに平成16年度価格で厚生年金</w:t>
      </w:r>
      <w:r w:rsidR="00A977C9">
        <w:rPr>
          <w:rFonts w:hint="eastAsia"/>
          <w:szCs w:val="27"/>
        </w:rPr>
        <w:t>や共済年金</w:t>
      </w:r>
      <w:r w:rsidR="0077164C">
        <w:rPr>
          <w:rFonts w:hint="eastAsia"/>
          <w:szCs w:val="27"/>
        </w:rPr>
        <w:t>は18.3%、国民年金は月額16,900円に段階的に引き上げた上で</w:t>
      </w:r>
      <w:r w:rsidR="002D7335">
        <w:rPr>
          <w:rFonts w:hint="eastAsia"/>
          <w:szCs w:val="27"/>
        </w:rPr>
        <w:t>固定し</w:t>
      </w:r>
      <w:r w:rsidR="0077164C">
        <w:rPr>
          <w:rFonts w:hint="eastAsia"/>
          <w:szCs w:val="27"/>
        </w:rPr>
        <w:t>、</w:t>
      </w:r>
      <w:r w:rsidR="00154F75">
        <w:rPr>
          <w:rFonts w:hint="eastAsia"/>
          <w:szCs w:val="27"/>
        </w:rPr>
        <w:t>給付の水準を標準的な年金受給世帯において現役世代の平均収入の50%という下限付きで変動させるように変更した。</w:t>
      </w:r>
    </w:p>
    <w:p w:rsidR="0086744C" w:rsidRDefault="007115D2" w:rsidP="0086744C">
      <w:pPr>
        <w:ind w:leftChars="100" w:left="210"/>
        <w:rPr>
          <w:szCs w:val="27"/>
        </w:rPr>
      </w:pPr>
      <w:r>
        <w:rPr>
          <w:rFonts w:hint="eastAsia"/>
          <w:szCs w:val="27"/>
        </w:rPr>
        <w:t xml:space="preserve">　次に、</w:t>
      </w:r>
      <w:r w:rsidR="00407D34">
        <w:rPr>
          <w:rFonts w:hint="eastAsia"/>
          <w:szCs w:val="27"/>
        </w:rPr>
        <w:t>年金の財政運営方式についてであるが、</w:t>
      </w:r>
      <w:r w:rsidR="003729A3">
        <w:rPr>
          <w:rFonts w:hint="eastAsia"/>
          <w:szCs w:val="27"/>
        </w:rPr>
        <w:t>公的年金制度発足当時</w:t>
      </w:r>
      <w:r>
        <w:rPr>
          <w:rFonts w:hint="eastAsia"/>
          <w:szCs w:val="27"/>
        </w:rPr>
        <w:t>は年金保険料を</w:t>
      </w:r>
      <w:r w:rsidR="000909F1">
        <w:rPr>
          <w:rFonts w:hint="eastAsia"/>
          <w:szCs w:val="27"/>
        </w:rPr>
        <w:t>支払い、将来の年金として積み立てておき、老後に積み立てた財源を切り崩しながら年金を受給するという積立方式であったが、物価の上昇などといった将来の経済変動</w:t>
      </w:r>
      <w:r w:rsidR="0043364D">
        <w:rPr>
          <w:rFonts w:hint="eastAsia"/>
          <w:szCs w:val="27"/>
        </w:rPr>
        <w:t>に対して影響をうけ</w:t>
      </w:r>
      <w:r w:rsidR="003729A3">
        <w:rPr>
          <w:rFonts w:hint="eastAsia"/>
          <w:szCs w:val="27"/>
        </w:rPr>
        <w:t>ることによって</w:t>
      </w:r>
      <w:r w:rsidR="0043364D">
        <w:rPr>
          <w:rFonts w:hint="eastAsia"/>
          <w:szCs w:val="27"/>
        </w:rPr>
        <w:t>、年金を受給する際の価値が下がってしまい、国民の老後の生活を保障するといった年金の目的を果たすことができない可能性が存在する。その問題を解決するために、</w:t>
      </w:r>
      <w:r w:rsidR="003729A3">
        <w:rPr>
          <w:rFonts w:hint="eastAsia"/>
          <w:szCs w:val="27"/>
        </w:rPr>
        <w:t>ある時点で</w:t>
      </w:r>
      <w:r w:rsidR="00A977C9">
        <w:rPr>
          <w:rFonts w:hint="eastAsia"/>
          <w:szCs w:val="27"/>
        </w:rPr>
        <w:t>の現役世代の年金保険料を、その時点での年金受給者の支払いに充てる方法であ</w:t>
      </w:r>
      <w:r w:rsidR="003729A3">
        <w:rPr>
          <w:rFonts w:hint="eastAsia"/>
          <w:szCs w:val="27"/>
        </w:rPr>
        <w:t>り、経済変動に対して強いとされてい</w:t>
      </w:r>
      <w:r w:rsidR="00A977C9">
        <w:rPr>
          <w:rFonts w:hint="eastAsia"/>
          <w:szCs w:val="27"/>
        </w:rPr>
        <w:t>る</w:t>
      </w:r>
      <w:r w:rsidR="0043364D">
        <w:rPr>
          <w:rFonts w:hint="eastAsia"/>
          <w:szCs w:val="27"/>
        </w:rPr>
        <w:t>賦課方式</w:t>
      </w:r>
      <w:r w:rsidR="003729A3">
        <w:rPr>
          <w:rFonts w:hint="eastAsia"/>
          <w:szCs w:val="27"/>
        </w:rPr>
        <w:t>の仕組みへと変更されていった。また、平成16年の年金制度改正によって</w:t>
      </w:r>
      <w:r w:rsidR="00DA658C">
        <w:rPr>
          <w:rFonts w:hint="eastAsia"/>
          <w:szCs w:val="27"/>
        </w:rPr>
        <w:t>年金</w:t>
      </w:r>
      <w:r w:rsidR="0043364D">
        <w:rPr>
          <w:rFonts w:hint="eastAsia"/>
          <w:szCs w:val="27"/>
        </w:rPr>
        <w:t>の積立金</w:t>
      </w:r>
      <w:r w:rsidR="00407D34">
        <w:rPr>
          <w:rFonts w:hint="eastAsia"/>
          <w:szCs w:val="27"/>
        </w:rPr>
        <w:t>に関し</w:t>
      </w:r>
      <w:r w:rsidR="00A977C9">
        <w:rPr>
          <w:rFonts w:hint="eastAsia"/>
          <w:szCs w:val="27"/>
        </w:rPr>
        <w:t>て</w:t>
      </w:r>
      <w:r w:rsidR="00407D34">
        <w:rPr>
          <w:rFonts w:hint="eastAsia"/>
          <w:szCs w:val="27"/>
        </w:rPr>
        <w:t>、おおむね100年間で財政均衡を図り、積立金は財政均衡期間終了時点で支払準備金程度(給付費の1年分程度)を保有すること</w:t>
      </w:r>
      <w:r w:rsidR="003729A3">
        <w:rPr>
          <w:rFonts w:hint="eastAsia"/>
          <w:szCs w:val="27"/>
        </w:rPr>
        <w:t>いった修正賦課方式へと変更された</w:t>
      </w:r>
      <w:r w:rsidR="00407D34">
        <w:rPr>
          <w:rFonts w:hint="eastAsia"/>
          <w:szCs w:val="27"/>
        </w:rPr>
        <w:t>。これによって、積立金の運用によって得た収益や、積立金の切り崩しによって</w:t>
      </w:r>
      <w:r w:rsidR="002F01A0">
        <w:rPr>
          <w:rFonts w:hint="eastAsia"/>
          <w:szCs w:val="27"/>
        </w:rPr>
        <w:t>年金保険料の水準が固定された場合でも、年金の給付が下がりにくくなるようになった。</w:t>
      </w:r>
    </w:p>
    <w:p w:rsidR="001905DD" w:rsidRDefault="001905DD" w:rsidP="0086744C">
      <w:pPr>
        <w:ind w:leftChars="100" w:left="210"/>
        <w:rPr>
          <w:szCs w:val="27"/>
        </w:rPr>
      </w:pPr>
      <w:r>
        <w:rPr>
          <w:rFonts w:hint="eastAsia"/>
          <w:szCs w:val="27"/>
        </w:rPr>
        <w:t xml:space="preserve">　さらに、年金の支給開始年齢に関しては</w:t>
      </w:r>
      <w:r w:rsidR="0061198C">
        <w:rPr>
          <w:rFonts w:hint="eastAsia"/>
          <w:szCs w:val="27"/>
        </w:rPr>
        <w:t>、</w:t>
      </w:r>
      <w:r w:rsidR="00ED785D">
        <w:rPr>
          <w:rFonts w:hint="eastAsia"/>
          <w:szCs w:val="27"/>
        </w:rPr>
        <w:t>国民</w:t>
      </w:r>
      <w:r w:rsidR="00F216F0">
        <w:rPr>
          <w:rFonts w:hint="eastAsia"/>
          <w:szCs w:val="27"/>
        </w:rPr>
        <w:t>年金</w:t>
      </w:r>
      <w:r w:rsidR="00ED785D">
        <w:rPr>
          <w:rFonts w:hint="eastAsia"/>
          <w:szCs w:val="27"/>
        </w:rPr>
        <w:t>は65歳、厚生年金は60歳であっ</w:t>
      </w:r>
      <w:r w:rsidR="00ED785D">
        <w:rPr>
          <w:rFonts w:hint="eastAsia"/>
          <w:szCs w:val="27"/>
        </w:rPr>
        <w:lastRenderedPageBreak/>
        <w:t>たが、平成6年に厚生年金の基礎部分が、平成12年には厚生年金の報酬比例部分</w:t>
      </w:r>
      <w:r w:rsidR="00846090">
        <w:rPr>
          <w:rFonts w:hint="eastAsia"/>
          <w:szCs w:val="27"/>
        </w:rPr>
        <w:t>が65歳へと段階的に引き上げられることが決定した。</w:t>
      </w:r>
    </w:p>
    <w:p w:rsidR="008F34E2" w:rsidRDefault="00B1276C" w:rsidP="008F34E2">
      <w:pPr>
        <w:ind w:leftChars="100" w:left="210"/>
        <w:rPr>
          <w:szCs w:val="27"/>
        </w:rPr>
      </w:pPr>
      <w:r>
        <w:rPr>
          <w:rFonts w:hint="eastAsia"/>
          <w:szCs w:val="27"/>
        </w:rPr>
        <w:t xml:space="preserve">　そして、</w:t>
      </w:r>
      <w:r w:rsidR="007C405C">
        <w:rPr>
          <w:rFonts w:hint="eastAsia"/>
          <w:szCs w:val="27"/>
        </w:rPr>
        <w:t>部分の国庫負担割合に関しては平成16年年金制度改正によって従来は</w:t>
      </w:r>
      <w:r w:rsidR="008F34E2">
        <w:rPr>
          <w:rFonts w:hint="eastAsia"/>
          <w:szCs w:val="27"/>
        </w:rPr>
        <w:t>3分の1であったものが2分の1引き上げられ、平成24年に恒久化された。</w:t>
      </w:r>
    </w:p>
    <w:p w:rsidR="000E2C08" w:rsidRPr="002D6820" w:rsidRDefault="00154F75" w:rsidP="0086744C">
      <w:pPr>
        <w:ind w:leftChars="100" w:left="210"/>
        <w:rPr>
          <w:szCs w:val="27"/>
        </w:rPr>
      </w:pPr>
      <w:r>
        <w:rPr>
          <w:rFonts w:hint="eastAsia"/>
          <w:szCs w:val="27"/>
        </w:rPr>
        <w:t xml:space="preserve">　</w:t>
      </w:r>
      <w:r w:rsidR="001905DD">
        <w:rPr>
          <w:rFonts w:hint="eastAsia"/>
          <w:szCs w:val="27"/>
        </w:rPr>
        <w:t>加えて</w:t>
      </w:r>
      <w:r w:rsidR="008D2732">
        <w:rPr>
          <w:rFonts w:hint="eastAsia"/>
          <w:szCs w:val="27"/>
        </w:rPr>
        <w:t>年金の積立金の運用に関しては</w:t>
      </w:r>
      <w:r w:rsidR="00724B75">
        <w:rPr>
          <w:rFonts w:hint="eastAsia"/>
          <w:szCs w:val="27"/>
        </w:rPr>
        <w:t>、</w:t>
      </w:r>
      <w:r w:rsidR="001905DD">
        <w:rPr>
          <w:rFonts w:hint="eastAsia"/>
          <w:szCs w:val="27"/>
        </w:rPr>
        <w:t>平成16年の年金制度改正により、</w:t>
      </w:r>
      <w:r w:rsidR="00724B75">
        <w:rPr>
          <w:rFonts w:hint="eastAsia"/>
          <w:szCs w:val="27"/>
        </w:rPr>
        <w:t>グリーンピア業務や住宅融資業務を廃止し</w:t>
      </w:r>
      <w:r w:rsidR="002D4FDC">
        <w:rPr>
          <w:rFonts w:hint="eastAsia"/>
          <w:szCs w:val="27"/>
        </w:rPr>
        <w:t>、</w:t>
      </w:r>
      <w:r w:rsidR="00724B75">
        <w:rPr>
          <w:rFonts w:hint="eastAsia"/>
          <w:szCs w:val="27"/>
        </w:rPr>
        <w:t>運用業務に集中させるために従来の特殊法人であった年金資金運用基金から現在の年金積立金管理運用独立行政法人(GPIF)へと変更された。</w:t>
      </w:r>
    </w:p>
    <w:p w:rsidR="000E2C08" w:rsidRDefault="000E2C08"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Default="009927B3" w:rsidP="00940DD3">
      <w:pPr>
        <w:rPr>
          <w:szCs w:val="27"/>
        </w:rPr>
      </w:pPr>
    </w:p>
    <w:p w:rsidR="009927B3" w:rsidRPr="00724B75" w:rsidRDefault="009927B3" w:rsidP="00940DD3">
      <w:pPr>
        <w:rPr>
          <w:szCs w:val="27"/>
        </w:rPr>
      </w:pPr>
    </w:p>
    <w:p w:rsidR="00813CBC" w:rsidRDefault="00813CBC" w:rsidP="006F5349">
      <w:pPr>
        <w:pStyle w:val="2"/>
        <w:ind w:firstLineChars="100" w:firstLine="280"/>
      </w:pPr>
      <w:bookmarkStart w:id="6" w:name="_Toc503411929"/>
      <w:r w:rsidRPr="00813CBC">
        <w:lastRenderedPageBreak/>
        <w:t>2.2</w:t>
      </w:r>
      <w:r w:rsidRPr="00813CBC">
        <w:t xml:space="preserve">　海外</w:t>
      </w:r>
      <w:r w:rsidR="009927B3">
        <w:rPr>
          <w:rFonts w:hint="eastAsia"/>
        </w:rPr>
        <w:t>公的</w:t>
      </w:r>
      <w:r w:rsidRPr="00813CBC">
        <w:t>年金制度との比較</w:t>
      </w:r>
      <w:bookmarkEnd w:id="6"/>
    </w:p>
    <w:p w:rsidR="008F34E2" w:rsidRDefault="0086744C" w:rsidP="00096DD2">
      <w:pPr>
        <w:ind w:leftChars="100" w:left="210"/>
        <w:rPr>
          <w:szCs w:val="27"/>
        </w:rPr>
      </w:pPr>
      <w:r>
        <w:rPr>
          <w:rFonts w:hint="eastAsia"/>
          <w:szCs w:val="27"/>
        </w:rPr>
        <w:t xml:space="preserve">　</w:t>
      </w:r>
      <w:r w:rsidR="00055269">
        <w:rPr>
          <w:rFonts w:hint="eastAsia"/>
          <w:szCs w:val="27"/>
        </w:rPr>
        <w:t>まずアメリカの</w:t>
      </w:r>
      <w:r w:rsidR="009D7FBF">
        <w:rPr>
          <w:rFonts w:hint="eastAsia"/>
          <w:szCs w:val="27"/>
        </w:rPr>
        <w:t>公的</w:t>
      </w:r>
      <w:r w:rsidR="00055269">
        <w:rPr>
          <w:rFonts w:hint="eastAsia"/>
          <w:szCs w:val="27"/>
        </w:rPr>
        <w:t>年金制度についての説明を行う</w:t>
      </w:r>
      <w:r w:rsidR="009D7FBF">
        <w:rPr>
          <w:rFonts w:hint="eastAsia"/>
          <w:szCs w:val="27"/>
        </w:rPr>
        <w:t>。</w:t>
      </w:r>
      <w:r w:rsidR="002D4437">
        <w:rPr>
          <w:rFonts w:hint="eastAsia"/>
          <w:szCs w:val="27"/>
        </w:rPr>
        <w:t>アメリカ</w:t>
      </w:r>
      <w:r w:rsidR="009D7FBF">
        <w:rPr>
          <w:rFonts w:hint="eastAsia"/>
          <w:szCs w:val="27"/>
        </w:rPr>
        <w:t>の公的年金は</w:t>
      </w:r>
      <w:r w:rsidR="008F34E2">
        <w:rPr>
          <w:rFonts w:hint="eastAsia"/>
          <w:szCs w:val="27"/>
        </w:rPr>
        <w:t>、</w:t>
      </w:r>
      <w:r w:rsidR="00432EC5">
        <w:rPr>
          <w:rFonts w:hint="eastAsia"/>
          <w:szCs w:val="27"/>
        </w:rPr>
        <w:t>所得比例の保険料率で所得比例の年金額を受給する</w:t>
      </w:r>
      <w:r w:rsidR="008300A9">
        <w:rPr>
          <w:rFonts w:hint="eastAsia"/>
          <w:szCs w:val="27"/>
        </w:rPr>
        <w:t>1階建ての構造をしており</w:t>
      </w:r>
      <w:r w:rsidR="00FB1DB0">
        <w:rPr>
          <w:rFonts w:hint="eastAsia"/>
          <w:szCs w:val="27"/>
        </w:rPr>
        <w:t>、</w:t>
      </w:r>
      <w:r w:rsidR="008300A9">
        <w:rPr>
          <w:rFonts w:hint="eastAsia"/>
          <w:szCs w:val="27"/>
        </w:rPr>
        <w:t>被保険者は</w:t>
      </w:r>
      <w:r w:rsidR="00FB1DB0">
        <w:rPr>
          <w:rFonts w:hint="eastAsia"/>
          <w:szCs w:val="27"/>
        </w:rPr>
        <w:t>一部の州や地方政府職員、鉄道職員を除いた</w:t>
      </w:r>
      <w:r w:rsidR="008300A9">
        <w:rPr>
          <w:rFonts w:hint="eastAsia"/>
          <w:szCs w:val="27"/>
        </w:rPr>
        <w:t>就労者であり</w:t>
      </w:r>
      <w:r w:rsidR="00FB1DB0">
        <w:rPr>
          <w:rFonts w:hint="eastAsia"/>
          <w:szCs w:val="27"/>
        </w:rPr>
        <w:t>年金を受給している者であっても対象となる</w:t>
      </w:r>
      <w:r w:rsidR="002C47D9">
        <w:rPr>
          <w:rFonts w:hint="eastAsia"/>
          <w:szCs w:val="27"/>
        </w:rPr>
        <w:t>強制保険である</w:t>
      </w:r>
      <w:r w:rsidR="00FB1DB0">
        <w:rPr>
          <w:rFonts w:hint="eastAsia"/>
          <w:szCs w:val="27"/>
        </w:rPr>
        <w:t>。</w:t>
      </w:r>
    </w:p>
    <w:p w:rsidR="0086744C" w:rsidRDefault="00096DD2" w:rsidP="007E7D1A">
      <w:pPr>
        <w:ind w:leftChars="100" w:left="210"/>
        <w:rPr>
          <w:szCs w:val="27"/>
        </w:rPr>
      </w:pPr>
      <w:r>
        <w:rPr>
          <w:rFonts w:hint="eastAsia"/>
          <w:szCs w:val="27"/>
        </w:rPr>
        <w:t xml:space="preserve">　</w:t>
      </w:r>
      <w:r w:rsidR="002D4437">
        <w:rPr>
          <w:rFonts w:hint="eastAsia"/>
          <w:szCs w:val="27"/>
        </w:rPr>
        <w:t>国庫負担に関しては原則存在せず、支給開始年齢は</w:t>
      </w:r>
      <w:r w:rsidR="005C087D">
        <w:rPr>
          <w:rFonts w:hint="eastAsia"/>
          <w:szCs w:val="27"/>
        </w:rPr>
        <w:t>67歳</w:t>
      </w:r>
      <w:r w:rsidR="002C47D9">
        <w:rPr>
          <w:rFonts w:hint="eastAsia"/>
          <w:szCs w:val="27"/>
        </w:rPr>
        <w:t>(経過措置あり)</w:t>
      </w:r>
      <w:r w:rsidR="005C087D">
        <w:rPr>
          <w:rFonts w:hint="eastAsia"/>
          <w:szCs w:val="27"/>
        </w:rPr>
        <w:t>で</w:t>
      </w:r>
      <w:r w:rsidR="007E7D1A">
        <w:rPr>
          <w:rFonts w:hint="eastAsia"/>
          <w:szCs w:val="27"/>
        </w:rPr>
        <w:t>受給開始時期を変更することで割増や割引をした額を受給することができる。</w:t>
      </w:r>
    </w:p>
    <w:p w:rsidR="007E7D1A" w:rsidRDefault="007E7D1A" w:rsidP="007E7D1A">
      <w:pPr>
        <w:ind w:leftChars="100" w:left="210"/>
        <w:rPr>
          <w:szCs w:val="27"/>
        </w:rPr>
      </w:pPr>
    </w:p>
    <w:p w:rsidR="00C51D4D" w:rsidRPr="007B15E4" w:rsidRDefault="007E7D1A" w:rsidP="00B328A0">
      <w:pPr>
        <w:ind w:leftChars="100" w:left="210"/>
        <w:rPr>
          <w:szCs w:val="27"/>
        </w:rPr>
      </w:pPr>
      <w:r>
        <w:rPr>
          <w:rFonts w:hint="eastAsia"/>
          <w:szCs w:val="27"/>
        </w:rPr>
        <w:t xml:space="preserve">　次に</w:t>
      </w:r>
      <w:r w:rsidR="00B328A0">
        <w:rPr>
          <w:rFonts w:hint="eastAsia"/>
          <w:szCs w:val="27"/>
        </w:rPr>
        <w:t>ドイツ</w:t>
      </w:r>
      <w:r>
        <w:rPr>
          <w:rFonts w:hint="eastAsia"/>
          <w:szCs w:val="27"/>
        </w:rPr>
        <w:t>の公的年金制度であるが、</w:t>
      </w:r>
      <w:r w:rsidR="00944651">
        <w:rPr>
          <w:rFonts w:hint="eastAsia"/>
          <w:szCs w:val="27"/>
        </w:rPr>
        <w:t>被保険者は</w:t>
      </w:r>
      <w:r w:rsidR="00B328A0">
        <w:rPr>
          <w:rFonts w:hint="eastAsia"/>
          <w:szCs w:val="27"/>
        </w:rPr>
        <w:t>被用者と弁護士や医師など一部の職種の自営業者は</w:t>
      </w:r>
      <w:r w:rsidR="00A1515F">
        <w:rPr>
          <w:rFonts w:hint="eastAsia"/>
          <w:szCs w:val="27"/>
        </w:rPr>
        <w:t>強制加入</w:t>
      </w:r>
      <w:r w:rsidR="00B328A0">
        <w:rPr>
          <w:rFonts w:hint="eastAsia"/>
          <w:szCs w:val="27"/>
        </w:rPr>
        <w:t>でその他の自営業者や16歳以上の無業者</w:t>
      </w:r>
      <w:r w:rsidR="00CB7621">
        <w:rPr>
          <w:rFonts w:hint="eastAsia"/>
          <w:szCs w:val="27"/>
        </w:rPr>
        <w:t>は任意で加入できる1階建ての構造をしており、</w:t>
      </w:r>
      <w:r w:rsidR="00EC4686">
        <w:rPr>
          <w:rFonts w:hint="eastAsia"/>
          <w:szCs w:val="27"/>
        </w:rPr>
        <w:t>保険料と給付は報酬比例方式となっている。</w:t>
      </w:r>
    </w:p>
    <w:p w:rsidR="00C51D4D" w:rsidRDefault="00871B75" w:rsidP="007E7D1A">
      <w:pPr>
        <w:ind w:leftChars="100" w:left="210"/>
        <w:rPr>
          <w:szCs w:val="27"/>
        </w:rPr>
      </w:pPr>
      <w:r>
        <w:rPr>
          <w:rFonts w:hint="eastAsia"/>
          <w:szCs w:val="27"/>
        </w:rPr>
        <w:t xml:space="preserve">　</w:t>
      </w:r>
      <w:r w:rsidR="00DB7C0E">
        <w:rPr>
          <w:rFonts w:hint="eastAsia"/>
          <w:szCs w:val="27"/>
        </w:rPr>
        <w:t>支給開始年齢は平成24年から平成41年にかけて段階的に67歳まで引き上げられる予定である。</w:t>
      </w:r>
      <w:r w:rsidR="000C6183">
        <w:rPr>
          <w:rFonts w:hint="eastAsia"/>
          <w:szCs w:val="27"/>
        </w:rPr>
        <w:t>また、国庫負担は</w:t>
      </w:r>
      <w:r w:rsidR="009927B3">
        <w:rPr>
          <w:rFonts w:hint="eastAsia"/>
          <w:szCs w:val="27"/>
        </w:rPr>
        <w:t>存在し、その額は年ごとに決定され、その財源は一般財源と付加価値税、環境税から捻出されている。</w:t>
      </w:r>
    </w:p>
    <w:p w:rsidR="009927B3" w:rsidRDefault="009927B3" w:rsidP="007E7D1A">
      <w:pPr>
        <w:ind w:leftChars="100" w:left="210"/>
        <w:rPr>
          <w:szCs w:val="27"/>
        </w:rPr>
      </w:pPr>
    </w:p>
    <w:p w:rsidR="005F4F56" w:rsidRDefault="009927B3" w:rsidP="005F4F56">
      <w:pPr>
        <w:ind w:leftChars="100" w:left="210"/>
        <w:rPr>
          <w:szCs w:val="27"/>
        </w:rPr>
      </w:pPr>
      <w:r>
        <w:rPr>
          <w:rFonts w:hint="eastAsia"/>
          <w:szCs w:val="27"/>
        </w:rPr>
        <w:t xml:space="preserve">　また、スウェーデンの公的年金制度については、</w:t>
      </w:r>
      <w:r w:rsidR="00944651">
        <w:rPr>
          <w:rFonts w:hint="eastAsia"/>
          <w:szCs w:val="27"/>
        </w:rPr>
        <w:t>被保険者は</w:t>
      </w:r>
      <w:r w:rsidR="005F4F56">
        <w:rPr>
          <w:rFonts w:hint="eastAsia"/>
          <w:szCs w:val="27"/>
        </w:rPr>
        <w:t>物価基礎額の42.3%以上の収入があるものが対象となる強制保険であり</w:t>
      </w:r>
      <w:r w:rsidR="005267E9">
        <w:rPr>
          <w:rFonts w:hint="eastAsia"/>
          <w:szCs w:val="27"/>
        </w:rPr>
        <w:t>、</w:t>
      </w:r>
      <w:r w:rsidR="005F4F56">
        <w:rPr>
          <w:rFonts w:hint="eastAsia"/>
          <w:szCs w:val="27"/>
        </w:rPr>
        <w:t>被用者や自営業の区分によっての差は存在しない。</w:t>
      </w:r>
      <w:r w:rsidR="005267E9">
        <w:rPr>
          <w:rFonts w:hint="eastAsia"/>
          <w:szCs w:val="27"/>
        </w:rPr>
        <w:t>また、年金の給付額が一定額を下回る場合、一定期間の居住を条件として、国庫負担を財源とする保証年金が支給されるという2階建ての構造である。</w:t>
      </w:r>
      <w:r w:rsidR="002328F3">
        <w:rPr>
          <w:rFonts w:hint="eastAsia"/>
          <w:szCs w:val="27"/>
        </w:rPr>
        <w:t>保険料率は</w:t>
      </w:r>
      <w:r w:rsidR="00AC3997">
        <w:rPr>
          <w:rFonts w:hint="eastAsia"/>
          <w:szCs w:val="27"/>
        </w:rPr>
        <w:t>17.21%で一般被用者の場合、本人負担が7.0％、事業主負担が10.21％である。</w:t>
      </w:r>
    </w:p>
    <w:p w:rsidR="005F4F56" w:rsidRDefault="005F4F56" w:rsidP="005F4F56">
      <w:pPr>
        <w:ind w:leftChars="100" w:left="210"/>
        <w:rPr>
          <w:szCs w:val="27"/>
        </w:rPr>
      </w:pPr>
      <w:r>
        <w:rPr>
          <w:rFonts w:hint="eastAsia"/>
          <w:szCs w:val="27"/>
        </w:rPr>
        <w:t xml:space="preserve">　支給開始年齢はと61歳以降</w:t>
      </w:r>
      <w:r w:rsidR="002328F3">
        <w:rPr>
          <w:rFonts w:hint="eastAsia"/>
          <w:szCs w:val="27"/>
        </w:rPr>
        <w:t>に本人が選択するが保証年金部分は65歳である。</w:t>
      </w:r>
    </w:p>
    <w:p w:rsidR="00EC4686" w:rsidRDefault="00EC4686"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Default="005267E9" w:rsidP="007E7D1A">
      <w:pPr>
        <w:ind w:leftChars="100" w:left="210"/>
        <w:rPr>
          <w:szCs w:val="27"/>
        </w:rPr>
      </w:pPr>
    </w:p>
    <w:p w:rsidR="005267E9" w:rsidRPr="002328F3" w:rsidRDefault="005267E9" w:rsidP="007E7D1A">
      <w:pPr>
        <w:ind w:leftChars="100" w:left="210"/>
        <w:rPr>
          <w:szCs w:val="27"/>
        </w:rPr>
      </w:pPr>
    </w:p>
    <w:p w:rsidR="008F2D3A" w:rsidRPr="00724B75" w:rsidRDefault="00813CBC" w:rsidP="006F5349">
      <w:pPr>
        <w:pStyle w:val="2"/>
        <w:ind w:firstLineChars="100" w:firstLine="280"/>
      </w:pPr>
      <w:bookmarkStart w:id="7" w:name="_Toc503411930"/>
      <w:r w:rsidRPr="00813CBC">
        <w:lastRenderedPageBreak/>
        <w:t>2.3</w:t>
      </w:r>
      <w:r w:rsidRPr="00813CBC">
        <w:t xml:space="preserve">　年金積立金管理運用独立行政法人</w:t>
      </w:r>
      <w:r w:rsidRPr="00813CBC">
        <w:t>(GPIF)</w:t>
      </w:r>
      <w:r w:rsidRPr="00813CBC">
        <w:t>について</w:t>
      </w:r>
      <w:bookmarkEnd w:id="7"/>
    </w:p>
    <w:p w:rsidR="00FC734E" w:rsidRDefault="003D0EA9" w:rsidP="003D0EA9">
      <w:pPr>
        <w:ind w:firstLineChars="200" w:firstLine="420"/>
        <w:rPr>
          <w:szCs w:val="27"/>
        </w:rPr>
      </w:pPr>
      <w:r>
        <w:rPr>
          <w:rFonts w:hint="eastAsia"/>
          <w:szCs w:val="27"/>
        </w:rPr>
        <w:t>年金積立金の</w:t>
      </w:r>
      <w:r w:rsidR="00FC734E">
        <w:rPr>
          <w:rFonts w:hint="eastAsia"/>
          <w:szCs w:val="27"/>
        </w:rPr>
        <w:t>市場運用は</w:t>
      </w:r>
      <w:r>
        <w:rPr>
          <w:rFonts w:hint="eastAsia"/>
          <w:szCs w:val="27"/>
        </w:rPr>
        <w:t>年金資金運用基金が発足した</w:t>
      </w:r>
      <w:r w:rsidR="00FC734E">
        <w:rPr>
          <w:rFonts w:hint="eastAsia"/>
          <w:szCs w:val="27"/>
        </w:rPr>
        <w:t>平成13年度から行</w:t>
      </w:r>
      <w:r>
        <w:rPr>
          <w:rFonts w:hint="eastAsia"/>
          <w:szCs w:val="27"/>
        </w:rPr>
        <w:t>われ</w:t>
      </w:r>
      <w:r w:rsidR="00FC734E">
        <w:rPr>
          <w:rFonts w:hint="eastAsia"/>
          <w:szCs w:val="27"/>
        </w:rPr>
        <w:t>て</w:t>
      </w:r>
      <w:r>
        <w:rPr>
          <w:rFonts w:hint="eastAsia"/>
          <w:szCs w:val="27"/>
        </w:rPr>
        <w:t>おり、</w:t>
      </w:r>
    </w:p>
    <w:p w:rsidR="004F074B" w:rsidRDefault="004F074B" w:rsidP="004F074B">
      <w:pPr>
        <w:ind w:firstLineChars="100" w:firstLine="210"/>
        <w:rPr>
          <w:szCs w:val="27"/>
        </w:rPr>
      </w:pPr>
      <w:r>
        <w:rPr>
          <w:rFonts w:hint="eastAsia"/>
          <w:szCs w:val="27"/>
        </w:rPr>
        <w:t>運用資産額は約145兆円(平成28年度末現在)と世界最大級の機関投資家である。</w:t>
      </w:r>
    </w:p>
    <w:p w:rsidR="002B3ABF" w:rsidRDefault="00EB1870" w:rsidP="00AC4E25">
      <w:pPr>
        <w:ind w:left="210" w:hangingChars="100" w:hanging="210"/>
        <w:rPr>
          <w:szCs w:val="27"/>
        </w:rPr>
      </w:pPr>
      <w:r>
        <w:rPr>
          <w:rFonts w:hint="eastAsia"/>
          <w:szCs w:val="27"/>
        </w:rPr>
        <w:t xml:space="preserve">　　現在の</w:t>
      </w:r>
      <w:r w:rsidR="009417B9">
        <w:rPr>
          <w:rFonts w:hint="eastAsia"/>
          <w:szCs w:val="27"/>
        </w:rPr>
        <w:t>GPIFの積立金の運用方法に関しては、その大部分を複数の運用機関に委託しているが全体としては基本ポートフォリオ基づい</w:t>
      </w:r>
      <w:r w:rsidR="009549A5">
        <w:rPr>
          <w:rFonts w:hint="eastAsia"/>
          <w:szCs w:val="27"/>
        </w:rPr>
        <w:t>た運用を行って</w:t>
      </w:r>
      <w:r w:rsidR="009417B9">
        <w:rPr>
          <w:rFonts w:hint="eastAsia"/>
          <w:szCs w:val="27"/>
        </w:rPr>
        <w:t>いる。</w:t>
      </w:r>
      <w:r w:rsidR="001A2F1F">
        <w:rPr>
          <w:rFonts w:hint="eastAsia"/>
          <w:szCs w:val="27"/>
        </w:rPr>
        <w:t>基本ポートフォリオとは</w:t>
      </w:r>
      <w:r w:rsidR="003638EB">
        <w:rPr>
          <w:rFonts w:hint="eastAsia"/>
          <w:szCs w:val="27"/>
        </w:rPr>
        <w:t>、</w:t>
      </w:r>
      <w:r w:rsidR="001A2F1F">
        <w:rPr>
          <w:rFonts w:hint="eastAsia"/>
          <w:szCs w:val="27"/>
        </w:rPr>
        <w:t>長期的に維持するべきとされる資産構成割合</w:t>
      </w:r>
      <w:r w:rsidR="003638EB">
        <w:rPr>
          <w:rFonts w:hint="eastAsia"/>
          <w:szCs w:val="27"/>
        </w:rPr>
        <w:t>のことであり、現在のGPIFの基本ポートフォリオ</w:t>
      </w:r>
      <w:r w:rsidR="001A2F1F">
        <w:rPr>
          <w:rFonts w:hint="eastAsia"/>
          <w:szCs w:val="27"/>
        </w:rPr>
        <w:t>に</w:t>
      </w:r>
      <w:r w:rsidR="009549A5">
        <w:rPr>
          <w:rFonts w:hint="eastAsia"/>
          <w:szCs w:val="27"/>
        </w:rPr>
        <w:t>組み込まれている資産は国内債券、国内株式、外国債券、外国株式の4資産であり、これらをまとめて伝統的4資産という。</w:t>
      </w:r>
      <w:r w:rsidR="002B3ABF">
        <w:rPr>
          <w:rFonts w:hint="eastAsia"/>
          <w:szCs w:val="27"/>
        </w:rPr>
        <w:t>基本ポートフォリオには資産クラスごとに乖離許容幅が決められており、原則はこの乖離許容幅の中の割合で資産の運用を行う。</w:t>
      </w:r>
    </w:p>
    <w:p w:rsidR="00B473E8" w:rsidRDefault="00B473E8" w:rsidP="00AC4E25">
      <w:pPr>
        <w:ind w:left="210" w:hangingChars="100" w:hanging="210"/>
        <w:rPr>
          <w:szCs w:val="27"/>
        </w:rPr>
      </w:pPr>
    </w:p>
    <w:p w:rsidR="00650775" w:rsidRDefault="00B473E8" w:rsidP="00164FB4">
      <w:pPr>
        <w:ind w:leftChars="100" w:left="210" w:firstLineChars="100" w:firstLine="210"/>
        <w:rPr>
          <w:szCs w:val="27"/>
        </w:rPr>
      </w:pPr>
      <w:r>
        <w:rPr>
          <w:rFonts w:hint="eastAsia"/>
          <w:szCs w:val="27"/>
        </w:rPr>
        <w:t>GPIFの</w:t>
      </w:r>
      <w:r w:rsidRPr="00EB1870">
        <w:rPr>
          <w:rFonts w:hint="eastAsia"/>
          <w:szCs w:val="27"/>
        </w:rPr>
        <w:t>運用目標は</w:t>
      </w:r>
      <w:r>
        <w:rPr>
          <w:rFonts w:hint="eastAsia"/>
          <w:szCs w:val="27"/>
        </w:rPr>
        <w:t>、</w:t>
      </w:r>
      <w:r w:rsidRPr="00EB1870">
        <w:rPr>
          <w:rFonts w:hint="eastAsia"/>
          <w:szCs w:val="27"/>
        </w:rPr>
        <w:t>長期的に実質的な運用利回り</w:t>
      </w:r>
      <w:r w:rsidRPr="00EB1870">
        <w:rPr>
          <w:szCs w:val="27"/>
        </w:rPr>
        <w:t>(運用利回り－名目賃金上昇率)</w:t>
      </w:r>
      <w:r>
        <w:rPr>
          <w:rFonts w:hint="eastAsia"/>
          <w:szCs w:val="27"/>
        </w:rPr>
        <w:t>を</w:t>
      </w:r>
      <w:r w:rsidRPr="00EB1870">
        <w:rPr>
          <w:szCs w:val="27"/>
        </w:rPr>
        <w:t>1.7％</w:t>
      </w:r>
      <w:r>
        <w:rPr>
          <w:rFonts w:hint="eastAsia"/>
          <w:szCs w:val="27"/>
        </w:rPr>
        <w:t>とし、この実質的な運用利回り</w:t>
      </w:r>
      <w:r w:rsidRPr="00EB1870">
        <w:rPr>
          <w:szCs w:val="27"/>
        </w:rPr>
        <w:t>を</w:t>
      </w:r>
      <w:r w:rsidRPr="00EB1870">
        <w:rPr>
          <w:rFonts w:hint="eastAsia"/>
          <w:szCs w:val="27"/>
        </w:rPr>
        <w:t>最低限のリスクで確保</w:t>
      </w:r>
      <w:r>
        <w:rPr>
          <w:rFonts w:hint="eastAsia"/>
          <w:szCs w:val="27"/>
        </w:rPr>
        <w:t>することと設定されている。これを達成するような基本ポートフォリオが設定されるが、</w:t>
      </w:r>
      <w:r w:rsidR="002E09C7">
        <w:rPr>
          <w:rFonts w:hint="eastAsia"/>
          <w:szCs w:val="27"/>
        </w:rPr>
        <w:t>少なくとも</w:t>
      </w:r>
      <w:r>
        <w:rPr>
          <w:rFonts w:hint="eastAsia"/>
          <w:szCs w:val="27"/>
        </w:rPr>
        <w:t>5年に1度財政検証</w:t>
      </w:r>
      <w:r w:rsidR="00164FB4">
        <w:rPr>
          <w:rFonts w:hint="eastAsia"/>
          <w:szCs w:val="27"/>
        </w:rPr>
        <w:t>と呼ばれる</w:t>
      </w:r>
      <w:r>
        <w:rPr>
          <w:rFonts w:hint="eastAsia"/>
          <w:szCs w:val="27"/>
        </w:rPr>
        <w:t>将来の年金積立金と給付状況が</w:t>
      </w:r>
      <w:r w:rsidR="00164FB4">
        <w:rPr>
          <w:rFonts w:hint="eastAsia"/>
          <w:szCs w:val="27"/>
        </w:rPr>
        <w:t>どうなるのかという検証が行われ、必要に応じて基本ポートフォリオが変更される。</w:t>
      </w:r>
    </w:p>
    <w:p w:rsidR="00650775" w:rsidRDefault="002B3ABF" w:rsidP="00650775">
      <w:pPr>
        <w:ind w:leftChars="100" w:left="210" w:firstLineChars="100" w:firstLine="210"/>
        <w:rPr>
          <w:szCs w:val="27"/>
        </w:rPr>
      </w:pPr>
      <w:r>
        <w:rPr>
          <w:rFonts w:hint="eastAsia"/>
          <w:szCs w:val="27"/>
        </w:rPr>
        <w:t>基本ポートフォリオ</w:t>
      </w:r>
      <w:r w:rsidR="009417B9">
        <w:rPr>
          <w:rFonts w:hint="eastAsia"/>
          <w:szCs w:val="27"/>
        </w:rPr>
        <w:t>はGPIFが発足されてから現在までに2回変更されており、表2.1</w:t>
      </w:r>
      <w:r w:rsidR="009549A5">
        <w:rPr>
          <w:rFonts w:hint="eastAsia"/>
          <w:szCs w:val="27"/>
        </w:rPr>
        <w:t>のように</w:t>
      </w:r>
      <w:r w:rsidR="009417B9">
        <w:rPr>
          <w:rFonts w:hint="eastAsia"/>
          <w:szCs w:val="27"/>
        </w:rPr>
        <w:t>GPIFの基本ポートフォリオ</w:t>
      </w:r>
      <w:r w:rsidR="009549A5">
        <w:rPr>
          <w:rFonts w:hint="eastAsia"/>
          <w:szCs w:val="27"/>
        </w:rPr>
        <w:t>は変更されてきた</w:t>
      </w:r>
      <w:r w:rsidR="009417B9">
        <w:rPr>
          <w:rFonts w:hint="eastAsia"/>
          <w:szCs w:val="27"/>
        </w:rPr>
        <w:t>。</w:t>
      </w:r>
      <w:r w:rsidR="009549A5">
        <w:rPr>
          <w:rFonts w:hint="eastAsia"/>
          <w:szCs w:val="27"/>
        </w:rPr>
        <w:t>その中でも、</w:t>
      </w:r>
      <w:r w:rsidR="009417B9">
        <w:rPr>
          <w:rFonts w:hint="eastAsia"/>
          <w:szCs w:val="27"/>
        </w:rPr>
        <w:t>平成26年</w:t>
      </w:r>
      <w:r w:rsidR="009549A5">
        <w:rPr>
          <w:rFonts w:hint="eastAsia"/>
          <w:szCs w:val="27"/>
        </w:rPr>
        <w:t>10月</w:t>
      </w:r>
      <w:r w:rsidR="009417B9">
        <w:rPr>
          <w:rFonts w:hint="eastAsia"/>
          <w:szCs w:val="27"/>
        </w:rPr>
        <w:t>に</w:t>
      </w:r>
      <w:r w:rsidR="009549A5">
        <w:rPr>
          <w:rFonts w:hint="eastAsia"/>
          <w:szCs w:val="27"/>
        </w:rPr>
        <w:t>行われた基本ポートフォリオの変更によって決定された新たな基本ポートフォリオは、それまでの国内債券への運用</w:t>
      </w:r>
      <w:r w:rsidR="00B45C60">
        <w:rPr>
          <w:rFonts w:hint="eastAsia"/>
          <w:szCs w:val="27"/>
        </w:rPr>
        <w:t>の割合が非常に大きかった</w:t>
      </w:r>
      <w:r w:rsidR="009549A5">
        <w:rPr>
          <w:rFonts w:hint="eastAsia"/>
          <w:szCs w:val="27"/>
        </w:rPr>
        <w:t>2つの基本ポートフォリオとは異なり、</w:t>
      </w:r>
      <w:r w:rsidR="00B45C60">
        <w:rPr>
          <w:rFonts w:hint="eastAsia"/>
          <w:szCs w:val="27"/>
        </w:rPr>
        <w:t>国内債券の割合が依然最も大きいものの、その割合を減らし、国内株式、外国債券、外国株式の割合がいずれも上昇した。</w:t>
      </w:r>
    </w:p>
    <w:p w:rsidR="00650775" w:rsidRDefault="00B45C60" w:rsidP="00650775">
      <w:pPr>
        <w:ind w:leftChars="100" w:left="210" w:firstLineChars="100" w:firstLine="210"/>
        <w:rPr>
          <w:szCs w:val="27"/>
        </w:rPr>
      </w:pPr>
      <w:r>
        <w:rPr>
          <w:rFonts w:hint="eastAsia"/>
          <w:szCs w:val="27"/>
        </w:rPr>
        <w:t>また、</w:t>
      </w:r>
      <w:r w:rsidR="005D2B5A">
        <w:rPr>
          <w:rFonts w:hint="eastAsia"/>
          <w:szCs w:val="27"/>
        </w:rPr>
        <w:t>以前の２つの基本ポートフォリオに</w:t>
      </w:r>
      <w:r w:rsidR="006B2158">
        <w:rPr>
          <w:rFonts w:hint="eastAsia"/>
          <w:szCs w:val="27"/>
        </w:rPr>
        <w:t>は</w:t>
      </w:r>
      <w:r w:rsidR="009A1398">
        <w:rPr>
          <w:rFonts w:hint="eastAsia"/>
          <w:szCs w:val="27"/>
        </w:rPr>
        <w:t>年金特別会計にある資産のために</w:t>
      </w:r>
      <w:r w:rsidR="005D2B5A">
        <w:rPr>
          <w:rFonts w:hint="eastAsia"/>
          <w:szCs w:val="27"/>
        </w:rPr>
        <w:t>存在していた短期資産の</w:t>
      </w:r>
      <w:r w:rsidR="00AC4E25">
        <w:rPr>
          <w:rFonts w:hint="eastAsia"/>
          <w:szCs w:val="27"/>
        </w:rPr>
        <w:t>資産クラスをなくし、伝統的4資産で基本ポートフォリオを構成するようになった。</w:t>
      </w:r>
      <w:r w:rsidR="009A1398">
        <w:rPr>
          <w:rFonts w:hint="eastAsia"/>
          <w:szCs w:val="27"/>
        </w:rPr>
        <w:t>そのため、現行の運用においても短期資産を保有するため伝統的4資産の割合は小さくなるが、それを考慮したうえで乖離許容幅の範囲で管理を行う。</w:t>
      </w:r>
    </w:p>
    <w:p w:rsidR="00AC4E25" w:rsidRDefault="00650775" w:rsidP="00650775">
      <w:pPr>
        <w:ind w:leftChars="100" w:left="210" w:firstLineChars="100" w:firstLine="210"/>
        <w:rPr>
          <w:szCs w:val="27"/>
        </w:rPr>
      </w:pPr>
      <w:r>
        <w:rPr>
          <w:rFonts w:hint="eastAsia"/>
          <w:szCs w:val="27"/>
        </w:rPr>
        <w:t>そして、</w:t>
      </w:r>
      <w:r w:rsidR="00C07BEB">
        <w:rPr>
          <w:rFonts w:hint="eastAsia"/>
          <w:szCs w:val="27"/>
        </w:rPr>
        <w:t>図2-1は</w:t>
      </w:r>
      <w:r>
        <w:rPr>
          <w:rFonts w:hint="eastAsia"/>
          <w:szCs w:val="27"/>
        </w:rPr>
        <w:t>GPIFにおける年金積立金の短期資産を除いた資産構成割合の</w:t>
      </w:r>
      <w:r w:rsidR="000A48F8">
        <w:rPr>
          <w:rFonts w:hint="eastAsia"/>
          <w:szCs w:val="27"/>
        </w:rPr>
        <w:t>各年度末時点での</w:t>
      </w:r>
      <w:r>
        <w:rPr>
          <w:rFonts w:hint="eastAsia"/>
          <w:szCs w:val="27"/>
        </w:rPr>
        <w:t>実績値の推移である。この表から、GPIFにおける年金積立金の資産構成割合の実績値は平成26年10月</w:t>
      </w:r>
      <w:r w:rsidR="000A48F8">
        <w:rPr>
          <w:rFonts w:hint="eastAsia"/>
          <w:szCs w:val="27"/>
        </w:rPr>
        <w:t>に行われた</w:t>
      </w:r>
      <w:r>
        <w:rPr>
          <w:rFonts w:hint="eastAsia"/>
          <w:szCs w:val="27"/>
        </w:rPr>
        <w:t>基本ポートフォリオ</w:t>
      </w:r>
      <w:r w:rsidR="000A48F8">
        <w:rPr>
          <w:rFonts w:hint="eastAsia"/>
          <w:szCs w:val="27"/>
        </w:rPr>
        <w:t>の変更によって平成25年末から平成26年度末にかけて実績値において国内債券の割合が大きく減少し、国内株式、外国債券、外国株式の割合が増加したことがわかり、実際の運用においても基本ポートフォリオに従っているということがわかる。</w:t>
      </w:r>
    </w:p>
    <w:p w:rsidR="00EB1870" w:rsidRDefault="00EB1870" w:rsidP="00EB1870">
      <w:pPr>
        <w:ind w:left="210" w:hangingChars="100" w:hanging="210"/>
        <w:rPr>
          <w:szCs w:val="27"/>
        </w:rPr>
      </w:pPr>
    </w:p>
    <w:p w:rsidR="00EB1870" w:rsidRPr="00DA4359" w:rsidRDefault="00EB1870" w:rsidP="00FC734E">
      <w:pPr>
        <w:rPr>
          <w:szCs w:val="27"/>
        </w:rPr>
      </w:pPr>
    </w:p>
    <w:p w:rsidR="00C07BEB" w:rsidRDefault="00C07BEB" w:rsidP="00940DD3">
      <w:pPr>
        <w:rPr>
          <w:szCs w:val="27"/>
        </w:rPr>
      </w:pPr>
    </w:p>
    <w:tbl>
      <w:tblPr>
        <w:tblpPr w:leftFromText="142" w:rightFromText="142" w:vertAnchor="text" w:horzAnchor="margin" w:tblpY="377"/>
        <w:tblW w:w="8395" w:type="dxa"/>
        <w:tblCellMar>
          <w:left w:w="0" w:type="dxa"/>
          <w:right w:w="0" w:type="dxa"/>
        </w:tblCellMar>
        <w:tblLook w:val="0420" w:firstRow="1" w:lastRow="0" w:firstColumn="0" w:lastColumn="0" w:noHBand="0" w:noVBand="1"/>
      </w:tblPr>
      <w:tblGrid>
        <w:gridCol w:w="2016"/>
        <w:gridCol w:w="1417"/>
        <w:gridCol w:w="993"/>
        <w:gridCol w:w="992"/>
        <w:gridCol w:w="992"/>
        <w:gridCol w:w="992"/>
        <w:gridCol w:w="993"/>
      </w:tblGrid>
      <w:tr w:rsidR="00C07BEB" w:rsidRPr="006F3F55" w:rsidTr="00C07BEB">
        <w:trPr>
          <w:trHeight w:val="391"/>
        </w:trPr>
        <w:tc>
          <w:tcPr>
            <w:tcW w:w="2016"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lastRenderedPageBreak/>
              <w:t>期間</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国内債券</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国内株式</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外国債券</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外国株式</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短期資産</w:t>
            </w:r>
          </w:p>
        </w:tc>
      </w:tr>
      <w:tr w:rsidR="00C07BEB" w:rsidRPr="006F3F55" w:rsidTr="00C07BEB">
        <w:trPr>
          <w:trHeight w:val="378"/>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平成18年度から</w:t>
            </w:r>
            <w:r>
              <w:rPr>
                <w:rFonts w:hint="eastAsia"/>
                <w:szCs w:val="27"/>
              </w:rPr>
              <w:t xml:space="preserve">　</w:t>
            </w:r>
            <w:r w:rsidRPr="006F3F55">
              <w:rPr>
                <w:rFonts w:hint="eastAsia"/>
                <w:szCs w:val="27"/>
              </w:rPr>
              <w:t>平成25年6月まで</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67%</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11%</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9%</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r>
      <w:tr w:rsidR="00C07BEB" w:rsidRPr="006F3F55" w:rsidTr="00C07BEB">
        <w:trPr>
          <w:trHeight w:val="121"/>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433"/>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平成25年6月から平成26年10月まで</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60%</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12%</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11%</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12%</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r>
      <w:tr w:rsidR="00C07BEB" w:rsidRPr="006F3F55" w:rsidTr="00C07BEB">
        <w:trPr>
          <w:trHeight w:val="279"/>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±6%</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416"/>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spacing w:line="480" w:lineRule="auto"/>
              <w:rPr>
                <w:szCs w:val="27"/>
              </w:rPr>
            </w:pPr>
            <w:r w:rsidRPr="006F3F55">
              <w:rPr>
                <w:rFonts w:hint="eastAsia"/>
                <w:szCs w:val="27"/>
              </w:rPr>
              <w:t>平成26年10月以降</w:t>
            </w: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資産構成割合</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35%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25%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15%</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25%</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r w:rsidR="00C07BEB" w:rsidRPr="006F3F55" w:rsidTr="00C07BEB">
        <w:trPr>
          <w:trHeight w:val="295"/>
        </w:trPr>
        <w:tc>
          <w:tcPr>
            <w:tcW w:w="2016" w:type="dxa"/>
            <w:vMerge/>
            <w:tcBorders>
              <w:top w:val="single" w:sz="8" w:space="0" w:color="000000"/>
              <w:left w:val="single" w:sz="8" w:space="0" w:color="000000"/>
              <w:bottom w:val="single" w:sz="8" w:space="0" w:color="000000"/>
              <w:right w:val="single" w:sz="8" w:space="0" w:color="000000"/>
            </w:tcBorders>
            <w:vAlign w:val="center"/>
            <w:hideMark/>
          </w:tcPr>
          <w:p w:rsidR="00C07BEB" w:rsidRPr="006F3F55" w:rsidRDefault="00C07BEB" w:rsidP="00C07BEB">
            <w:pPr>
              <w:jc w:val="center"/>
              <w:rPr>
                <w:szCs w:val="27"/>
              </w:rPr>
            </w:pPr>
          </w:p>
        </w:tc>
        <w:tc>
          <w:tcPr>
            <w:tcW w:w="1417"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乖離許容幅</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±10%</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±9%</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±4%</w:t>
            </w:r>
          </w:p>
        </w:tc>
        <w:tc>
          <w:tcPr>
            <w:tcW w:w="992"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±8%</w:t>
            </w:r>
          </w:p>
        </w:tc>
        <w:tc>
          <w:tcPr>
            <w:tcW w:w="993" w:type="dxa"/>
            <w:tcBorders>
              <w:top w:val="single" w:sz="8" w:space="0" w:color="000000"/>
              <w:left w:val="single" w:sz="8" w:space="0" w:color="000000"/>
              <w:bottom w:val="single" w:sz="8" w:space="0" w:color="000000"/>
              <w:right w:val="single" w:sz="8" w:space="0" w:color="000000"/>
            </w:tcBorders>
            <w:shd w:val="clear" w:color="auto" w:fill="EAEEF7"/>
            <w:tcMar>
              <w:top w:w="15" w:type="dxa"/>
              <w:left w:w="15" w:type="dxa"/>
              <w:bottom w:w="0" w:type="dxa"/>
              <w:right w:w="15" w:type="dxa"/>
            </w:tcMar>
            <w:hideMark/>
          </w:tcPr>
          <w:p w:rsidR="00C07BEB" w:rsidRPr="006F3F55" w:rsidRDefault="00C07BEB" w:rsidP="00C07BEB">
            <w:pPr>
              <w:jc w:val="center"/>
              <w:rPr>
                <w:szCs w:val="27"/>
              </w:rPr>
            </w:pPr>
            <w:r w:rsidRPr="006F3F55">
              <w:rPr>
                <w:rFonts w:hint="eastAsia"/>
                <w:szCs w:val="27"/>
              </w:rPr>
              <w:t>‐</w:t>
            </w:r>
          </w:p>
        </w:tc>
      </w:tr>
    </w:tbl>
    <w:p w:rsidR="006F3F55" w:rsidRDefault="0056518E" w:rsidP="0056518E">
      <w:pPr>
        <w:jc w:val="center"/>
        <w:rPr>
          <w:szCs w:val="27"/>
        </w:rPr>
      </w:pPr>
      <w:r>
        <w:rPr>
          <w:rFonts w:hint="eastAsia"/>
          <w:szCs w:val="27"/>
        </w:rPr>
        <w:t>表2-1　GPIFの基本ポートフォリオの変遷</w:t>
      </w:r>
    </w:p>
    <w:p w:rsidR="000E2C08" w:rsidRDefault="00850236" w:rsidP="00940DD3">
      <w:pPr>
        <w:rPr>
          <w:szCs w:val="27"/>
        </w:rPr>
      </w:pPr>
      <w:r w:rsidRPr="00850236">
        <w:rPr>
          <w:noProof/>
          <w:szCs w:val="27"/>
        </w:rPr>
        <w:drawing>
          <wp:inline distT="0" distB="0" distL="0" distR="0" wp14:anchorId="32F61B88" wp14:editId="3F367F6E">
            <wp:extent cx="5400040" cy="346202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2C08" w:rsidRDefault="001A2F1F" w:rsidP="001A2F1F">
      <w:pPr>
        <w:jc w:val="center"/>
        <w:rPr>
          <w:szCs w:val="27"/>
        </w:rPr>
      </w:pPr>
      <w:r>
        <w:rPr>
          <w:rFonts w:hint="eastAsia"/>
          <w:szCs w:val="27"/>
        </w:rPr>
        <w:t>図2-1　GPIFの資産構成割合の実績値の推移(短期資産を除く)</w:t>
      </w:r>
    </w:p>
    <w:p w:rsidR="000E2C08" w:rsidRDefault="000E2C08" w:rsidP="00940DD3">
      <w:pPr>
        <w:rPr>
          <w:szCs w:val="27"/>
        </w:rPr>
      </w:pPr>
    </w:p>
    <w:p w:rsidR="000E2C08" w:rsidRDefault="000E2C08" w:rsidP="00940DD3">
      <w:pPr>
        <w:rPr>
          <w:szCs w:val="27"/>
        </w:rPr>
      </w:pPr>
    </w:p>
    <w:p w:rsidR="000E2C08" w:rsidRDefault="000E2C08" w:rsidP="00940DD3">
      <w:pPr>
        <w:rPr>
          <w:szCs w:val="27"/>
        </w:rPr>
      </w:pPr>
    </w:p>
    <w:p w:rsidR="000E2C08" w:rsidRDefault="000E2C08"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5267E9" w:rsidRDefault="005267E9" w:rsidP="00940DD3">
      <w:pPr>
        <w:rPr>
          <w:szCs w:val="27"/>
        </w:rPr>
      </w:pPr>
    </w:p>
    <w:p w:rsidR="00E06E03" w:rsidRPr="009318C9" w:rsidRDefault="00E06E03" w:rsidP="00E06E03">
      <w:pPr>
        <w:widowControl/>
        <w:jc w:val="left"/>
        <w:rPr>
          <w:szCs w:val="27"/>
        </w:rPr>
      </w:pPr>
    </w:p>
    <w:p w:rsidR="00E06E03" w:rsidRPr="00E06E03" w:rsidRDefault="009318C9" w:rsidP="006F5349">
      <w:pPr>
        <w:pStyle w:val="1"/>
      </w:pPr>
      <w:bookmarkStart w:id="8" w:name="_Toc503411931"/>
      <w:r>
        <w:rPr>
          <w:rFonts w:hint="eastAsia"/>
        </w:rPr>
        <w:lastRenderedPageBreak/>
        <w:t>第</w:t>
      </w:r>
      <w:r>
        <w:rPr>
          <w:rFonts w:hint="eastAsia"/>
        </w:rPr>
        <w:t>3</w:t>
      </w:r>
      <w:r>
        <w:rPr>
          <w:rFonts w:hint="eastAsia"/>
        </w:rPr>
        <w:t>章</w:t>
      </w:r>
      <w:r w:rsidR="00E06E03">
        <w:rPr>
          <w:rFonts w:hint="eastAsia"/>
        </w:rPr>
        <w:t xml:space="preserve">　</w:t>
      </w:r>
      <w:r w:rsidR="00E06E03" w:rsidRPr="00E06E03">
        <w:rPr>
          <w:rFonts w:hint="eastAsia"/>
        </w:rPr>
        <w:t>GPIF</w:t>
      </w:r>
      <w:r w:rsidR="00E06E03" w:rsidRPr="00E06E03">
        <w:rPr>
          <w:rFonts w:hint="eastAsia"/>
        </w:rPr>
        <w:t>による年金積立金の運用に関する先行研究</w:t>
      </w:r>
      <w:bookmarkEnd w:id="8"/>
    </w:p>
    <w:p w:rsidR="00204765" w:rsidRDefault="00164FB4" w:rsidP="00E06E03">
      <w:r>
        <w:rPr>
          <w:rFonts w:hint="eastAsia"/>
        </w:rPr>
        <w:t xml:space="preserve">　本章ではGPIFによる</w:t>
      </w:r>
      <w:r w:rsidRPr="00E06E03">
        <w:rPr>
          <w:rFonts w:hint="eastAsia"/>
        </w:rPr>
        <w:t>年金積立金の運用に関する先行研究</w:t>
      </w:r>
      <w:r w:rsidR="003102EE">
        <w:rPr>
          <w:rFonts w:hint="eastAsia"/>
        </w:rPr>
        <w:t>を中心に年金制度に関する先行研究</w:t>
      </w:r>
      <w:r>
        <w:rPr>
          <w:rFonts w:hint="eastAsia"/>
        </w:rPr>
        <w:t>に触れ</w:t>
      </w:r>
      <w:r w:rsidR="002E09C7">
        <w:rPr>
          <w:rFonts w:hint="eastAsia"/>
        </w:rPr>
        <w:t>た上で</w:t>
      </w:r>
      <w:r>
        <w:rPr>
          <w:rFonts w:hint="eastAsia"/>
        </w:rPr>
        <w:t>、</w:t>
      </w:r>
      <w:r w:rsidR="0073013C">
        <w:rPr>
          <w:rFonts w:hint="eastAsia"/>
        </w:rPr>
        <w:t>GPIFによる</w:t>
      </w:r>
      <w:r w:rsidR="0073013C" w:rsidRPr="00E06E03">
        <w:rPr>
          <w:rFonts w:hint="eastAsia"/>
        </w:rPr>
        <w:t>年金積立金の運用に関する</w:t>
      </w:r>
      <w:r w:rsidR="0073013C">
        <w:rPr>
          <w:rFonts w:hint="eastAsia"/>
        </w:rPr>
        <w:t>問題点を明らかにし、</w:t>
      </w:r>
      <w:r>
        <w:rPr>
          <w:rFonts w:hint="eastAsia"/>
        </w:rPr>
        <w:t>本論文における</w:t>
      </w:r>
      <w:r w:rsidR="0073013C">
        <w:rPr>
          <w:rFonts w:hint="eastAsia"/>
        </w:rPr>
        <w:t>リサーチクエスチョン</w:t>
      </w:r>
      <w:r w:rsidR="00204765">
        <w:rPr>
          <w:rFonts w:hint="eastAsia"/>
        </w:rPr>
        <w:t>を提示する。</w:t>
      </w:r>
    </w:p>
    <w:p w:rsidR="00E06E03" w:rsidRPr="00164FB4" w:rsidRDefault="00E06E03" w:rsidP="00E06E03"/>
    <w:p w:rsidR="00E06E03" w:rsidRPr="00E06E03" w:rsidRDefault="00E06E03" w:rsidP="006F5349">
      <w:pPr>
        <w:pStyle w:val="2"/>
      </w:pPr>
      <w:r w:rsidRPr="00E06E03">
        <w:rPr>
          <w:rFonts w:hint="eastAsia"/>
        </w:rPr>
        <w:t xml:space="preserve">　</w:t>
      </w:r>
      <w:bookmarkStart w:id="9" w:name="_Toc503411932"/>
      <w:r w:rsidRPr="00E06E03">
        <w:rPr>
          <w:rFonts w:hint="eastAsia"/>
        </w:rPr>
        <w:t>3.1</w:t>
      </w:r>
      <w:r w:rsidRPr="00E06E03">
        <w:rPr>
          <w:rFonts w:hint="eastAsia"/>
        </w:rPr>
        <w:t xml:space="preserve">　　定性的な先行研究</w:t>
      </w:r>
      <w:bookmarkEnd w:id="9"/>
    </w:p>
    <w:p w:rsidR="00E06E03" w:rsidRDefault="00251919" w:rsidP="00BE62E7">
      <w:pPr>
        <w:widowControl/>
        <w:ind w:left="210" w:hangingChars="100" w:hanging="210"/>
        <w:jc w:val="left"/>
        <w:rPr>
          <w:szCs w:val="27"/>
        </w:rPr>
      </w:pPr>
      <w:r>
        <w:rPr>
          <w:rFonts w:hint="eastAsia"/>
          <w:szCs w:val="27"/>
        </w:rPr>
        <w:t xml:space="preserve">　　まず、</w:t>
      </w:r>
      <w:r w:rsidR="006F11BD">
        <w:rPr>
          <w:rFonts w:hint="eastAsia"/>
          <w:szCs w:val="27"/>
        </w:rPr>
        <w:t>定性的な先行研究としては</w:t>
      </w:r>
      <w:r w:rsidR="002E09C7">
        <w:rPr>
          <w:rFonts w:hint="eastAsia"/>
          <w:szCs w:val="27"/>
        </w:rPr>
        <w:t>伊藤(平成</w:t>
      </w:r>
      <w:r w:rsidR="00BE62E7">
        <w:rPr>
          <w:rFonts w:hint="eastAsia"/>
          <w:szCs w:val="27"/>
        </w:rPr>
        <w:t>27</w:t>
      </w:r>
      <w:r w:rsidR="002E09C7">
        <w:rPr>
          <w:rFonts w:hint="eastAsia"/>
          <w:szCs w:val="27"/>
        </w:rPr>
        <w:t>)</w:t>
      </w:r>
      <w:r w:rsidR="00BE62E7">
        <w:rPr>
          <w:rFonts w:hint="eastAsia"/>
          <w:szCs w:val="27"/>
        </w:rPr>
        <w:t>があげられる。その内容としては、年金の財政悪化を防ぐためには年金保険料の引き上げ、給付水準の切り下げ、税金投入の追加、GPIFのリターンの改善しかないとしている。既に、GPIFのリターンの改善以外は行われており、今後のさらなる国民や財政への負担の増加は難しいと考えられるため、GPIFのリターンの改善は重要であると考えられる。</w:t>
      </w:r>
    </w:p>
    <w:p w:rsidR="00BE62E7" w:rsidRDefault="00BE62E7" w:rsidP="00BE62E7">
      <w:pPr>
        <w:widowControl/>
        <w:ind w:left="210" w:hangingChars="100" w:hanging="210"/>
        <w:jc w:val="left"/>
        <w:rPr>
          <w:szCs w:val="27"/>
        </w:rPr>
      </w:pPr>
    </w:p>
    <w:p w:rsidR="00E06E03" w:rsidRPr="00E06E03" w:rsidRDefault="00E06E03" w:rsidP="006F5349">
      <w:pPr>
        <w:pStyle w:val="2"/>
      </w:pPr>
      <w:r w:rsidRPr="00E06E03">
        <w:rPr>
          <w:rFonts w:hint="eastAsia"/>
        </w:rPr>
        <w:t xml:space="preserve">　</w:t>
      </w:r>
      <w:bookmarkStart w:id="10" w:name="_Toc503411933"/>
      <w:r w:rsidRPr="00E06E03">
        <w:rPr>
          <w:rFonts w:hint="eastAsia"/>
        </w:rPr>
        <w:t>3.2</w:t>
      </w:r>
      <w:r w:rsidRPr="00E06E03">
        <w:rPr>
          <w:rFonts w:hint="eastAsia"/>
        </w:rPr>
        <w:t xml:space="preserve">　　定量的な先行研究</w:t>
      </w:r>
      <w:bookmarkEnd w:id="10"/>
    </w:p>
    <w:p w:rsidR="00E06E03" w:rsidRDefault="00E06E03" w:rsidP="00E06E03">
      <w:pPr>
        <w:widowControl/>
        <w:jc w:val="left"/>
        <w:rPr>
          <w:szCs w:val="27"/>
        </w:rPr>
      </w:pPr>
    </w:p>
    <w:p w:rsidR="00E06E03" w:rsidRDefault="00E06E03" w:rsidP="006F5349">
      <w:pPr>
        <w:pStyle w:val="2"/>
      </w:pPr>
      <w:r w:rsidRPr="00E06E03">
        <w:rPr>
          <w:rFonts w:hint="eastAsia"/>
        </w:rPr>
        <w:t xml:space="preserve">　</w:t>
      </w:r>
      <w:bookmarkStart w:id="11" w:name="_Toc503411934"/>
      <w:r w:rsidRPr="00E06E03">
        <w:rPr>
          <w:rFonts w:hint="eastAsia"/>
        </w:rPr>
        <w:t>3.3</w:t>
      </w:r>
      <w:r w:rsidRPr="00E06E03">
        <w:rPr>
          <w:rFonts w:hint="eastAsia"/>
        </w:rPr>
        <w:t xml:space="preserve">　　本論文におけるリサーチクエスチョン</w:t>
      </w:r>
      <w:bookmarkEnd w:id="11"/>
    </w:p>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E65AA" w:rsidRDefault="00CE65AA" w:rsidP="00CE65AA"/>
    <w:p w:rsidR="00C003F9" w:rsidRDefault="00C003F9" w:rsidP="006F5349">
      <w:pPr>
        <w:pStyle w:val="1"/>
      </w:pPr>
      <w:bookmarkStart w:id="12" w:name="_Toc503411935"/>
      <w:r w:rsidRPr="00EC6AA4">
        <w:rPr>
          <w:rFonts w:hint="eastAsia"/>
        </w:rPr>
        <w:t>第</w:t>
      </w:r>
      <w:r w:rsidRPr="00EC6AA4">
        <w:rPr>
          <w:rFonts w:hint="eastAsia"/>
        </w:rPr>
        <w:t>4</w:t>
      </w:r>
      <w:r w:rsidRPr="00EC6AA4">
        <w:rPr>
          <w:rFonts w:hint="eastAsia"/>
        </w:rPr>
        <w:t xml:space="preserve">章　</w:t>
      </w:r>
      <w:r w:rsidR="00524FA4">
        <w:rPr>
          <w:rFonts w:hint="eastAsia"/>
        </w:rPr>
        <w:t>GPIF</w:t>
      </w:r>
      <w:r w:rsidRPr="00C003F9">
        <w:rPr>
          <w:rFonts w:hint="eastAsia"/>
        </w:rPr>
        <w:t>による年金積立金の基本ポートフォリオの分析</w:t>
      </w:r>
      <w:bookmarkEnd w:id="12"/>
    </w:p>
    <w:p w:rsidR="00164FB4" w:rsidRDefault="00164FB4" w:rsidP="00C91B73">
      <w:pPr>
        <w:ind w:firstLineChars="100" w:firstLine="210"/>
      </w:pPr>
      <w:r>
        <w:rPr>
          <w:rFonts w:hint="eastAsia"/>
        </w:rPr>
        <w:t>本章では、実際に過去の証券データを用いて実際に分析を行い、</w:t>
      </w:r>
      <w:r w:rsidR="000D32F6">
        <w:rPr>
          <w:rFonts w:hint="eastAsia"/>
        </w:rPr>
        <w:t>平成26年10月までの基本ポートフォリオと現行の基本ポートフォリオとの比較を</w:t>
      </w:r>
      <w:r w:rsidR="00C91B73">
        <w:rPr>
          <w:rFonts w:hint="eastAsia"/>
        </w:rPr>
        <w:t>2つのポートフォリオ以外の運用期間などといった条件をそろえた上で</w:t>
      </w:r>
      <w:r w:rsidR="000D32F6">
        <w:rPr>
          <w:rFonts w:hint="eastAsia"/>
        </w:rPr>
        <w:t>行</w:t>
      </w:r>
      <w:r w:rsidR="00C91B73">
        <w:rPr>
          <w:rFonts w:hint="eastAsia"/>
        </w:rPr>
        <w:t>うことによって、平成26年10月までの基本ポートフォリオと現行の基本ポートフォリオのどちらの方が</w:t>
      </w:r>
    </w:p>
    <w:p w:rsidR="00C91B73" w:rsidRPr="00164FB4" w:rsidRDefault="00C91B73" w:rsidP="00C91B73">
      <w:pPr>
        <w:ind w:firstLineChars="100" w:firstLine="210"/>
      </w:pPr>
    </w:p>
    <w:p w:rsidR="00C003F9" w:rsidRPr="00EC6AA4" w:rsidRDefault="00C003F9" w:rsidP="006F5349">
      <w:pPr>
        <w:pStyle w:val="2"/>
        <w:ind w:firstLineChars="100" w:firstLine="280"/>
      </w:pPr>
      <w:bookmarkStart w:id="13" w:name="_Toc503411936"/>
      <w:r w:rsidRPr="00EC6AA4">
        <w:rPr>
          <w:rFonts w:hint="eastAsia"/>
        </w:rPr>
        <w:t>4.1</w:t>
      </w:r>
      <w:r>
        <w:rPr>
          <w:rFonts w:hint="eastAsia"/>
        </w:rPr>
        <w:t xml:space="preserve">　分析対象データについて</w:t>
      </w:r>
      <w:bookmarkEnd w:id="13"/>
    </w:p>
    <w:p w:rsidR="009B1F42" w:rsidRDefault="00C003F9" w:rsidP="0020780D">
      <w:pPr>
        <w:widowControl/>
        <w:jc w:val="left"/>
        <w:rPr>
          <w:szCs w:val="27"/>
        </w:rPr>
      </w:pPr>
      <w:r>
        <w:rPr>
          <w:szCs w:val="27"/>
        </w:rPr>
        <w:t xml:space="preserve">　本論文で扱う分析の</w:t>
      </w:r>
      <w:r w:rsidR="0062396D">
        <w:rPr>
          <w:rFonts w:hint="eastAsia"/>
          <w:szCs w:val="27"/>
        </w:rPr>
        <w:t>対象とする</w:t>
      </w:r>
      <w:r>
        <w:rPr>
          <w:szCs w:val="27"/>
        </w:rPr>
        <w:t>データについての説明を行う。</w:t>
      </w:r>
      <w:r w:rsidR="00FA2DA6">
        <w:rPr>
          <w:rFonts w:hint="eastAsia"/>
          <w:szCs w:val="27"/>
        </w:rPr>
        <w:t>本論文では</w:t>
      </w:r>
      <w:r w:rsidR="0062396D">
        <w:rPr>
          <w:rFonts w:hint="eastAsia"/>
          <w:szCs w:val="27"/>
        </w:rPr>
        <w:t>国内債券、国内株式、外国債券、外国株式の</w:t>
      </w:r>
      <w:r w:rsidR="008A198D">
        <w:rPr>
          <w:rFonts w:hint="eastAsia"/>
          <w:szCs w:val="27"/>
        </w:rPr>
        <w:t>各資産における</w:t>
      </w:r>
      <w:r w:rsidR="005320A5">
        <w:rPr>
          <w:rFonts w:hint="eastAsia"/>
          <w:szCs w:val="27"/>
        </w:rPr>
        <w:t>指標の</w:t>
      </w:r>
      <w:r w:rsidR="002C098D">
        <w:rPr>
          <w:rFonts w:hint="eastAsia"/>
          <w:szCs w:val="27"/>
        </w:rPr>
        <w:t>月次収益率を</w:t>
      </w:r>
      <w:r w:rsidR="00F95CE2">
        <w:rPr>
          <w:rFonts w:hint="eastAsia"/>
          <w:szCs w:val="27"/>
        </w:rPr>
        <w:t>利用し、年次収益率に換算したものを使用</w:t>
      </w:r>
      <w:r w:rsidR="008A198D">
        <w:rPr>
          <w:rFonts w:hint="eastAsia"/>
          <w:szCs w:val="27"/>
        </w:rPr>
        <w:t>した。</w:t>
      </w:r>
    </w:p>
    <w:p w:rsidR="009B1F42" w:rsidRDefault="00940DD3" w:rsidP="009B1F42">
      <w:pPr>
        <w:widowControl/>
        <w:ind w:firstLineChars="100" w:firstLine="210"/>
        <w:jc w:val="left"/>
        <w:rPr>
          <w:szCs w:val="27"/>
        </w:rPr>
      </w:pPr>
      <w:r>
        <w:rPr>
          <w:rFonts w:hint="eastAsia"/>
          <w:szCs w:val="27"/>
        </w:rPr>
        <w:t>また、データの取得期間は年金積立金の</w:t>
      </w:r>
      <w:r w:rsidR="00FC734E">
        <w:rPr>
          <w:rFonts w:hint="eastAsia"/>
          <w:szCs w:val="27"/>
        </w:rPr>
        <w:t>市場</w:t>
      </w:r>
      <w:r>
        <w:rPr>
          <w:rFonts w:hint="eastAsia"/>
          <w:szCs w:val="27"/>
        </w:rPr>
        <w:t>運用が開始された平成13年度から平成28年度とした。具体的なデータと取得元は表4.1の通りである。</w:t>
      </w:r>
      <w:r w:rsidR="005141FF">
        <w:rPr>
          <w:rFonts w:hint="eastAsia"/>
          <w:szCs w:val="27"/>
        </w:rPr>
        <w:t>国内債券、国内株式、外国株式の資産クラスにおいて、今回使用する指標はGPIFがベンチマークとしている指標である。</w:t>
      </w:r>
    </w:p>
    <w:p w:rsidR="0062396D" w:rsidRPr="00D41994" w:rsidRDefault="009B1F42" w:rsidP="009B1F42">
      <w:pPr>
        <w:widowControl/>
        <w:ind w:firstLineChars="100" w:firstLine="210"/>
        <w:jc w:val="left"/>
        <w:rPr>
          <w:szCs w:val="27"/>
        </w:rPr>
      </w:pPr>
      <w:r>
        <w:rPr>
          <w:rFonts w:hint="eastAsia"/>
          <w:szCs w:val="27"/>
        </w:rPr>
        <w:t>外</w:t>
      </w:r>
      <w:r w:rsidR="005141FF">
        <w:rPr>
          <w:rFonts w:hint="eastAsia"/>
          <w:szCs w:val="27"/>
        </w:rPr>
        <w:t>国債券に関しては</w:t>
      </w:r>
      <w:r w:rsidR="00D41994">
        <w:rPr>
          <w:rFonts w:hint="eastAsia"/>
          <w:szCs w:val="27"/>
        </w:rPr>
        <w:t>、GPIFのベンチマークには</w:t>
      </w:r>
      <w:r w:rsidR="00D41994" w:rsidRPr="00D41994">
        <w:rPr>
          <w:rFonts w:hint="eastAsia"/>
          <w:szCs w:val="27"/>
        </w:rPr>
        <w:t>シティ世界国債インデックス（除く日本、ヘッジなし、円ベース）</w:t>
      </w:r>
      <w:r w:rsidR="00D41994">
        <w:rPr>
          <w:rFonts w:hint="eastAsia"/>
          <w:szCs w:val="27"/>
        </w:rPr>
        <w:t>が採用されているが、本論文では組入対象通貨や組入銘柄が多い</w:t>
      </w:r>
      <w:r w:rsidR="00D41994" w:rsidRPr="0062396D">
        <w:rPr>
          <w:rFonts w:ascii="游ゴシック" w:eastAsia="游ゴシック" w:hAnsi="游ゴシック" w:cs="ＭＳ Ｐゴシック" w:hint="eastAsia"/>
          <w:color w:val="000000"/>
          <w:kern w:val="0"/>
        </w:rPr>
        <w:t>Barclays Capital Global Aggregate Bond Index(円ベース)</w:t>
      </w:r>
      <w:r w:rsidR="00D41994">
        <w:rPr>
          <w:rFonts w:ascii="游ゴシック" w:eastAsia="游ゴシック" w:hAnsi="游ゴシック" w:cs="ＭＳ Ｐゴシック" w:hint="eastAsia"/>
          <w:color w:val="000000"/>
          <w:kern w:val="0"/>
        </w:rPr>
        <w:t>を採用した。</w:t>
      </w:r>
    </w:p>
    <w:p w:rsidR="00C55CD3" w:rsidRDefault="009B1F42" w:rsidP="0020780D">
      <w:pPr>
        <w:widowControl/>
        <w:jc w:val="left"/>
      </w:pPr>
      <w:r>
        <w:rPr>
          <w:rFonts w:hint="eastAsia"/>
          <w:szCs w:val="27"/>
        </w:rPr>
        <w:t xml:space="preserve">　また、</w:t>
      </w:r>
      <w:r>
        <w:rPr>
          <w:rFonts w:hint="eastAsia"/>
        </w:rPr>
        <w:t>平成26年10月までの基本ポートフォリオに関しては5%の短期資産が存在しているが、現行の基本ポートフォリオは各資産の乖離許容幅の中に短期資産が内包されているため今回は、伝統的4資産に短期資産の資産構成割合を当配分することとした。表4.1は平成26年10月までの基本ポートフォリオに対して短期資産部分を当配分した後の2つの基本ポートフォリオであり、今回の分析で用いる基本ポートフォリオである。</w:t>
      </w: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C55CD3">
      <w:pPr>
        <w:widowControl/>
        <w:jc w:val="center"/>
        <w:rPr>
          <w:szCs w:val="27"/>
        </w:rPr>
      </w:pPr>
      <w:r>
        <w:rPr>
          <w:rFonts w:hint="eastAsia"/>
          <w:szCs w:val="27"/>
        </w:rPr>
        <w:lastRenderedPageBreak/>
        <w:t>表4-1　取得したデータの内容とデータの取得元</w:t>
      </w:r>
    </w:p>
    <w:p w:rsidR="00C55CD3" w:rsidRDefault="00C55CD3" w:rsidP="0020780D">
      <w:pPr>
        <w:widowControl/>
        <w:jc w:val="left"/>
      </w:pPr>
    </w:p>
    <w:tbl>
      <w:tblPr>
        <w:tblpPr w:leftFromText="142" w:rightFromText="142" w:vertAnchor="text" w:horzAnchor="margin" w:tblpXSpec="center" w:tblpY="-62"/>
        <w:tblW w:w="8075" w:type="dxa"/>
        <w:tblCellMar>
          <w:left w:w="99" w:type="dxa"/>
          <w:right w:w="99" w:type="dxa"/>
        </w:tblCellMar>
        <w:tblLook w:val="04A0" w:firstRow="1" w:lastRow="0" w:firstColumn="1" w:lastColumn="0" w:noHBand="0" w:noVBand="1"/>
      </w:tblPr>
      <w:tblGrid>
        <w:gridCol w:w="1271"/>
        <w:gridCol w:w="4820"/>
        <w:gridCol w:w="1243"/>
        <w:gridCol w:w="741"/>
      </w:tblGrid>
      <w:tr w:rsidR="00C55CD3" w:rsidRPr="0062396D" w:rsidTr="00C55CD3">
        <w:trPr>
          <w:trHeight w:val="36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資産クラス</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データ</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取得元</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期間</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国内債券</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NOMURA-BPI「除くABS」</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国内株式</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TOPIX（配当込み）</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外国債券</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Barclays Capital Global Aggregate Bond Index　(円ベース)</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r w:rsidR="00C55CD3" w:rsidRPr="0062396D" w:rsidTr="00C55CD3">
        <w:trPr>
          <w:trHeight w:val="36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外国株式</w:t>
            </w:r>
          </w:p>
        </w:tc>
        <w:tc>
          <w:tcPr>
            <w:tcW w:w="4820"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MSCI KOKUSAI（円ベース、配当込み）</w:t>
            </w:r>
          </w:p>
        </w:tc>
        <w:tc>
          <w:tcPr>
            <w:tcW w:w="1243"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Bloomberg</w:t>
            </w:r>
          </w:p>
        </w:tc>
        <w:tc>
          <w:tcPr>
            <w:tcW w:w="741" w:type="dxa"/>
            <w:tcBorders>
              <w:top w:val="nil"/>
              <w:left w:val="nil"/>
              <w:bottom w:val="single" w:sz="4" w:space="0" w:color="auto"/>
              <w:right w:val="single" w:sz="4" w:space="0" w:color="auto"/>
            </w:tcBorders>
            <w:shd w:val="clear" w:color="auto" w:fill="auto"/>
            <w:noWrap/>
            <w:vAlign w:val="center"/>
            <w:hideMark/>
          </w:tcPr>
          <w:p w:rsidR="00C55CD3" w:rsidRPr="0062396D" w:rsidRDefault="00C55CD3" w:rsidP="00C55CD3">
            <w:pPr>
              <w:widowControl/>
              <w:jc w:val="center"/>
              <w:rPr>
                <w:rFonts w:ascii="游ゴシック" w:eastAsia="游ゴシック" w:hAnsi="游ゴシック" w:cs="ＭＳ Ｐゴシック"/>
                <w:color w:val="000000"/>
                <w:kern w:val="0"/>
              </w:rPr>
            </w:pPr>
            <w:r w:rsidRPr="0062396D">
              <w:rPr>
                <w:rFonts w:ascii="游ゴシック" w:eastAsia="游ゴシック" w:hAnsi="游ゴシック" w:cs="ＭＳ Ｐゴシック" w:hint="eastAsia"/>
                <w:color w:val="000000"/>
                <w:kern w:val="0"/>
              </w:rPr>
              <w:t>月次</w:t>
            </w:r>
          </w:p>
        </w:tc>
      </w:tr>
    </w:tbl>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C55CD3">
      <w:pPr>
        <w:widowControl/>
        <w:jc w:val="center"/>
      </w:pPr>
      <w:r>
        <w:rPr>
          <w:rFonts w:hint="eastAsia"/>
        </w:rPr>
        <w:t>表4-2　今回の分析で用いる基本ポートフォリオの構成割合</w:t>
      </w:r>
    </w:p>
    <w:p w:rsidR="00C55CD3" w:rsidRDefault="00C55CD3" w:rsidP="0020780D">
      <w:pPr>
        <w:widowControl/>
        <w:jc w:val="left"/>
      </w:pPr>
    </w:p>
    <w:tbl>
      <w:tblPr>
        <w:tblStyle w:val="ac"/>
        <w:tblpPr w:leftFromText="142" w:rightFromText="142" w:vertAnchor="text" w:horzAnchor="margin" w:tblpXSpec="center" w:tblpYSpec="outside"/>
        <w:tblW w:w="7376" w:type="dxa"/>
        <w:tblLook w:val="0600" w:firstRow="0" w:lastRow="0" w:firstColumn="0" w:lastColumn="0" w:noHBand="1" w:noVBand="1"/>
      </w:tblPr>
      <w:tblGrid>
        <w:gridCol w:w="2817"/>
        <w:gridCol w:w="1157"/>
        <w:gridCol w:w="1115"/>
        <w:gridCol w:w="1153"/>
        <w:gridCol w:w="1134"/>
      </w:tblGrid>
      <w:tr w:rsidR="00C55CD3" w:rsidRPr="009B1F42" w:rsidTr="00C55CD3">
        <w:trPr>
          <w:trHeight w:val="674"/>
        </w:trPr>
        <w:tc>
          <w:tcPr>
            <w:tcW w:w="2817" w:type="dxa"/>
            <w:hideMark/>
          </w:tcPr>
          <w:p w:rsidR="00C55CD3" w:rsidRPr="009B1F42" w:rsidRDefault="00C55CD3" w:rsidP="00C55CD3">
            <w:pPr>
              <w:widowControl/>
              <w:jc w:val="center"/>
              <w:rPr>
                <w:szCs w:val="27"/>
              </w:rPr>
            </w:pPr>
          </w:p>
        </w:tc>
        <w:tc>
          <w:tcPr>
            <w:tcW w:w="1157" w:type="dxa"/>
            <w:hideMark/>
          </w:tcPr>
          <w:p w:rsidR="00C55CD3" w:rsidRPr="009B1F42" w:rsidRDefault="00C55CD3" w:rsidP="00C55CD3">
            <w:pPr>
              <w:widowControl/>
              <w:jc w:val="left"/>
              <w:rPr>
                <w:szCs w:val="27"/>
              </w:rPr>
            </w:pPr>
            <w:r w:rsidRPr="009B1F42">
              <w:rPr>
                <w:rFonts w:hint="eastAsia"/>
                <w:szCs w:val="27"/>
              </w:rPr>
              <w:t>国内債券</w:t>
            </w:r>
          </w:p>
        </w:tc>
        <w:tc>
          <w:tcPr>
            <w:tcW w:w="1115" w:type="dxa"/>
            <w:hideMark/>
          </w:tcPr>
          <w:p w:rsidR="00C55CD3" w:rsidRPr="009B1F42" w:rsidRDefault="00C55CD3" w:rsidP="00C55CD3">
            <w:pPr>
              <w:widowControl/>
              <w:jc w:val="left"/>
              <w:rPr>
                <w:szCs w:val="27"/>
              </w:rPr>
            </w:pPr>
            <w:r w:rsidRPr="009B1F42">
              <w:rPr>
                <w:rFonts w:hint="eastAsia"/>
                <w:szCs w:val="27"/>
              </w:rPr>
              <w:t>国内株式</w:t>
            </w:r>
          </w:p>
        </w:tc>
        <w:tc>
          <w:tcPr>
            <w:tcW w:w="1153" w:type="dxa"/>
            <w:hideMark/>
          </w:tcPr>
          <w:p w:rsidR="00C55CD3" w:rsidRPr="009B1F42" w:rsidRDefault="00C55CD3" w:rsidP="00C55CD3">
            <w:pPr>
              <w:widowControl/>
              <w:jc w:val="left"/>
              <w:rPr>
                <w:szCs w:val="27"/>
              </w:rPr>
            </w:pPr>
            <w:r w:rsidRPr="009B1F42">
              <w:rPr>
                <w:rFonts w:hint="eastAsia"/>
                <w:szCs w:val="27"/>
              </w:rPr>
              <w:t>外国債券</w:t>
            </w:r>
          </w:p>
        </w:tc>
        <w:tc>
          <w:tcPr>
            <w:tcW w:w="1134" w:type="dxa"/>
            <w:hideMark/>
          </w:tcPr>
          <w:p w:rsidR="00C55CD3" w:rsidRPr="009B1F42" w:rsidRDefault="00C55CD3" w:rsidP="00C55CD3">
            <w:pPr>
              <w:widowControl/>
              <w:jc w:val="left"/>
              <w:rPr>
                <w:szCs w:val="27"/>
              </w:rPr>
            </w:pPr>
            <w:r w:rsidRPr="009B1F42">
              <w:rPr>
                <w:rFonts w:hint="eastAsia"/>
                <w:szCs w:val="27"/>
              </w:rPr>
              <w:t>外国株式</w:t>
            </w:r>
          </w:p>
        </w:tc>
      </w:tr>
      <w:tr w:rsidR="00C55CD3" w:rsidRPr="009B1F42" w:rsidTr="00C55CD3">
        <w:trPr>
          <w:trHeight w:val="527"/>
        </w:trPr>
        <w:tc>
          <w:tcPr>
            <w:tcW w:w="2817" w:type="dxa"/>
            <w:hideMark/>
          </w:tcPr>
          <w:p w:rsidR="00C55CD3" w:rsidRPr="009B1F42" w:rsidRDefault="00C55CD3" w:rsidP="00C55CD3">
            <w:pPr>
              <w:widowControl/>
              <w:jc w:val="left"/>
              <w:rPr>
                <w:szCs w:val="27"/>
              </w:rPr>
            </w:pPr>
            <w:r w:rsidRPr="009B1F42">
              <w:rPr>
                <w:rFonts w:hint="eastAsia"/>
                <w:szCs w:val="27"/>
              </w:rPr>
              <w:t>平成</w:t>
            </w:r>
            <w:r w:rsidRPr="009B1F42">
              <w:rPr>
                <w:szCs w:val="27"/>
              </w:rPr>
              <w:t>26</w:t>
            </w:r>
            <w:r w:rsidRPr="009B1F42">
              <w:rPr>
                <w:rFonts w:hint="eastAsia"/>
                <w:szCs w:val="27"/>
              </w:rPr>
              <w:t>年</w:t>
            </w:r>
            <w:r w:rsidRPr="009B1F42">
              <w:rPr>
                <w:szCs w:val="27"/>
              </w:rPr>
              <w:t>10</w:t>
            </w:r>
            <w:r w:rsidRPr="009B1F42">
              <w:rPr>
                <w:rFonts w:hint="eastAsia"/>
                <w:szCs w:val="27"/>
              </w:rPr>
              <w:t>月までの基本ポートフォリオ</w:t>
            </w:r>
          </w:p>
        </w:tc>
        <w:tc>
          <w:tcPr>
            <w:tcW w:w="1157" w:type="dxa"/>
            <w:hideMark/>
          </w:tcPr>
          <w:p w:rsidR="00C55CD3" w:rsidRPr="009B1F42" w:rsidRDefault="00C55CD3" w:rsidP="00C55CD3">
            <w:pPr>
              <w:widowControl/>
              <w:jc w:val="left"/>
              <w:rPr>
                <w:szCs w:val="27"/>
              </w:rPr>
            </w:pPr>
            <w:r w:rsidRPr="009B1F42">
              <w:rPr>
                <w:rFonts w:hint="eastAsia"/>
                <w:szCs w:val="27"/>
              </w:rPr>
              <w:t>61.25%</w:t>
            </w:r>
          </w:p>
        </w:tc>
        <w:tc>
          <w:tcPr>
            <w:tcW w:w="1115" w:type="dxa"/>
            <w:hideMark/>
          </w:tcPr>
          <w:p w:rsidR="00C55CD3" w:rsidRPr="009B1F42" w:rsidRDefault="00C55CD3" w:rsidP="00C55CD3">
            <w:pPr>
              <w:widowControl/>
              <w:jc w:val="left"/>
              <w:rPr>
                <w:szCs w:val="27"/>
              </w:rPr>
            </w:pPr>
            <w:r w:rsidRPr="009B1F42">
              <w:rPr>
                <w:rFonts w:hint="eastAsia"/>
                <w:szCs w:val="27"/>
              </w:rPr>
              <w:t>13.25%</w:t>
            </w:r>
          </w:p>
        </w:tc>
        <w:tc>
          <w:tcPr>
            <w:tcW w:w="1153" w:type="dxa"/>
            <w:hideMark/>
          </w:tcPr>
          <w:p w:rsidR="00C55CD3" w:rsidRPr="009B1F42" w:rsidRDefault="00C55CD3" w:rsidP="00C55CD3">
            <w:pPr>
              <w:widowControl/>
              <w:jc w:val="left"/>
              <w:rPr>
                <w:szCs w:val="27"/>
              </w:rPr>
            </w:pPr>
            <w:r w:rsidRPr="009B1F42">
              <w:rPr>
                <w:rFonts w:hint="eastAsia"/>
                <w:szCs w:val="27"/>
              </w:rPr>
              <w:t>12.25%</w:t>
            </w:r>
          </w:p>
        </w:tc>
        <w:tc>
          <w:tcPr>
            <w:tcW w:w="1134" w:type="dxa"/>
            <w:hideMark/>
          </w:tcPr>
          <w:p w:rsidR="00C55CD3" w:rsidRPr="009B1F42" w:rsidRDefault="00C55CD3" w:rsidP="00C55CD3">
            <w:pPr>
              <w:widowControl/>
              <w:jc w:val="left"/>
              <w:rPr>
                <w:szCs w:val="27"/>
              </w:rPr>
            </w:pPr>
            <w:r w:rsidRPr="009B1F42">
              <w:rPr>
                <w:rFonts w:hint="eastAsia"/>
                <w:szCs w:val="27"/>
              </w:rPr>
              <w:t>13.25%</w:t>
            </w:r>
          </w:p>
        </w:tc>
      </w:tr>
      <w:tr w:rsidR="00C55CD3" w:rsidRPr="009B1F42" w:rsidTr="00C55CD3">
        <w:trPr>
          <w:trHeight w:val="563"/>
        </w:trPr>
        <w:tc>
          <w:tcPr>
            <w:tcW w:w="2817" w:type="dxa"/>
            <w:hideMark/>
          </w:tcPr>
          <w:p w:rsidR="00C55CD3" w:rsidRPr="009B1F42" w:rsidRDefault="00C55CD3" w:rsidP="00C55CD3">
            <w:pPr>
              <w:widowControl/>
              <w:jc w:val="left"/>
              <w:rPr>
                <w:szCs w:val="27"/>
              </w:rPr>
            </w:pPr>
            <w:r w:rsidRPr="009B1F42">
              <w:rPr>
                <w:rFonts w:hint="eastAsia"/>
                <w:szCs w:val="27"/>
              </w:rPr>
              <w:t>現行の基本ポートフォリオ</w:t>
            </w:r>
          </w:p>
        </w:tc>
        <w:tc>
          <w:tcPr>
            <w:tcW w:w="1157" w:type="dxa"/>
            <w:hideMark/>
          </w:tcPr>
          <w:p w:rsidR="00C55CD3" w:rsidRPr="009B1F42" w:rsidRDefault="00C55CD3" w:rsidP="00C55CD3">
            <w:pPr>
              <w:widowControl/>
              <w:jc w:val="left"/>
              <w:rPr>
                <w:szCs w:val="27"/>
              </w:rPr>
            </w:pPr>
            <w:r w:rsidRPr="009B1F42">
              <w:rPr>
                <w:rFonts w:hint="eastAsia"/>
                <w:szCs w:val="27"/>
              </w:rPr>
              <w:t>35.00%</w:t>
            </w:r>
          </w:p>
        </w:tc>
        <w:tc>
          <w:tcPr>
            <w:tcW w:w="1115" w:type="dxa"/>
            <w:hideMark/>
          </w:tcPr>
          <w:p w:rsidR="00C55CD3" w:rsidRPr="009B1F42" w:rsidRDefault="00C55CD3" w:rsidP="00C55CD3">
            <w:pPr>
              <w:widowControl/>
              <w:jc w:val="left"/>
              <w:rPr>
                <w:szCs w:val="27"/>
              </w:rPr>
            </w:pPr>
            <w:r w:rsidRPr="009B1F42">
              <w:rPr>
                <w:rFonts w:hint="eastAsia"/>
                <w:szCs w:val="27"/>
              </w:rPr>
              <w:t>25.00%</w:t>
            </w:r>
          </w:p>
        </w:tc>
        <w:tc>
          <w:tcPr>
            <w:tcW w:w="1153" w:type="dxa"/>
            <w:hideMark/>
          </w:tcPr>
          <w:p w:rsidR="00C55CD3" w:rsidRPr="009B1F42" w:rsidRDefault="00C55CD3" w:rsidP="00C55CD3">
            <w:pPr>
              <w:widowControl/>
              <w:jc w:val="left"/>
              <w:rPr>
                <w:szCs w:val="27"/>
              </w:rPr>
            </w:pPr>
            <w:r w:rsidRPr="009B1F42">
              <w:rPr>
                <w:rFonts w:hint="eastAsia"/>
                <w:szCs w:val="27"/>
              </w:rPr>
              <w:t>15.00%</w:t>
            </w:r>
          </w:p>
        </w:tc>
        <w:tc>
          <w:tcPr>
            <w:tcW w:w="1134" w:type="dxa"/>
            <w:hideMark/>
          </w:tcPr>
          <w:p w:rsidR="00C55CD3" w:rsidRPr="009B1F42" w:rsidRDefault="00C55CD3" w:rsidP="00C55CD3">
            <w:pPr>
              <w:widowControl/>
              <w:jc w:val="left"/>
              <w:rPr>
                <w:szCs w:val="27"/>
              </w:rPr>
            </w:pPr>
            <w:r w:rsidRPr="009B1F42">
              <w:rPr>
                <w:rFonts w:hint="eastAsia"/>
                <w:szCs w:val="27"/>
              </w:rPr>
              <w:t>25.00%</w:t>
            </w:r>
          </w:p>
        </w:tc>
      </w:tr>
    </w:tbl>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Default="00C55CD3" w:rsidP="0020780D">
      <w:pPr>
        <w:widowControl/>
        <w:jc w:val="left"/>
      </w:pPr>
    </w:p>
    <w:p w:rsidR="00C55CD3" w:rsidRPr="00D41994" w:rsidRDefault="00C55CD3" w:rsidP="0020780D">
      <w:pPr>
        <w:widowControl/>
        <w:jc w:val="left"/>
        <w:rPr>
          <w:szCs w:val="27"/>
        </w:rPr>
      </w:pPr>
    </w:p>
    <w:p w:rsidR="0062396D" w:rsidRDefault="0062396D" w:rsidP="0020780D">
      <w:pPr>
        <w:widowControl/>
        <w:jc w:val="left"/>
        <w:rPr>
          <w:szCs w:val="27"/>
        </w:rPr>
      </w:pPr>
    </w:p>
    <w:p w:rsidR="00F045AB" w:rsidRDefault="00F045AB" w:rsidP="0020780D">
      <w:pPr>
        <w:widowControl/>
        <w:jc w:val="left"/>
        <w:rPr>
          <w:szCs w:val="27"/>
        </w:rPr>
      </w:pPr>
    </w:p>
    <w:p w:rsidR="00F045AB" w:rsidRDefault="00F045AB" w:rsidP="0020780D">
      <w:pPr>
        <w:widowControl/>
        <w:jc w:val="left"/>
        <w:rPr>
          <w:szCs w:val="27"/>
        </w:rPr>
      </w:pPr>
    </w:p>
    <w:p w:rsidR="00F045AB" w:rsidRDefault="00F045AB" w:rsidP="0020780D">
      <w:pPr>
        <w:widowControl/>
        <w:jc w:val="left"/>
        <w:rPr>
          <w:szCs w:val="27"/>
        </w:rPr>
      </w:pPr>
    </w:p>
    <w:p w:rsidR="00C55CD3" w:rsidRDefault="00C55CD3" w:rsidP="0020780D">
      <w:pPr>
        <w:widowControl/>
        <w:jc w:val="left"/>
        <w:rPr>
          <w:szCs w:val="27"/>
        </w:rPr>
      </w:pPr>
    </w:p>
    <w:p w:rsidR="00C55CD3" w:rsidRDefault="00C55CD3" w:rsidP="0020780D">
      <w:pPr>
        <w:widowControl/>
        <w:jc w:val="left"/>
        <w:rPr>
          <w:szCs w:val="27"/>
        </w:rPr>
      </w:pPr>
    </w:p>
    <w:p w:rsidR="00C55CD3" w:rsidRDefault="00C55CD3" w:rsidP="0020780D">
      <w:pPr>
        <w:widowControl/>
        <w:jc w:val="left"/>
        <w:rPr>
          <w:szCs w:val="27"/>
        </w:rPr>
      </w:pPr>
    </w:p>
    <w:p w:rsidR="00C55CD3" w:rsidRPr="00C55CD3" w:rsidRDefault="00EB22CB" w:rsidP="00C55CD3">
      <w:pPr>
        <w:pStyle w:val="2"/>
        <w:ind w:firstLineChars="100" w:firstLine="280"/>
      </w:pPr>
      <w:bookmarkStart w:id="14" w:name="_Toc503411937"/>
      <w:r>
        <w:rPr>
          <w:rFonts w:hint="eastAsia"/>
        </w:rPr>
        <w:lastRenderedPageBreak/>
        <w:t>4.2</w:t>
      </w:r>
      <w:r>
        <w:rPr>
          <w:rFonts w:hint="eastAsia"/>
        </w:rPr>
        <w:t xml:space="preserve">　</w:t>
      </w:r>
      <w:r w:rsidR="00C91B73" w:rsidRPr="00EB22CB">
        <w:rPr>
          <w:rFonts w:hint="eastAsia"/>
        </w:rPr>
        <w:t>標準</w:t>
      </w:r>
      <w:r w:rsidR="00C91B73" w:rsidRPr="006F5349">
        <w:rPr>
          <w:rFonts w:hint="eastAsia"/>
        </w:rPr>
        <w:t>偏差をリ</w:t>
      </w:r>
      <w:r w:rsidR="00C91B73" w:rsidRPr="00EB22CB">
        <w:rPr>
          <w:rFonts w:hint="eastAsia"/>
        </w:rPr>
        <w:t>スク指標とした分析</w:t>
      </w:r>
      <w:bookmarkEnd w:id="14"/>
      <w:r w:rsidR="00C91B73" w:rsidRPr="00E05279">
        <w:t xml:space="preserve"> </w:t>
      </w:r>
    </w:p>
    <w:p w:rsidR="00E43A73" w:rsidRDefault="00EB22CB" w:rsidP="006F5349">
      <w:pPr>
        <w:ind w:left="210" w:hangingChars="100" w:hanging="210"/>
        <w:rPr>
          <w:szCs w:val="27"/>
        </w:rPr>
      </w:pPr>
      <w:r>
        <w:rPr>
          <w:rFonts w:hint="eastAsia"/>
          <w:szCs w:val="27"/>
        </w:rPr>
        <w:t xml:space="preserve">　　</w:t>
      </w:r>
      <w:r w:rsidR="00C55CD3">
        <w:rPr>
          <w:rFonts w:hint="eastAsia"/>
          <w:szCs w:val="27"/>
        </w:rPr>
        <w:t>まず、</w:t>
      </w:r>
      <w:r w:rsidR="00536A45">
        <w:rPr>
          <w:rFonts w:hint="eastAsia"/>
          <w:szCs w:val="27"/>
        </w:rPr>
        <w:t>標準偏差をリスク指標として分析を行った</w:t>
      </w:r>
      <w:r w:rsidR="00C55CD3">
        <w:rPr>
          <w:rFonts w:hint="eastAsia"/>
          <w:szCs w:val="27"/>
        </w:rPr>
        <w:t>。</w:t>
      </w:r>
      <w:r w:rsidR="00E43A73">
        <w:rPr>
          <w:rFonts w:hint="eastAsia"/>
          <w:szCs w:val="27"/>
        </w:rPr>
        <w:t>分析の条件は表4-3の通りである。</w:t>
      </w:r>
    </w:p>
    <w:p w:rsidR="00536A45" w:rsidRDefault="00536A45" w:rsidP="00E43A73">
      <w:pPr>
        <w:ind w:leftChars="100" w:left="210"/>
        <w:rPr>
          <w:szCs w:val="27"/>
        </w:rPr>
      </w:pPr>
      <w:r>
        <w:rPr>
          <w:rFonts w:hint="eastAsia"/>
          <w:szCs w:val="27"/>
        </w:rPr>
        <w:t>結果は図4</w:t>
      </w:r>
      <w:r w:rsidR="00C40C2D">
        <w:rPr>
          <w:rFonts w:hint="eastAsia"/>
          <w:szCs w:val="27"/>
        </w:rPr>
        <w:t>-</w:t>
      </w:r>
      <w:r>
        <w:rPr>
          <w:rFonts w:hint="eastAsia"/>
          <w:szCs w:val="27"/>
        </w:rPr>
        <w:t>1のようになった。また、変更前のポートフォリオと現行のポートフォリオに関してまとめたのが表4</w:t>
      </w:r>
      <w:r w:rsidR="00C40C2D">
        <w:rPr>
          <w:rFonts w:hint="eastAsia"/>
          <w:szCs w:val="27"/>
        </w:rPr>
        <w:t>-</w:t>
      </w:r>
      <w:r w:rsidR="00E43A73">
        <w:rPr>
          <w:rFonts w:hint="eastAsia"/>
          <w:szCs w:val="27"/>
        </w:rPr>
        <w:t>4</w:t>
      </w:r>
      <w:r>
        <w:rPr>
          <w:rFonts w:hint="eastAsia"/>
          <w:szCs w:val="27"/>
        </w:rPr>
        <w:t>である。</w:t>
      </w:r>
    </w:p>
    <w:p w:rsidR="003A1DB1" w:rsidRDefault="003A1DB1" w:rsidP="006F5349">
      <w:pPr>
        <w:ind w:left="210" w:hangingChars="100" w:hanging="210"/>
        <w:rPr>
          <w:szCs w:val="27"/>
        </w:rPr>
      </w:pPr>
      <w:r>
        <w:rPr>
          <w:rFonts w:hint="eastAsia"/>
          <w:szCs w:val="27"/>
        </w:rPr>
        <w:t xml:space="preserve">　</w:t>
      </w:r>
      <w:r w:rsidR="006F5349">
        <w:rPr>
          <w:rFonts w:hint="eastAsia"/>
          <w:szCs w:val="27"/>
        </w:rPr>
        <w:t xml:space="preserve">　</w:t>
      </w:r>
      <w:r w:rsidRPr="003A1DB1">
        <w:rPr>
          <w:rFonts w:hint="eastAsia"/>
          <w:szCs w:val="27"/>
        </w:rPr>
        <w:t>この</w:t>
      </w:r>
      <w:r w:rsidR="0006782B">
        <w:rPr>
          <w:rFonts w:hint="eastAsia"/>
          <w:szCs w:val="27"/>
        </w:rPr>
        <w:t>表</w:t>
      </w:r>
      <w:r w:rsidRPr="003A1DB1">
        <w:rPr>
          <w:rFonts w:hint="eastAsia"/>
          <w:szCs w:val="27"/>
        </w:rPr>
        <w:t>から、 GPIFが目標としている実質的な運用利回り(運用利回りから賃金上昇率2.1％を除いた値)</w:t>
      </w:r>
      <w:r>
        <w:rPr>
          <w:rFonts w:hint="eastAsia"/>
          <w:szCs w:val="27"/>
        </w:rPr>
        <w:t>である</w:t>
      </w:r>
      <w:r w:rsidRPr="003A1DB1">
        <w:rPr>
          <w:rFonts w:hint="eastAsia"/>
          <w:szCs w:val="27"/>
        </w:rPr>
        <w:t>1.7％を</w:t>
      </w:r>
      <w:r>
        <w:rPr>
          <w:rFonts w:hint="eastAsia"/>
          <w:szCs w:val="27"/>
        </w:rPr>
        <w:t>変更前の基本ポートフォリオは達成していないが、現行の基本ポートフォリオは達成していることがわかる。</w:t>
      </w:r>
    </w:p>
    <w:p w:rsidR="001A2F1F" w:rsidRDefault="001A2F1F" w:rsidP="006F5349">
      <w:pPr>
        <w:ind w:left="210" w:hangingChars="100" w:hanging="210"/>
        <w:rPr>
          <w:szCs w:val="27"/>
        </w:rPr>
      </w:pPr>
    </w:p>
    <w:p w:rsidR="00E43A73" w:rsidRDefault="00E43A73" w:rsidP="00E43A73">
      <w:pPr>
        <w:ind w:left="210" w:hangingChars="100" w:hanging="210"/>
        <w:jc w:val="center"/>
        <w:rPr>
          <w:szCs w:val="27"/>
        </w:rPr>
      </w:pPr>
      <w:r>
        <w:rPr>
          <w:rFonts w:hint="eastAsia"/>
          <w:szCs w:val="27"/>
        </w:rPr>
        <w:t>表4-3　分析の条件</w:t>
      </w:r>
    </w:p>
    <w:p w:rsidR="00E43A73" w:rsidRDefault="00E43A73" w:rsidP="00E43A73">
      <w:pPr>
        <w:ind w:left="210" w:hangingChars="100" w:hanging="210"/>
        <w:rPr>
          <w:szCs w:val="27"/>
        </w:rPr>
      </w:pPr>
    </w:p>
    <w:p w:rsidR="00E43A73" w:rsidRDefault="00E43A73" w:rsidP="006F5349">
      <w:pPr>
        <w:ind w:left="210" w:hangingChars="100" w:hanging="210"/>
        <w:rPr>
          <w:szCs w:val="27"/>
        </w:rPr>
      </w:pPr>
    </w:p>
    <w:p w:rsidR="00E43A73" w:rsidRDefault="00E43A73" w:rsidP="006F5349">
      <w:pPr>
        <w:ind w:left="210" w:hangingChars="100" w:hanging="210"/>
        <w:rPr>
          <w:szCs w:val="27"/>
        </w:rPr>
      </w:pPr>
    </w:p>
    <w:p w:rsidR="00536A45" w:rsidRPr="0006782B" w:rsidRDefault="001A2F1F" w:rsidP="001A2F1F">
      <w:pPr>
        <w:jc w:val="center"/>
        <w:rPr>
          <w:szCs w:val="27"/>
        </w:rPr>
      </w:pPr>
      <w:r>
        <w:rPr>
          <w:rFonts w:hint="eastAsia"/>
          <w:szCs w:val="27"/>
        </w:rPr>
        <w:t>表4</w:t>
      </w:r>
      <w:r w:rsidR="00E43A73">
        <w:rPr>
          <w:rFonts w:hint="eastAsia"/>
          <w:szCs w:val="27"/>
        </w:rPr>
        <w:t>-4</w:t>
      </w:r>
      <w:r>
        <w:rPr>
          <w:rFonts w:hint="eastAsia"/>
          <w:szCs w:val="27"/>
        </w:rPr>
        <w:t xml:space="preserve"> ２つの基本ポートフォリオのリスクとリターン</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404"/>
        <w:gridCol w:w="3432"/>
        <w:gridCol w:w="3170"/>
      </w:tblGrid>
      <w:tr w:rsidR="00536A45" w:rsidRPr="00536A45" w:rsidTr="003A1DB1">
        <w:trPr>
          <w:trHeight w:val="371"/>
        </w:trPr>
        <w:tc>
          <w:tcPr>
            <w:tcW w:w="2404" w:type="dxa"/>
            <w:shd w:val="clear" w:color="auto" w:fill="auto"/>
            <w:noWrap/>
            <w:vAlign w:val="center"/>
            <w:hideMark/>
          </w:tcPr>
          <w:p w:rsidR="00536A45" w:rsidRPr="00536A45" w:rsidRDefault="00536A45" w:rsidP="00536A45">
            <w:pPr>
              <w:widowControl/>
              <w:jc w:val="left"/>
              <w:rPr>
                <w:rFonts w:ascii="ＭＳ Ｐゴシック" w:eastAsia="ＭＳ Ｐゴシック" w:hAnsi="ＭＳ Ｐゴシック" w:cs="ＭＳ Ｐゴシック"/>
                <w:kern w:val="0"/>
                <w:sz w:val="24"/>
                <w:szCs w:val="24"/>
              </w:rPr>
            </w:pPr>
          </w:p>
        </w:tc>
        <w:tc>
          <w:tcPr>
            <w:tcW w:w="3432" w:type="dxa"/>
            <w:shd w:val="clear" w:color="auto" w:fill="auto"/>
            <w:noWrap/>
            <w:vAlign w:val="center"/>
            <w:hideMark/>
          </w:tcPr>
          <w:p w:rsidR="00536A45" w:rsidRPr="00536A45" w:rsidRDefault="00536A45" w:rsidP="00536A45">
            <w:pPr>
              <w:widowControl/>
              <w:jc w:val="lef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変更前の基本ポートフォリオ</w:t>
            </w:r>
          </w:p>
        </w:tc>
        <w:tc>
          <w:tcPr>
            <w:tcW w:w="3170" w:type="dxa"/>
            <w:shd w:val="clear" w:color="auto" w:fill="auto"/>
            <w:noWrap/>
            <w:vAlign w:val="center"/>
            <w:hideMark/>
          </w:tcPr>
          <w:p w:rsidR="00536A45" w:rsidRPr="00536A45" w:rsidRDefault="00536A45" w:rsidP="00536A45">
            <w:pPr>
              <w:widowControl/>
              <w:jc w:val="lef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現行の基本ポートフォリオ</w:t>
            </w:r>
          </w:p>
        </w:tc>
      </w:tr>
      <w:tr w:rsidR="00536A45" w:rsidRPr="00536A45" w:rsidTr="003A1DB1">
        <w:trPr>
          <w:trHeight w:val="371"/>
        </w:trPr>
        <w:tc>
          <w:tcPr>
            <w:tcW w:w="2404" w:type="dxa"/>
            <w:shd w:val="clear" w:color="auto" w:fill="auto"/>
            <w:noWrap/>
            <w:vAlign w:val="center"/>
            <w:hideMark/>
          </w:tcPr>
          <w:p w:rsidR="00536A45" w:rsidRPr="00536A45" w:rsidRDefault="00502C2C" w:rsidP="00536A45">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運用利回り</w:t>
            </w:r>
          </w:p>
        </w:tc>
        <w:tc>
          <w:tcPr>
            <w:tcW w:w="3432"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3.17%</w:t>
            </w:r>
          </w:p>
        </w:tc>
        <w:tc>
          <w:tcPr>
            <w:tcW w:w="3170"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3.93%</w:t>
            </w:r>
          </w:p>
        </w:tc>
      </w:tr>
      <w:tr w:rsidR="00536A45" w:rsidRPr="00536A45" w:rsidTr="003A1DB1">
        <w:trPr>
          <w:trHeight w:val="371"/>
        </w:trPr>
        <w:tc>
          <w:tcPr>
            <w:tcW w:w="2404" w:type="dxa"/>
            <w:shd w:val="clear" w:color="auto" w:fill="auto"/>
            <w:noWrap/>
            <w:vAlign w:val="center"/>
            <w:hideMark/>
          </w:tcPr>
          <w:p w:rsidR="00536A45" w:rsidRPr="00536A45" w:rsidRDefault="00502C2C" w:rsidP="00536A45">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標準偏差</w:t>
            </w:r>
          </w:p>
        </w:tc>
        <w:tc>
          <w:tcPr>
            <w:tcW w:w="3432"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0.18</w:t>
            </w:r>
            <w:r w:rsidR="00502C2C">
              <w:rPr>
                <w:rFonts w:ascii="游ゴシック" w:eastAsia="游ゴシック" w:hAnsi="游ゴシック" w:cs="ＭＳ Ｐゴシック" w:hint="eastAsia"/>
                <w:color w:val="000000"/>
                <w:kern w:val="0"/>
                <w:sz w:val="22"/>
              </w:rPr>
              <w:t>%</w:t>
            </w:r>
          </w:p>
        </w:tc>
        <w:tc>
          <w:tcPr>
            <w:tcW w:w="3170"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0.32</w:t>
            </w:r>
            <w:r w:rsidR="00502C2C">
              <w:rPr>
                <w:rFonts w:ascii="游ゴシック" w:eastAsia="游ゴシック" w:hAnsi="游ゴシック" w:cs="ＭＳ Ｐゴシック" w:hint="eastAsia"/>
                <w:color w:val="000000"/>
                <w:kern w:val="0"/>
                <w:sz w:val="22"/>
              </w:rPr>
              <w:t>%</w:t>
            </w:r>
          </w:p>
        </w:tc>
      </w:tr>
      <w:tr w:rsidR="00536A45" w:rsidRPr="00536A45" w:rsidTr="003A1DB1">
        <w:trPr>
          <w:trHeight w:val="139"/>
        </w:trPr>
        <w:tc>
          <w:tcPr>
            <w:tcW w:w="2404" w:type="dxa"/>
            <w:shd w:val="clear" w:color="auto" w:fill="auto"/>
            <w:noWrap/>
            <w:vAlign w:val="center"/>
            <w:hideMark/>
          </w:tcPr>
          <w:p w:rsidR="00536A45" w:rsidRPr="00536A45" w:rsidRDefault="00536A45" w:rsidP="00536A45">
            <w:pPr>
              <w:widowControl/>
              <w:jc w:val="lef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実質的な運用利回り</w:t>
            </w:r>
          </w:p>
        </w:tc>
        <w:tc>
          <w:tcPr>
            <w:tcW w:w="3432"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1.07%</w:t>
            </w:r>
          </w:p>
        </w:tc>
        <w:tc>
          <w:tcPr>
            <w:tcW w:w="3170" w:type="dxa"/>
            <w:shd w:val="clear" w:color="auto" w:fill="auto"/>
            <w:noWrap/>
            <w:vAlign w:val="center"/>
            <w:hideMark/>
          </w:tcPr>
          <w:p w:rsidR="00536A45" w:rsidRPr="00536A45" w:rsidRDefault="00536A45" w:rsidP="00536A45">
            <w:pPr>
              <w:widowControl/>
              <w:jc w:val="right"/>
              <w:rPr>
                <w:rFonts w:ascii="游ゴシック" w:eastAsia="游ゴシック" w:hAnsi="游ゴシック" w:cs="ＭＳ Ｐゴシック"/>
                <w:color w:val="000000"/>
                <w:kern w:val="0"/>
                <w:sz w:val="22"/>
              </w:rPr>
            </w:pPr>
            <w:r w:rsidRPr="00536A45">
              <w:rPr>
                <w:rFonts w:ascii="游ゴシック" w:eastAsia="游ゴシック" w:hAnsi="游ゴシック" w:cs="ＭＳ Ｐゴシック" w:hint="eastAsia"/>
                <w:color w:val="000000"/>
                <w:kern w:val="0"/>
                <w:sz w:val="22"/>
              </w:rPr>
              <w:t>1.83%</w:t>
            </w:r>
          </w:p>
        </w:tc>
      </w:tr>
    </w:tbl>
    <w:p w:rsidR="00536A45" w:rsidRDefault="00536A45" w:rsidP="00536A45">
      <w:pPr>
        <w:jc w:val="center"/>
        <w:rPr>
          <w:szCs w:val="27"/>
        </w:rPr>
      </w:pPr>
    </w:p>
    <w:p w:rsidR="00EB22CB" w:rsidRDefault="00EB22CB" w:rsidP="00536A45">
      <w:pPr>
        <w:jc w:val="center"/>
        <w:rPr>
          <w:szCs w:val="27"/>
        </w:rPr>
      </w:pPr>
    </w:p>
    <w:p w:rsidR="00536A45" w:rsidRDefault="00536A45" w:rsidP="00EB22CB">
      <w:pPr>
        <w:rPr>
          <w:szCs w:val="27"/>
        </w:rPr>
      </w:pPr>
      <w:r>
        <w:rPr>
          <w:rFonts w:hint="eastAsia"/>
          <w:szCs w:val="27"/>
        </w:rPr>
        <w:t xml:space="preserve">　　　　　　　　　図4</w:t>
      </w:r>
      <w:r w:rsidR="001A2F1F">
        <w:rPr>
          <w:rFonts w:hint="eastAsia"/>
          <w:szCs w:val="27"/>
        </w:rPr>
        <w:t>-</w:t>
      </w:r>
      <w:r>
        <w:rPr>
          <w:rFonts w:hint="eastAsia"/>
          <w:szCs w:val="27"/>
        </w:rPr>
        <w:t>1</w:t>
      </w:r>
      <w:r w:rsidR="003A1DB1">
        <w:rPr>
          <w:rFonts w:hint="eastAsia"/>
          <w:szCs w:val="27"/>
        </w:rPr>
        <w:t xml:space="preserve">　標準偏差をリスク指標とした際の効率的フロンティア</w:t>
      </w:r>
    </w:p>
    <w:p w:rsidR="003A1DB1" w:rsidRDefault="003A1DB1" w:rsidP="00EB22CB">
      <w:pPr>
        <w:rPr>
          <w:szCs w:val="27"/>
        </w:rPr>
      </w:pPr>
    </w:p>
    <w:p w:rsidR="006F5349" w:rsidRDefault="006F5349" w:rsidP="00C91B73">
      <w:pPr>
        <w:pStyle w:val="2"/>
      </w:pPr>
      <w:r>
        <w:rPr>
          <w:rFonts w:hint="eastAsia"/>
        </w:rPr>
        <w:t xml:space="preserve">　</w:t>
      </w:r>
      <w:bookmarkStart w:id="15" w:name="_Toc503411938"/>
      <w:r>
        <w:rPr>
          <w:rFonts w:hint="eastAsia"/>
        </w:rPr>
        <w:t>4.</w:t>
      </w:r>
      <w:r w:rsidR="00C91B73">
        <w:rPr>
          <w:rFonts w:hint="eastAsia"/>
        </w:rPr>
        <w:t>3</w:t>
      </w:r>
      <w:r>
        <w:rPr>
          <w:rFonts w:hint="eastAsia"/>
        </w:rPr>
        <w:t xml:space="preserve">　</w:t>
      </w:r>
      <w:r w:rsidRPr="00A171A2">
        <w:rPr>
          <w:rFonts w:hint="eastAsia"/>
        </w:rPr>
        <w:t>CVaR</w:t>
      </w:r>
      <w:r w:rsidRPr="00A171A2">
        <w:rPr>
          <w:rFonts w:hint="eastAsia"/>
        </w:rPr>
        <w:t>をリスク指標とした分析</w:t>
      </w:r>
      <w:bookmarkEnd w:id="15"/>
    </w:p>
    <w:p w:rsidR="00C91B73" w:rsidRPr="00C91B73" w:rsidRDefault="00C91B73" w:rsidP="00C91B73"/>
    <w:p w:rsidR="00761E6A" w:rsidRDefault="00C91B73" w:rsidP="00B73583">
      <w:pPr>
        <w:pStyle w:val="3"/>
        <w:ind w:left="840"/>
      </w:pPr>
      <w:bookmarkStart w:id="16" w:name="_Toc503411939"/>
      <w:r>
        <w:rPr>
          <w:rFonts w:hint="eastAsia"/>
        </w:rPr>
        <w:t>4.3.1</w:t>
      </w:r>
      <w:r>
        <w:rPr>
          <w:rFonts w:hint="eastAsia"/>
        </w:rPr>
        <w:t xml:space="preserve">　</w:t>
      </w:r>
      <w:r>
        <w:rPr>
          <w:rFonts w:hint="eastAsia"/>
        </w:rPr>
        <w:t>CVaR</w:t>
      </w:r>
      <w:r>
        <w:rPr>
          <w:rFonts w:hint="eastAsia"/>
        </w:rPr>
        <w:t>について</w:t>
      </w:r>
      <w:bookmarkEnd w:id="16"/>
    </w:p>
    <w:p w:rsidR="00761E6A" w:rsidRPr="00761E6A" w:rsidRDefault="00761E6A" w:rsidP="00761E6A">
      <w:pPr>
        <w:ind w:firstLineChars="100" w:firstLine="210"/>
        <w:jc w:val="left"/>
        <w:rPr>
          <w:rFonts w:hint="eastAsia"/>
        </w:rPr>
      </w:pPr>
      <w:r w:rsidRPr="00761E6A">
        <w:t>CVaR</w:t>
      </w:r>
      <w:r w:rsidR="00B73583">
        <w:rPr>
          <w:rFonts w:hint="eastAsia"/>
        </w:rPr>
        <w:t>(</w:t>
      </w:r>
      <w:r w:rsidRPr="00761E6A">
        <w:t>Conditional Value at Risk</w:t>
      </w:r>
      <w:r w:rsidR="00B73583">
        <w:rPr>
          <w:rFonts w:hint="eastAsia"/>
        </w:rPr>
        <w:t>)</w:t>
      </w:r>
      <w:r w:rsidRPr="00761E6A">
        <w:t>は、一定の確率</w:t>
      </w:r>
      <w:r>
        <w:rPr>
          <w:rFonts w:hint="eastAsia"/>
        </w:rPr>
        <w:t>(信頼区間など)</w:t>
      </w:r>
      <w:r w:rsidRPr="00761E6A">
        <w:t>を超えた場合の平均損失</w:t>
      </w:r>
      <w:r w:rsidR="00B73583">
        <w:rPr>
          <w:rFonts w:hint="eastAsia"/>
        </w:rPr>
        <w:t>である</w:t>
      </w:r>
      <w:r w:rsidRPr="00761E6A">
        <w:t>。期待ショートフォールとも呼ばれ</w:t>
      </w:r>
      <w:r>
        <w:rPr>
          <w:rFonts w:hint="eastAsia"/>
        </w:rPr>
        <w:t>る</w:t>
      </w:r>
      <w:r w:rsidRPr="00761E6A">
        <w:t>。現在、規制</w:t>
      </w:r>
      <w:r>
        <w:rPr>
          <w:rFonts w:hint="eastAsia"/>
        </w:rPr>
        <w:t>上の</w:t>
      </w:r>
      <w:r w:rsidRPr="00761E6A">
        <w:t>自己資本の計算に使用されているVaRは、テール・リスクを捉えることができず、重要な市場ストレスの期間に自己資本比率を確保することができない可能性があ</w:t>
      </w:r>
      <w:r>
        <w:rPr>
          <w:rFonts w:hint="eastAsia"/>
        </w:rPr>
        <w:t>る</w:t>
      </w:r>
      <w:r w:rsidRPr="00761E6A">
        <w:t>。しかし、CVaRは、一定の信頼区間を超えるリスクと、VaRには捕捉されない予想損失を考慮しているため、ストレス時に発</w:t>
      </w:r>
      <w:r w:rsidRPr="00761E6A">
        <w:lastRenderedPageBreak/>
        <w:t>生するテール・リスクをよりよ</w:t>
      </w:r>
      <w:r w:rsidRPr="00761E6A">
        <w:rPr>
          <w:rFonts w:hint="eastAsia"/>
        </w:rPr>
        <w:t>く捕捉でき</w:t>
      </w:r>
      <w:r>
        <w:rPr>
          <w:rFonts w:hint="eastAsia"/>
        </w:rPr>
        <w:t>る</w:t>
      </w:r>
      <w:r w:rsidRPr="00761E6A">
        <w:rPr>
          <w:rFonts w:hint="eastAsia"/>
        </w:rPr>
        <w:t>。</w:t>
      </w:r>
      <w:r w:rsidRPr="00761E6A">
        <w:t xml:space="preserve"> CVaRとその応用のために、CVaRによる資産配分の最適化問題は、Rockafellar.RTとS.Uryasev [1]を含めて数多く研究されてきた</w:t>
      </w:r>
      <w:r w:rsidR="00255D4D">
        <w:rPr>
          <w:rFonts w:hint="eastAsia"/>
        </w:rPr>
        <w:t>。また</w:t>
      </w:r>
      <w:r w:rsidR="00255D4D" w:rsidRPr="00761E6A">
        <w:t>年</w:t>
      </w:r>
      <w:r w:rsidR="00255D4D" w:rsidRPr="00761E6A">
        <w:rPr>
          <w:rFonts w:hint="eastAsia"/>
        </w:rPr>
        <w:t>⾦積⽴⾦管理運⽤独⽴⾏政法⼈</w:t>
      </w:r>
      <w:r w:rsidR="00B73583">
        <w:rPr>
          <w:rFonts w:hint="eastAsia"/>
        </w:rPr>
        <w:t>(</w:t>
      </w:r>
      <w:r w:rsidR="00255D4D" w:rsidRPr="00761E6A">
        <w:t>GPIF</w:t>
      </w:r>
      <w:r w:rsidR="00B73583">
        <w:rPr>
          <w:rFonts w:hint="eastAsia"/>
        </w:rPr>
        <w:t>)</w:t>
      </w:r>
      <w:r w:rsidR="00255D4D" w:rsidRPr="00761E6A">
        <w:t>が</w:t>
      </w:r>
      <w:r w:rsidR="00255D4D">
        <w:t>2014</w:t>
      </w:r>
      <w:r w:rsidR="00255D4D" w:rsidRPr="00761E6A">
        <w:t>年</w:t>
      </w:r>
      <w:r w:rsidR="00255D4D">
        <w:t>10</w:t>
      </w:r>
      <w:r w:rsidR="00255D4D" w:rsidRPr="00761E6A">
        <w:rPr>
          <w:rFonts w:hint="eastAsia"/>
        </w:rPr>
        <w:t>⽉</w:t>
      </w:r>
      <w:r w:rsidR="00255D4D">
        <w:t>31</w:t>
      </w:r>
      <w:r w:rsidR="00255D4D" w:rsidRPr="00761E6A">
        <w:rPr>
          <w:rFonts w:hint="eastAsia"/>
        </w:rPr>
        <w:t>⽇に発表した、基本ポート</w:t>
      </w:r>
      <w:r w:rsidR="00B73583">
        <w:t>フォリオ変更の際</w:t>
      </w:r>
      <w:r w:rsidR="00B73583">
        <w:rPr>
          <w:rFonts w:hint="eastAsia"/>
        </w:rPr>
        <w:t>に</w:t>
      </w:r>
      <w:r w:rsidR="00255D4D">
        <w:t>CVaR</w:t>
      </w:r>
      <w:r w:rsidR="00255D4D" w:rsidRPr="00761E6A">
        <w:t>を利</w:t>
      </w:r>
      <w:r w:rsidR="00B73583">
        <w:rPr>
          <w:rFonts w:hint="eastAsia"/>
        </w:rPr>
        <w:t>⽤したこと</w:t>
      </w:r>
      <w:r w:rsidR="00255D4D" w:rsidRPr="00761E6A">
        <w:t>[</w:t>
      </w:r>
      <w:r w:rsidR="00B73583">
        <w:t>2</w:t>
      </w:r>
      <w:r w:rsidR="00255D4D" w:rsidRPr="00761E6A">
        <w:t>] [</w:t>
      </w:r>
      <w:r w:rsidR="00B73583">
        <w:t>3</w:t>
      </w:r>
      <w:r w:rsidR="00255D4D" w:rsidRPr="00761E6A">
        <w:t>]、</w:t>
      </w:r>
      <w:r w:rsidR="00B73583">
        <w:t>2016</w:t>
      </w:r>
      <w:r w:rsidR="00255D4D" w:rsidRPr="00761E6A">
        <w:t>年</w:t>
      </w:r>
      <w:r w:rsidR="00B73583">
        <w:t>1</w:t>
      </w:r>
      <w:r w:rsidR="00255D4D" w:rsidRPr="00761E6A">
        <w:rPr>
          <w:rFonts w:hint="eastAsia"/>
        </w:rPr>
        <w:t>⽉</w:t>
      </w:r>
      <w:r w:rsidR="00B73583">
        <w:t>14</w:t>
      </w:r>
      <w:r w:rsidR="00255D4D" w:rsidRPr="00761E6A">
        <w:rPr>
          <w:rFonts w:hint="eastAsia"/>
        </w:rPr>
        <w:t>⽇にバーゼル銀⾏監督委員会</w:t>
      </w:r>
      <w:r w:rsidR="00255D4D" w:rsidRPr="00761E6A">
        <w:t>が公開した</w:t>
      </w:r>
      <w:r w:rsidR="00D54EE4">
        <w:t>”</w:t>
      </w:r>
      <w:r w:rsidR="00D54EE4" w:rsidRPr="00D54EE4">
        <w:t>Explanatory note on the revised Minimum capital requirements for market risk</w:t>
      </w:r>
      <w:r w:rsidR="00D54EE4">
        <w:t>”</w:t>
      </w:r>
      <w:r w:rsidR="00255D4D" w:rsidRPr="00761E6A">
        <w:rPr>
          <w:rFonts w:hint="eastAsia"/>
        </w:rPr>
        <w:t>において、バリュー・アット・リスクから期待</w:t>
      </w:r>
      <w:r w:rsidR="00255D4D" w:rsidRPr="00761E6A">
        <w:t>ショートフォールへのリスク計測</w:t>
      </w:r>
      <w:r w:rsidR="00255D4D">
        <w:rPr>
          <w:rFonts w:hint="eastAsia"/>
        </w:rPr>
        <w:t>⼿法の移</w:t>
      </w:r>
      <w:bookmarkStart w:id="17" w:name="_GoBack"/>
      <w:bookmarkEnd w:id="17"/>
      <w:r w:rsidR="00255D4D">
        <w:rPr>
          <w:rFonts w:hint="eastAsia"/>
        </w:rPr>
        <w:t>⾏を表明した</w:t>
      </w:r>
      <w:r w:rsidR="00255D4D" w:rsidRPr="00761E6A">
        <w:t>[</w:t>
      </w:r>
      <w:r w:rsidR="00B73583">
        <w:t>4</w:t>
      </w:r>
      <w:r w:rsidR="00255D4D" w:rsidRPr="00761E6A">
        <w:t>]</w:t>
      </w:r>
      <w:r w:rsidR="00255D4D">
        <w:rPr>
          <w:rFonts w:hint="eastAsia"/>
        </w:rPr>
        <w:t>。これらの活用事例を踏まえると、</w:t>
      </w:r>
      <w:r w:rsidRPr="00761E6A">
        <w:t>CVaR</w:t>
      </w:r>
      <w:r w:rsidR="00255D4D">
        <w:rPr>
          <w:rFonts w:hint="eastAsia"/>
        </w:rPr>
        <w:t>の実際の様々な資産運用へ</w:t>
      </w:r>
      <w:r w:rsidRPr="00761E6A">
        <w:t>の適用は今後ますます重要になるだろう。CVaRの具体的な計算方法は、基本的にVaRの計算方法と同様、</w:t>
      </w:r>
      <w:r w:rsidR="00255D4D">
        <w:rPr>
          <w:rFonts w:hint="eastAsia"/>
        </w:rPr>
        <w:t>ヒストリカル</w:t>
      </w:r>
      <w:r w:rsidRPr="00761E6A">
        <w:t>法、分散共分散法、モンテカルロ法などが一般的</w:t>
      </w:r>
      <w:r w:rsidR="00255D4D">
        <w:rPr>
          <w:rFonts w:hint="eastAsia"/>
        </w:rPr>
        <w:t>である</w:t>
      </w:r>
      <w:r w:rsidRPr="00761E6A">
        <w:t>。</w:t>
      </w:r>
      <w:r w:rsidR="00255D4D">
        <w:rPr>
          <w:rFonts w:hint="eastAsia"/>
        </w:rPr>
        <w:t>ヒストリカル</w:t>
      </w:r>
      <w:r w:rsidRPr="00761E6A">
        <w:t>法以外の方法では、VaRとの共通点として、目標リスク資産の収益の確率密度関数にいくつかの仮定を置く必要がある</w:t>
      </w:r>
      <w:r w:rsidR="00255D4D">
        <w:rPr>
          <w:rFonts w:hint="eastAsia"/>
        </w:rPr>
        <w:t>点が挙げられる</w:t>
      </w:r>
      <w:r w:rsidRPr="00761E6A">
        <w:t>。しかし、確率変数Xとその確率密度関数の積を積分する必要がある点で、VaRとは大きく異な</w:t>
      </w:r>
      <w:r w:rsidR="00255D4D">
        <w:rPr>
          <w:rFonts w:hint="eastAsia"/>
        </w:rPr>
        <w:t>る</w:t>
      </w:r>
      <w:r w:rsidRPr="00761E6A">
        <w:t>。この積分をどのように行うかは、CVaR計算にとって重要であり、CVaR計算の負荷を増加させる要因にもつながる。</w:t>
      </w:r>
    </w:p>
    <w:p w:rsidR="00761E6A" w:rsidRDefault="00761E6A" w:rsidP="00761E6A">
      <w:pPr>
        <w:jc w:val="left"/>
      </w:pPr>
    </w:p>
    <w:p w:rsidR="00761E6A" w:rsidRDefault="00761E6A" w:rsidP="00761E6A">
      <w:pPr>
        <w:jc w:val="left"/>
      </w:pPr>
      <w:r w:rsidRPr="00761E6A">
        <w:t>[</w:t>
      </w:r>
      <w:r>
        <w:t>1</w:t>
      </w:r>
      <w:r w:rsidRPr="00761E6A">
        <w:t>] Rockafellar.R.T. and S.Uryasev (2000), “Optimization of Conditional Value-at-Risk”, The Journal of Risk, Vol.2</w:t>
      </w:r>
    </w:p>
    <w:p w:rsidR="00761E6A" w:rsidRPr="00115AED" w:rsidRDefault="00761E6A" w:rsidP="00761E6A">
      <w:pPr>
        <w:jc w:val="left"/>
        <w:rPr>
          <w:rFonts w:hint="eastAsia"/>
        </w:rPr>
      </w:pPr>
      <w:r w:rsidRPr="00761E6A">
        <w:t>[</w:t>
      </w:r>
      <w:r>
        <w:t>2</w:t>
      </w:r>
      <w:r w:rsidRPr="00761E6A">
        <w:t>] 年</w:t>
      </w:r>
      <w:r w:rsidRPr="00761E6A">
        <w:rPr>
          <w:rFonts w:hint="eastAsia"/>
        </w:rPr>
        <w:t>⾦積⽴⾦管理運⽤独⽴⾏政法⼈（平成２６年１０⽉３１⽇）</w:t>
      </w:r>
      <w:r w:rsidRPr="00761E6A">
        <w:t>, 「中期計画の変更について」の記者会</w:t>
      </w:r>
      <w:r w:rsidRPr="00761E6A">
        <w:rPr>
          <w:rFonts w:hint="eastAsia"/>
        </w:rPr>
        <w:t>⾒資料</w:t>
      </w:r>
      <w:r w:rsidRPr="00761E6A">
        <w:t>, http://www.gpif.go.jp/topics/2014/pdf/1031_midterm_plan_henkou.pdf</w:t>
      </w:r>
    </w:p>
    <w:p w:rsidR="00C91B73" w:rsidRDefault="00761E6A" w:rsidP="00C91B73">
      <w:r w:rsidRPr="00761E6A">
        <w:t>[</w:t>
      </w:r>
      <w:r>
        <w:t>3</w:t>
      </w:r>
      <w:r w:rsidRPr="00761E6A">
        <w:t xml:space="preserve">] </w:t>
      </w:r>
      <w:r w:rsidRPr="00761E6A">
        <w:rPr>
          <w:rFonts w:hint="eastAsia"/>
        </w:rPr>
        <w:t>⽶澤康博（</w:t>
      </w:r>
      <w:r w:rsidRPr="00761E6A">
        <w:t>2015）, 「基本ポートフォリオ変更に関する解説」, 年</w:t>
      </w:r>
      <w:r w:rsidRPr="00761E6A">
        <w:rPr>
          <w:rFonts w:hint="eastAsia"/>
        </w:rPr>
        <w:t>⾦と経済</w:t>
      </w:r>
      <w:r w:rsidRPr="00761E6A">
        <w:t xml:space="preserve"> Vol.34 No.2</w:t>
      </w:r>
    </w:p>
    <w:p w:rsidR="00B73583" w:rsidRPr="00761E6A" w:rsidRDefault="00B73583" w:rsidP="00C91B73">
      <w:r w:rsidRPr="00B73583">
        <w:t>[</w:t>
      </w:r>
      <w:r>
        <w:t>4</w:t>
      </w:r>
      <w:r w:rsidRPr="00B73583">
        <w:t>] Basel Committee on Banking Supervision (2016), “Explanatory note on the revised Minimum capital requirements for market risk”, http://www.bis.org/bcbs/publ/d352.pdf</w:t>
      </w:r>
    </w:p>
    <w:p w:rsidR="00C91B73" w:rsidRPr="00C91B73" w:rsidRDefault="00C91B73" w:rsidP="00C91B73">
      <w:pPr>
        <w:pStyle w:val="3"/>
        <w:ind w:left="840"/>
      </w:pPr>
      <w:bookmarkStart w:id="18" w:name="_Toc503411940"/>
      <w:r>
        <w:rPr>
          <w:rFonts w:hint="eastAsia"/>
        </w:rPr>
        <w:t>4.3.2</w:t>
      </w:r>
      <w:r>
        <w:rPr>
          <w:rFonts w:hint="eastAsia"/>
        </w:rPr>
        <w:t xml:space="preserve">　分析の実行</w:t>
      </w:r>
      <w:bookmarkEnd w:id="18"/>
    </w:p>
    <w:p w:rsidR="006F5349" w:rsidRPr="006F5349" w:rsidRDefault="00115AED" w:rsidP="006F5349">
      <w:pPr>
        <w:rPr>
          <w:rFonts w:hint="eastAsia"/>
        </w:rPr>
      </w:pPr>
      <w:r>
        <w:tab/>
      </w:r>
    </w:p>
    <w:p w:rsidR="006F5349" w:rsidRDefault="006F5349" w:rsidP="006F5349">
      <w:pPr>
        <w:pStyle w:val="2"/>
        <w:ind w:firstLineChars="100" w:firstLine="280"/>
      </w:pPr>
      <w:bookmarkStart w:id="19" w:name="_Toc503411941"/>
      <w:r>
        <w:rPr>
          <w:rFonts w:hint="eastAsia"/>
        </w:rPr>
        <w:t>4.</w:t>
      </w:r>
      <w:r w:rsidR="00C91B73">
        <w:rPr>
          <w:rFonts w:hint="eastAsia"/>
        </w:rPr>
        <w:t>4</w:t>
      </w:r>
      <w:r>
        <w:rPr>
          <w:rFonts w:hint="eastAsia"/>
        </w:rPr>
        <w:t xml:space="preserve">　</w:t>
      </w:r>
      <w:r w:rsidRPr="00A171A2">
        <w:rPr>
          <w:rFonts w:hint="eastAsia"/>
        </w:rPr>
        <w:t>シミュレーションによる分析</w:t>
      </w:r>
      <w:bookmarkEnd w:id="19"/>
    </w:p>
    <w:p w:rsidR="006F5349" w:rsidRPr="00C91B73" w:rsidRDefault="006F5349" w:rsidP="006F5349"/>
    <w:p w:rsidR="006F5349" w:rsidRDefault="006F5349" w:rsidP="006F5349">
      <w:pPr>
        <w:pStyle w:val="3"/>
        <w:ind w:leftChars="0" w:left="0" w:firstLineChars="100" w:firstLine="260"/>
      </w:pPr>
      <w:r>
        <w:rPr>
          <w:rFonts w:hint="eastAsia"/>
        </w:rPr>
        <w:t xml:space="preserve">　</w:t>
      </w:r>
      <w:bookmarkStart w:id="20" w:name="_Toc503411942"/>
      <w:r>
        <w:rPr>
          <w:rFonts w:hint="eastAsia"/>
        </w:rPr>
        <w:t>4.</w:t>
      </w:r>
      <w:r w:rsidR="009B1F42">
        <w:rPr>
          <w:rFonts w:hint="eastAsia"/>
        </w:rPr>
        <w:t>4</w:t>
      </w:r>
      <w:r>
        <w:rPr>
          <w:rFonts w:hint="eastAsia"/>
        </w:rPr>
        <w:t>.1</w:t>
      </w:r>
      <w:r>
        <w:rPr>
          <w:rFonts w:hint="eastAsia"/>
        </w:rPr>
        <w:t xml:space="preserve">　</w:t>
      </w:r>
      <w:r w:rsidRPr="00A171A2">
        <w:rPr>
          <w:rFonts w:hint="eastAsia"/>
        </w:rPr>
        <w:t>各</w:t>
      </w:r>
      <w:r w:rsidR="00E43A73">
        <w:rPr>
          <w:rFonts w:hint="eastAsia"/>
        </w:rPr>
        <w:t>資産</w:t>
      </w:r>
      <w:r w:rsidRPr="00A171A2">
        <w:rPr>
          <w:rFonts w:hint="eastAsia"/>
        </w:rPr>
        <w:t>間の関係の推定</w:t>
      </w:r>
      <w:bookmarkEnd w:id="20"/>
    </w:p>
    <w:p w:rsidR="006F5349" w:rsidRPr="009B1F42" w:rsidRDefault="006F5349" w:rsidP="006F5349"/>
    <w:p w:rsidR="00D070B8" w:rsidRDefault="00D070B8" w:rsidP="00EB22CB">
      <w:pPr>
        <w:rPr>
          <w:szCs w:val="27"/>
        </w:rPr>
      </w:pPr>
    </w:p>
    <w:p w:rsidR="00D070B8" w:rsidRDefault="00D070B8" w:rsidP="00EB22CB">
      <w:pPr>
        <w:rPr>
          <w:szCs w:val="27"/>
        </w:rPr>
      </w:pPr>
    </w:p>
    <w:p w:rsidR="00E06E03" w:rsidRPr="00E06E03" w:rsidRDefault="00E06E03" w:rsidP="006F5349">
      <w:pPr>
        <w:pStyle w:val="1"/>
      </w:pPr>
      <w:bookmarkStart w:id="21" w:name="_Toc503411943"/>
      <w:r w:rsidRPr="00E06E03">
        <w:rPr>
          <w:rFonts w:hint="eastAsia"/>
        </w:rPr>
        <w:lastRenderedPageBreak/>
        <w:t>第</w:t>
      </w:r>
      <w:r w:rsidRPr="00E06E03">
        <w:rPr>
          <w:rFonts w:hint="eastAsia"/>
        </w:rPr>
        <w:t>5</w:t>
      </w:r>
      <w:r w:rsidRPr="00E06E03">
        <w:rPr>
          <w:rFonts w:hint="eastAsia"/>
        </w:rPr>
        <w:t>章　結論</w:t>
      </w:r>
      <w:bookmarkEnd w:id="21"/>
    </w:p>
    <w:p w:rsidR="00E06E03" w:rsidRDefault="00E06E03" w:rsidP="00E06E03">
      <w:pPr>
        <w:widowControl/>
        <w:jc w:val="left"/>
        <w:rPr>
          <w:szCs w:val="27"/>
        </w:rPr>
      </w:pPr>
    </w:p>
    <w:p w:rsidR="00E06E03" w:rsidRPr="00E06E03" w:rsidRDefault="00E06E03" w:rsidP="006F5349">
      <w:pPr>
        <w:pStyle w:val="2"/>
      </w:pPr>
      <w:r w:rsidRPr="00E06E03">
        <w:rPr>
          <w:rFonts w:hint="eastAsia"/>
        </w:rPr>
        <w:t xml:space="preserve">　</w:t>
      </w:r>
      <w:bookmarkStart w:id="22" w:name="_Toc503411944"/>
      <w:r w:rsidRPr="00E06E03">
        <w:rPr>
          <w:rFonts w:hint="eastAsia"/>
        </w:rPr>
        <w:t>5.1</w:t>
      </w:r>
      <w:r w:rsidRPr="00E06E03">
        <w:rPr>
          <w:rFonts w:hint="eastAsia"/>
        </w:rPr>
        <w:t xml:space="preserve">　考察</w:t>
      </w:r>
      <w:bookmarkEnd w:id="22"/>
    </w:p>
    <w:p w:rsidR="00E06E03" w:rsidRDefault="00E06E03" w:rsidP="00E06E03">
      <w:pPr>
        <w:widowControl/>
        <w:jc w:val="left"/>
        <w:rPr>
          <w:szCs w:val="27"/>
        </w:rPr>
      </w:pPr>
    </w:p>
    <w:p w:rsidR="00E06E03" w:rsidRPr="00E06E03" w:rsidRDefault="00E06E03" w:rsidP="006F5349">
      <w:pPr>
        <w:pStyle w:val="2"/>
      </w:pPr>
      <w:r w:rsidRPr="00E06E03">
        <w:rPr>
          <w:rFonts w:hint="eastAsia"/>
        </w:rPr>
        <w:t xml:space="preserve">　</w:t>
      </w:r>
      <w:bookmarkStart w:id="23" w:name="_Toc503411945"/>
      <w:r w:rsidRPr="00E06E03">
        <w:rPr>
          <w:rFonts w:hint="eastAsia"/>
        </w:rPr>
        <w:t>5.2</w:t>
      </w:r>
      <w:r w:rsidRPr="00E06E03">
        <w:rPr>
          <w:rFonts w:hint="eastAsia"/>
        </w:rPr>
        <w:t xml:space="preserve">　今後の課題</w:t>
      </w:r>
      <w:bookmarkEnd w:id="23"/>
    </w:p>
    <w:p w:rsidR="00E06E03" w:rsidRDefault="00E06E03" w:rsidP="00E06E03">
      <w:pPr>
        <w:widowControl/>
        <w:jc w:val="left"/>
        <w:rPr>
          <w:szCs w:val="27"/>
        </w:rPr>
      </w:pPr>
    </w:p>
    <w:p w:rsidR="00E06E03" w:rsidRPr="00A05880" w:rsidRDefault="00E06E03" w:rsidP="00E06E03">
      <w:pPr>
        <w:widowControl/>
        <w:jc w:val="left"/>
        <w:rPr>
          <w:szCs w:val="27"/>
        </w:rPr>
      </w:pPr>
    </w:p>
    <w:p w:rsidR="00E06E03" w:rsidRPr="00E06E03" w:rsidRDefault="00E06E03" w:rsidP="006F5349">
      <w:pPr>
        <w:pStyle w:val="1"/>
      </w:pPr>
      <w:bookmarkStart w:id="24" w:name="_Toc503411946"/>
      <w:r w:rsidRPr="00E06E03">
        <w:rPr>
          <w:rFonts w:hint="eastAsia"/>
        </w:rPr>
        <w:t>謝辞</w:t>
      </w:r>
      <w:bookmarkEnd w:id="24"/>
    </w:p>
    <w:p w:rsidR="00E06E03" w:rsidRDefault="00E06E03" w:rsidP="00E06E03">
      <w:pPr>
        <w:widowControl/>
        <w:jc w:val="left"/>
        <w:rPr>
          <w:szCs w:val="27"/>
        </w:rPr>
      </w:pPr>
    </w:p>
    <w:p w:rsidR="00E06E03" w:rsidRDefault="00E06E03" w:rsidP="00E06E03">
      <w:pPr>
        <w:widowControl/>
        <w:jc w:val="left"/>
        <w:rPr>
          <w:szCs w:val="27"/>
        </w:rPr>
      </w:pPr>
    </w:p>
    <w:p w:rsidR="00E06E03" w:rsidRPr="00E06E03" w:rsidRDefault="00E06E03" w:rsidP="006F5349">
      <w:pPr>
        <w:pStyle w:val="1"/>
      </w:pPr>
      <w:bookmarkStart w:id="25" w:name="_Toc503411947"/>
      <w:r w:rsidRPr="00E06E03">
        <w:rPr>
          <w:rFonts w:hint="eastAsia"/>
        </w:rPr>
        <w:t>参考文献・</w:t>
      </w:r>
      <w:r w:rsidRPr="00E06E03">
        <w:rPr>
          <w:rFonts w:hint="eastAsia"/>
        </w:rPr>
        <w:t>URL</w:t>
      </w:r>
      <w:bookmarkEnd w:id="25"/>
    </w:p>
    <w:p w:rsidR="00D070B8" w:rsidRPr="00D070B8" w:rsidRDefault="00D070B8" w:rsidP="00EB22CB">
      <w:pPr>
        <w:rPr>
          <w:szCs w:val="27"/>
        </w:rPr>
      </w:pPr>
    </w:p>
    <w:sectPr w:rsidR="00D070B8" w:rsidRPr="00D070B8" w:rsidSect="00C40C2D">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912" w:rsidRDefault="008F3912" w:rsidP="005A7D24">
      <w:r>
        <w:separator/>
      </w:r>
    </w:p>
  </w:endnote>
  <w:endnote w:type="continuationSeparator" w:id="0">
    <w:p w:rsidR="008F3912" w:rsidRDefault="008F3912" w:rsidP="005A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2E7" w:rsidRDefault="00BE62E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51321"/>
      <w:docPartObj>
        <w:docPartGallery w:val="Page Numbers (Bottom of Page)"/>
        <w:docPartUnique/>
      </w:docPartObj>
    </w:sdtPr>
    <w:sdtEndPr/>
    <w:sdtContent>
      <w:p w:rsidR="00C40C2D" w:rsidRDefault="00C40C2D">
        <w:pPr>
          <w:pStyle w:val="a7"/>
          <w:jc w:val="center"/>
        </w:pPr>
        <w:r>
          <w:fldChar w:fldCharType="begin"/>
        </w:r>
        <w:r>
          <w:instrText>PAGE   \* MERGEFORMAT</w:instrText>
        </w:r>
        <w:r>
          <w:fldChar w:fldCharType="separate"/>
        </w:r>
        <w:r w:rsidR="008C4B72" w:rsidRPr="008C4B72">
          <w:rPr>
            <w:noProof/>
            <w:lang w:val="ja-JP"/>
          </w:rPr>
          <w:t>12</w:t>
        </w:r>
        <w:r>
          <w:fldChar w:fldCharType="end"/>
        </w:r>
      </w:p>
    </w:sdtContent>
  </w:sdt>
  <w:p w:rsidR="00C40C2D" w:rsidRDefault="00C40C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912" w:rsidRDefault="008F3912" w:rsidP="005A7D24">
      <w:r>
        <w:separator/>
      </w:r>
    </w:p>
  </w:footnote>
  <w:footnote w:type="continuationSeparator" w:id="0">
    <w:p w:rsidR="008F3912" w:rsidRDefault="008F3912" w:rsidP="005A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2D" w:rsidRDefault="00C40C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0816"/>
    <w:multiLevelType w:val="hybridMultilevel"/>
    <w:tmpl w:val="06265DFA"/>
    <w:lvl w:ilvl="0" w:tplc="0EE6F1B4">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D"/>
    <w:rsid w:val="00016237"/>
    <w:rsid w:val="00026C4D"/>
    <w:rsid w:val="00055269"/>
    <w:rsid w:val="0006782B"/>
    <w:rsid w:val="000909F1"/>
    <w:rsid w:val="00096DD2"/>
    <w:rsid w:val="000A48F8"/>
    <w:rsid w:val="000B5D58"/>
    <w:rsid w:val="000B76BC"/>
    <w:rsid w:val="000C0281"/>
    <w:rsid w:val="000C6183"/>
    <w:rsid w:val="000D32F6"/>
    <w:rsid w:val="000E16C1"/>
    <w:rsid w:val="000E2C08"/>
    <w:rsid w:val="00115AED"/>
    <w:rsid w:val="00154F75"/>
    <w:rsid w:val="00164FB4"/>
    <w:rsid w:val="0017210C"/>
    <w:rsid w:val="001905DD"/>
    <w:rsid w:val="001A2F1F"/>
    <w:rsid w:val="001E3995"/>
    <w:rsid w:val="00204765"/>
    <w:rsid w:val="0020780D"/>
    <w:rsid w:val="0021500F"/>
    <w:rsid w:val="0022514B"/>
    <w:rsid w:val="002328F3"/>
    <w:rsid w:val="00234D1D"/>
    <w:rsid w:val="00251919"/>
    <w:rsid w:val="00255D4D"/>
    <w:rsid w:val="002B3ABF"/>
    <w:rsid w:val="002B4188"/>
    <w:rsid w:val="002C098D"/>
    <w:rsid w:val="002C3CB9"/>
    <w:rsid w:val="002C47D9"/>
    <w:rsid w:val="002D4437"/>
    <w:rsid w:val="002D4FDC"/>
    <w:rsid w:val="002D6820"/>
    <w:rsid w:val="002D7335"/>
    <w:rsid w:val="002E09C7"/>
    <w:rsid w:val="002F01A0"/>
    <w:rsid w:val="003102EE"/>
    <w:rsid w:val="00315DF8"/>
    <w:rsid w:val="0036177F"/>
    <w:rsid w:val="003638EB"/>
    <w:rsid w:val="003729A3"/>
    <w:rsid w:val="003834EC"/>
    <w:rsid w:val="003A1DB1"/>
    <w:rsid w:val="003C5CE5"/>
    <w:rsid w:val="003D0EA9"/>
    <w:rsid w:val="003E3F7A"/>
    <w:rsid w:val="00407D34"/>
    <w:rsid w:val="00430AC8"/>
    <w:rsid w:val="00432EC5"/>
    <w:rsid w:val="0043364D"/>
    <w:rsid w:val="00435D05"/>
    <w:rsid w:val="00494AFA"/>
    <w:rsid w:val="00495325"/>
    <w:rsid w:val="004A6CE3"/>
    <w:rsid w:val="004F074B"/>
    <w:rsid w:val="004F241C"/>
    <w:rsid w:val="004F4591"/>
    <w:rsid w:val="00502C2C"/>
    <w:rsid w:val="005106CE"/>
    <w:rsid w:val="005141FF"/>
    <w:rsid w:val="00524FA4"/>
    <w:rsid w:val="005267E9"/>
    <w:rsid w:val="005320A5"/>
    <w:rsid w:val="00533910"/>
    <w:rsid w:val="00536A45"/>
    <w:rsid w:val="0056518E"/>
    <w:rsid w:val="00566DAB"/>
    <w:rsid w:val="00576EAA"/>
    <w:rsid w:val="005A7D24"/>
    <w:rsid w:val="005C087D"/>
    <w:rsid w:val="005D2B5A"/>
    <w:rsid w:val="005D40F3"/>
    <w:rsid w:val="005F4F56"/>
    <w:rsid w:val="0061198C"/>
    <w:rsid w:val="006207F6"/>
    <w:rsid w:val="0062396D"/>
    <w:rsid w:val="00635164"/>
    <w:rsid w:val="00650775"/>
    <w:rsid w:val="006A2F34"/>
    <w:rsid w:val="006B2132"/>
    <w:rsid w:val="006B2158"/>
    <w:rsid w:val="006E77E7"/>
    <w:rsid w:val="006F11BD"/>
    <w:rsid w:val="006F3F55"/>
    <w:rsid w:val="006F5349"/>
    <w:rsid w:val="007115D2"/>
    <w:rsid w:val="00724B75"/>
    <w:rsid w:val="0073013C"/>
    <w:rsid w:val="00761E6A"/>
    <w:rsid w:val="0077164C"/>
    <w:rsid w:val="007B15E4"/>
    <w:rsid w:val="007B5D70"/>
    <w:rsid w:val="007C405C"/>
    <w:rsid w:val="007E7D1A"/>
    <w:rsid w:val="00813CBC"/>
    <w:rsid w:val="008300A9"/>
    <w:rsid w:val="00834007"/>
    <w:rsid w:val="00846090"/>
    <w:rsid w:val="00850236"/>
    <w:rsid w:val="0086744C"/>
    <w:rsid w:val="00871B75"/>
    <w:rsid w:val="008A157C"/>
    <w:rsid w:val="008A198D"/>
    <w:rsid w:val="008C37F8"/>
    <w:rsid w:val="008C4B72"/>
    <w:rsid w:val="008D2732"/>
    <w:rsid w:val="008F2D3A"/>
    <w:rsid w:val="008F34E2"/>
    <w:rsid w:val="008F3912"/>
    <w:rsid w:val="00927985"/>
    <w:rsid w:val="009318C9"/>
    <w:rsid w:val="00940DD3"/>
    <w:rsid w:val="009417B9"/>
    <w:rsid w:val="00944651"/>
    <w:rsid w:val="00947F11"/>
    <w:rsid w:val="009549A5"/>
    <w:rsid w:val="009927B3"/>
    <w:rsid w:val="00992803"/>
    <w:rsid w:val="009A1398"/>
    <w:rsid w:val="009B1F42"/>
    <w:rsid w:val="009D7FBF"/>
    <w:rsid w:val="00A1515F"/>
    <w:rsid w:val="00A156E7"/>
    <w:rsid w:val="00A171A2"/>
    <w:rsid w:val="00A4239A"/>
    <w:rsid w:val="00A977C9"/>
    <w:rsid w:val="00AC3997"/>
    <w:rsid w:val="00AC4E25"/>
    <w:rsid w:val="00AD522E"/>
    <w:rsid w:val="00AE4B40"/>
    <w:rsid w:val="00B1276C"/>
    <w:rsid w:val="00B328A0"/>
    <w:rsid w:val="00B45C60"/>
    <w:rsid w:val="00B473E8"/>
    <w:rsid w:val="00B73583"/>
    <w:rsid w:val="00B764BF"/>
    <w:rsid w:val="00BA0610"/>
    <w:rsid w:val="00BB2397"/>
    <w:rsid w:val="00BE62E7"/>
    <w:rsid w:val="00C003F9"/>
    <w:rsid w:val="00C07BEB"/>
    <w:rsid w:val="00C40C2D"/>
    <w:rsid w:val="00C51D4D"/>
    <w:rsid w:val="00C55CD3"/>
    <w:rsid w:val="00C91B73"/>
    <w:rsid w:val="00CB7621"/>
    <w:rsid w:val="00CC2AE2"/>
    <w:rsid w:val="00CC6BF5"/>
    <w:rsid w:val="00CE65AA"/>
    <w:rsid w:val="00D070B8"/>
    <w:rsid w:val="00D15985"/>
    <w:rsid w:val="00D20865"/>
    <w:rsid w:val="00D26AF8"/>
    <w:rsid w:val="00D41994"/>
    <w:rsid w:val="00D54EE4"/>
    <w:rsid w:val="00DA4359"/>
    <w:rsid w:val="00DA658C"/>
    <w:rsid w:val="00DB7C0E"/>
    <w:rsid w:val="00E06E03"/>
    <w:rsid w:val="00E10A83"/>
    <w:rsid w:val="00E31E66"/>
    <w:rsid w:val="00E34B60"/>
    <w:rsid w:val="00E43A73"/>
    <w:rsid w:val="00E92459"/>
    <w:rsid w:val="00EB1870"/>
    <w:rsid w:val="00EB22CB"/>
    <w:rsid w:val="00EC4686"/>
    <w:rsid w:val="00ED785D"/>
    <w:rsid w:val="00F045AB"/>
    <w:rsid w:val="00F216F0"/>
    <w:rsid w:val="00F267D1"/>
    <w:rsid w:val="00F46955"/>
    <w:rsid w:val="00F63196"/>
    <w:rsid w:val="00F95CE2"/>
    <w:rsid w:val="00FA03A6"/>
    <w:rsid w:val="00FA2DA6"/>
    <w:rsid w:val="00FB1DB0"/>
    <w:rsid w:val="00FC7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640F0C"/>
  <w15:chartTrackingRefBased/>
  <w15:docId w15:val="{E0901C8E-EA6D-4874-AE6C-9BD22AE4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780D"/>
    <w:pPr>
      <w:widowControl w:val="0"/>
      <w:jc w:val="both"/>
    </w:pPr>
  </w:style>
  <w:style w:type="paragraph" w:styleId="1">
    <w:name w:val="heading 1"/>
    <w:basedOn w:val="a"/>
    <w:next w:val="a"/>
    <w:link w:val="10"/>
    <w:autoRedefine/>
    <w:uiPriority w:val="9"/>
    <w:qFormat/>
    <w:rsid w:val="00F63196"/>
    <w:pPr>
      <w:keepNext/>
      <w:outlineLvl w:val="0"/>
    </w:pPr>
    <w:rPr>
      <w:rFonts w:asciiTheme="majorHAnsi" w:hAnsiTheme="majorHAnsi" w:cstheme="majorBidi"/>
      <w:sz w:val="36"/>
      <w:szCs w:val="24"/>
    </w:rPr>
  </w:style>
  <w:style w:type="paragraph" w:styleId="2">
    <w:name w:val="heading 2"/>
    <w:basedOn w:val="a"/>
    <w:next w:val="a"/>
    <w:link w:val="20"/>
    <w:uiPriority w:val="9"/>
    <w:unhideWhenUsed/>
    <w:qFormat/>
    <w:rsid w:val="00F63196"/>
    <w:pPr>
      <w:keepNext/>
      <w:outlineLvl w:val="1"/>
    </w:pPr>
    <w:rPr>
      <w:rFonts w:asciiTheme="majorHAnsi" w:hAnsiTheme="majorHAnsi" w:cstheme="majorBidi"/>
      <w:sz w:val="28"/>
    </w:rPr>
  </w:style>
  <w:style w:type="paragraph" w:styleId="3">
    <w:name w:val="heading 3"/>
    <w:basedOn w:val="a"/>
    <w:next w:val="a"/>
    <w:link w:val="30"/>
    <w:uiPriority w:val="9"/>
    <w:unhideWhenUsed/>
    <w:qFormat/>
    <w:rsid w:val="006F5349"/>
    <w:pPr>
      <w:keepNext/>
      <w:ind w:leftChars="400" w:left="400"/>
      <w:outlineLvl w:val="2"/>
    </w:pPr>
    <w:rPr>
      <w:rFonts w:asciiTheme="majorHAnsi" w:hAnsiTheme="majorHAnsi" w:cstheme="majorBid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0780D"/>
    <w:pPr>
      <w:widowControl w:val="0"/>
      <w:jc w:val="both"/>
    </w:pPr>
  </w:style>
  <w:style w:type="paragraph" w:styleId="a4">
    <w:name w:val="List Paragraph"/>
    <w:basedOn w:val="a"/>
    <w:uiPriority w:val="34"/>
    <w:qFormat/>
    <w:rsid w:val="0020780D"/>
    <w:pPr>
      <w:ind w:leftChars="400" w:left="960"/>
    </w:pPr>
  </w:style>
  <w:style w:type="paragraph" w:styleId="a5">
    <w:name w:val="header"/>
    <w:basedOn w:val="a"/>
    <w:link w:val="a6"/>
    <w:uiPriority w:val="99"/>
    <w:unhideWhenUsed/>
    <w:rsid w:val="005A7D24"/>
    <w:pPr>
      <w:tabs>
        <w:tab w:val="center" w:pos="4252"/>
        <w:tab w:val="right" w:pos="8504"/>
      </w:tabs>
      <w:snapToGrid w:val="0"/>
    </w:pPr>
  </w:style>
  <w:style w:type="character" w:customStyle="1" w:styleId="a6">
    <w:name w:val="ヘッダー (文字)"/>
    <w:basedOn w:val="a0"/>
    <w:link w:val="a5"/>
    <w:uiPriority w:val="99"/>
    <w:rsid w:val="005A7D24"/>
  </w:style>
  <w:style w:type="paragraph" w:styleId="a7">
    <w:name w:val="footer"/>
    <w:basedOn w:val="a"/>
    <w:link w:val="a8"/>
    <w:uiPriority w:val="99"/>
    <w:unhideWhenUsed/>
    <w:rsid w:val="005A7D24"/>
    <w:pPr>
      <w:tabs>
        <w:tab w:val="center" w:pos="4252"/>
        <w:tab w:val="right" w:pos="8504"/>
      </w:tabs>
      <w:snapToGrid w:val="0"/>
    </w:pPr>
  </w:style>
  <w:style w:type="character" w:customStyle="1" w:styleId="a8">
    <w:name w:val="フッター (文字)"/>
    <w:basedOn w:val="a0"/>
    <w:link w:val="a7"/>
    <w:uiPriority w:val="99"/>
    <w:rsid w:val="005A7D24"/>
  </w:style>
  <w:style w:type="character" w:customStyle="1" w:styleId="10">
    <w:name w:val="見出し 1 (文字)"/>
    <w:basedOn w:val="a0"/>
    <w:link w:val="1"/>
    <w:uiPriority w:val="9"/>
    <w:rsid w:val="00F63196"/>
    <w:rPr>
      <w:rFonts w:asciiTheme="majorHAnsi" w:hAnsiTheme="majorHAnsi" w:cstheme="majorBidi"/>
      <w:sz w:val="36"/>
      <w:szCs w:val="24"/>
    </w:rPr>
  </w:style>
  <w:style w:type="paragraph" w:styleId="a9">
    <w:name w:val="TOC Heading"/>
    <w:basedOn w:val="1"/>
    <w:next w:val="a"/>
    <w:uiPriority w:val="39"/>
    <w:unhideWhenUsed/>
    <w:qFormat/>
    <w:rsid w:val="00F6319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63196"/>
  </w:style>
  <w:style w:type="character" w:styleId="aa">
    <w:name w:val="Hyperlink"/>
    <w:basedOn w:val="a0"/>
    <w:uiPriority w:val="99"/>
    <w:unhideWhenUsed/>
    <w:rsid w:val="00F63196"/>
    <w:rPr>
      <w:color w:val="0563C1" w:themeColor="hyperlink"/>
      <w:u w:val="single"/>
    </w:rPr>
  </w:style>
  <w:style w:type="character" w:customStyle="1" w:styleId="20">
    <w:name w:val="見出し 2 (文字)"/>
    <w:basedOn w:val="a0"/>
    <w:link w:val="2"/>
    <w:uiPriority w:val="9"/>
    <w:rsid w:val="00F63196"/>
    <w:rPr>
      <w:rFonts w:asciiTheme="majorHAnsi" w:hAnsiTheme="majorHAnsi" w:cstheme="majorBidi"/>
      <w:sz w:val="28"/>
    </w:rPr>
  </w:style>
  <w:style w:type="paragraph" w:styleId="21">
    <w:name w:val="toc 2"/>
    <w:basedOn w:val="a"/>
    <w:next w:val="a"/>
    <w:autoRedefine/>
    <w:uiPriority w:val="39"/>
    <w:unhideWhenUsed/>
    <w:rsid w:val="00F63196"/>
    <w:pPr>
      <w:ind w:leftChars="100" w:left="210"/>
    </w:pPr>
  </w:style>
  <w:style w:type="character" w:customStyle="1" w:styleId="30">
    <w:name w:val="見出し 3 (文字)"/>
    <w:basedOn w:val="a0"/>
    <w:link w:val="3"/>
    <w:uiPriority w:val="9"/>
    <w:rsid w:val="006F5349"/>
    <w:rPr>
      <w:rFonts w:asciiTheme="majorHAnsi" w:hAnsiTheme="majorHAnsi" w:cstheme="majorBidi"/>
      <w:sz w:val="26"/>
    </w:rPr>
  </w:style>
  <w:style w:type="paragraph" w:styleId="31">
    <w:name w:val="toc 3"/>
    <w:basedOn w:val="a"/>
    <w:next w:val="a"/>
    <w:autoRedefine/>
    <w:uiPriority w:val="39"/>
    <w:unhideWhenUsed/>
    <w:rsid w:val="006F5349"/>
    <w:pPr>
      <w:ind w:leftChars="200" w:left="420"/>
    </w:pPr>
  </w:style>
  <w:style w:type="paragraph" w:styleId="ab">
    <w:name w:val="caption"/>
    <w:basedOn w:val="a"/>
    <w:next w:val="a"/>
    <w:uiPriority w:val="35"/>
    <w:unhideWhenUsed/>
    <w:qFormat/>
    <w:rsid w:val="005D40F3"/>
    <w:rPr>
      <w:b/>
      <w:bCs/>
      <w:szCs w:val="21"/>
    </w:rPr>
  </w:style>
  <w:style w:type="table" w:styleId="ac">
    <w:name w:val="Table Grid"/>
    <w:basedOn w:val="a1"/>
    <w:uiPriority w:val="39"/>
    <w:rsid w:val="00C55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2908">
      <w:bodyDiv w:val="1"/>
      <w:marLeft w:val="0"/>
      <w:marRight w:val="0"/>
      <w:marTop w:val="0"/>
      <w:marBottom w:val="0"/>
      <w:divBdr>
        <w:top w:val="none" w:sz="0" w:space="0" w:color="auto"/>
        <w:left w:val="none" w:sz="0" w:space="0" w:color="auto"/>
        <w:bottom w:val="none" w:sz="0" w:space="0" w:color="auto"/>
        <w:right w:val="none" w:sz="0" w:space="0" w:color="auto"/>
      </w:divBdr>
    </w:div>
    <w:div w:id="124861329">
      <w:bodyDiv w:val="1"/>
      <w:marLeft w:val="0"/>
      <w:marRight w:val="0"/>
      <w:marTop w:val="0"/>
      <w:marBottom w:val="0"/>
      <w:divBdr>
        <w:top w:val="none" w:sz="0" w:space="0" w:color="auto"/>
        <w:left w:val="none" w:sz="0" w:space="0" w:color="auto"/>
        <w:bottom w:val="none" w:sz="0" w:space="0" w:color="auto"/>
        <w:right w:val="none" w:sz="0" w:space="0" w:color="auto"/>
      </w:divBdr>
    </w:div>
    <w:div w:id="162934706">
      <w:bodyDiv w:val="1"/>
      <w:marLeft w:val="0"/>
      <w:marRight w:val="0"/>
      <w:marTop w:val="0"/>
      <w:marBottom w:val="0"/>
      <w:divBdr>
        <w:top w:val="none" w:sz="0" w:space="0" w:color="auto"/>
        <w:left w:val="none" w:sz="0" w:space="0" w:color="auto"/>
        <w:bottom w:val="none" w:sz="0" w:space="0" w:color="auto"/>
        <w:right w:val="none" w:sz="0" w:space="0" w:color="auto"/>
      </w:divBdr>
    </w:div>
    <w:div w:id="292685701">
      <w:bodyDiv w:val="1"/>
      <w:marLeft w:val="0"/>
      <w:marRight w:val="0"/>
      <w:marTop w:val="0"/>
      <w:marBottom w:val="0"/>
      <w:divBdr>
        <w:top w:val="none" w:sz="0" w:space="0" w:color="auto"/>
        <w:left w:val="none" w:sz="0" w:space="0" w:color="auto"/>
        <w:bottom w:val="none" w:sz="0" w:space="0" w:color="auto"/>
        <w:right w:val="none" w:sz="0" w:space="0" w:color="auto"/>
      </w:divBdr>
    </w:div>
    <w:div w:id="339044627">
      <w:bodyDiv w:val="1"/>
      <w:marLeft w:val="0"/>
      <w:marRight w:val="0"/>
      <w:marTop w:val="0"/>
      <w:marBottom w:val="0"/>
      <w:divBdr>
        <w:top w:val="none" w:sz="0" w:space="0" w:color="auto"/>
        <w:left w:val="none" w:sz="0" w:space="0" w:color="auto"/>
        <w:bottom w:val="none" w:sz="0" w:space="0" w:color="auto"/>
        <w:right w:val="none" w:sz="0" w:space="0" w:color="auto"/>
      </w:divBdr>
    </w:div>
    <w:div w:id="424883078">
      <w:bodyDiv w:val="1"/>
      <w:marLeft w:val="0"/>
      <w:marRight w:val="0"/>
      <w:marTop w:val="0"/>
      <w:marBottom w:val="0"/>
      <w:divBdr>
        <w:top w:val="none" w:sz="0" w:space="0" w:color="auto"/>
        <w:left w:val="none" w:sz="0" w:space="0" w:color="auto"/>
        <w:bottom w:val="none" w:sz="0" w:space="0" w:color="auto"/>
        <w:right w:val="none" w:sz="0" w:space="0" w:color="auto"/>
      </w:divBdr>
    </w:div>
    <w:div w:id="655643508">
      <w:bodyDiv w:val="1"/>
      <w:marLeft w:val="0"/>
      <w:marRight w:val="0"/>
      <w:marTop w:val="0"/>
      <w:marBottom w:val="0"/>
      <w:divBdr>
        <w:top w:val="none" w:sz="0" w:space="0" w:color="auto"/>
        <w:left w:val="none" w:sz="0" w:space="0" w:color="auto"/>
        <w:bottom w:val="none" w:sz="0" w:space="0" w:color="auto"/>
        <w:right w:val="none" w:sz="0" w:space="0" w:color="auto"/>
      </w:divBdr>
    </w:div>
    <w:div w:id="844511152">
      <w:bodyDiv w:val="1"/>
      <w:marLeft w:val="0"/>
      <w:marRight w:val="0"/>
      <w:marTop w:val="0"/>
      <w:marBottom w:val="0"/>
      <w:divBdr>
        <w:top w:val="none" w:sz="0" w:space="0" w:color="auto"/>
        <w:left w:val="none" w:sz="0" w:space="0" w:color="auto"/>
        <w:bottom w:val="none" w:sz="0" w:space="0" w:color="auto"/>
        <w:right w:val="none" w:sz="0" w:space="0" w:color="auto"/>
      </w:divBdr>
    </w:div>
    <w:div w:id="880744776">
      <w:bodyDiv w:val="1"/>
      <w:marLeft w:val="0"/>
      <w:marRight w:val="0"/>
      <w:marTop w:val="0"/>
      <w:marBottom w:val="0"/>
      <w:divBdr>
        <w:top w:val="none" w:sz="0" w:space="0" w:color="auto"/>
        <w:left w:val="none" w:sz="0" w:space="0" w:color="auto"/>
        <w:bottom w:val="none" w:sz="0" w:space="0" w:color="auto"/>
        <w:right w:val="none" w:sz="0" w:space="0" w:color="auto"/>
      </w:divBdr>
    </w:div>
    <w:div w:id="1065450728">
      <w:bodyDiv w:val="1"/>
      <w:marLeft w:val="0"/>
      <w:marRight w:val="0"/>
      <w:marTop w:val="0"/>
      <w:marBottom w:val="0"/>
      <w:divBdr>
        <w:top w:val="none" w:sz="0" w:space="0" w:color="auto"/>
        <w:left w:val="none" w:sz="0" w:space="0" w:color="auto"/>
        <w:bottom w:val="none" w:sz="0" w:space="0" w:color="auto"/>
        <w:right w:val="none" w:sz="0" w:space="0" w:color="auto"/>
      </w:divBdr>
    </w:div>
    <w:div w:id="1115061524">
      <w:bodyDiv w:val="1"/>
      <w:marLeft w:val="0"/>
      <w:marRight w:val="0"/>
      <w:marTop w:val="0"/>
      <w:marBottom w:val="0"/>
      <w:divBdr>
        <w:top w:val="none" w:sz="0" w:space="0" w:color="auto"/>
        <w:left w:val="none" w:sz="0" w:space="0" w:color="auto"/>
        <w:bottom w:val="none" w:sz="0" w:space="0" w:color="auto"/>
        <w:right w:val="none" w:sz="0" w:space="0" w:color="auto"/>
      </w:divBdr>
    </w:div>
    <w:div w:id="1155410194">
      <w:bodyDiv w:val="1"/>
      <w:marLeft w:val="0"/>
      <w:marRight w:val="0"/>
      <w:marTop w:val="0"/>
      <w:marBottom w:val="0"/>
      <w:divBdr>
        <w:top w:val="none" w:sz="0" w:space="0" w:color="auto"/>
        <w:left w:val="none" w:sz="0" w:space="0" w:color="auto"/>
        <w:bottom w:val="none" w:sz="0" w:space="0" w:color="auto"/>
        <w:right w:val="none" w:sz="0" w:space="0" w:color="auto"/>
      </w:divBdr>
    </w:div>
    <w:div w:id="1223171897">
      <w:bodyDiv w:val="1"/>
      <w:marLeft w:val="0"/>
      <w:marRight w:val="0"/>
      <w:marTop w:val="0"/>
      <w:marBottom w:val="0"/>
      <w:divBdr>
        <w:top w:val="none" w:sz="0" w:space="0" w:color="auto"/>
        <w:left w:val="none" w:sz="0" w:space="0" w:color="auto"/>
        <w:bottom w:val="none" w:sz="0" w:space="0" w:color="auto"/>
        <w:right w:val="none" w:sz="0" w:space="0" w:color="auto"/>
      </w:divBdr>
    </w:div>
    <w:div w:id="1339969192">
      <w:bodyDiv w:val="1"/>
      <w:marLeft w:val="0"/>
      <w:marRight w:val="0"/>
      <w:marTop w:val="0"/>
      <w:marBottom w:val="0"/>
      <w:divBdr>
        <w:top w:val="none" w:sz="0" w:space="0" w:color="auto"/>
        <w:left w:val="none" w:sz="0" w:space="0" w:color="auto"/>
        <w:bottom w:val="none" w:sz="0" w:space="0" w:color="auto"/>
        <w:right w:val="none" w:sz="0" w:space="0" w:color="auto"/>
      </w:divBdr>
    </w:div>
    <w:div w:id="1404719051">
      <w:bodyDiv w:val="1"/>
      <w:marLeft w:val="0"/>
      <w:marRight w:val="0"/>
      <w:marTop w:val="0"/>
      <w:marBottom w:val="0"/>
      <w:divBdr>
        <w:top w:val="none" w:sz="0" w:space="0" w:color="auto"/>
        <w:left w:val="none" w:sz="0" w:space="0" w:color="auto"/>
        <w:bottom w:val="none" w:sz="0" w:space="0" w:color="auto"/>
        <w:right w:val="none" w:sz="0" w:space="0" w:color="auto"/>
      </w:divBdr>
    </w:div>
    <w:div w:id="1448349446">
      <w:bodyDiv w:val="1"/>
      <w:marLeft w:val="0"/>
      <w:marRight w:val="0"/>
      <w:marTop w:val="0"/>
      <w:marBottom w:val="0"/>
      <w:divBdr>
        <w:top w:val="none" w:sz="0" w:space="0" w:color="auto"/>
        <w:left w:val="none" w:sz="0" w:space="0" w:color="auto"/>
        <w:bottom w:val="none" w:sz="0" w:space="0" w:color="auto"/>
        <w:right w:val="none" w:sz="0" w:space="0" w:color="auto"/>
      </w:divBdr>
    </w:div>
    <w:div w:id="1470316308">
      <w:bodyDiv w:val="1"/>
      <w:marLeft w:val="0"/>
      <w:marRight w:val="0"/>
      <w:marTop w:val="0"/>
      <w:marBottom w:val="0"/>
      <w:divBdr>
        <w:top w:val="none" w:sz="0" w:space="0" w:color="auto"/>
        <w:left w:val="none" w:sz="0" w:space="0" w:color="auto"/>
        <w:bottom w:val="none" w:sz="0" w:space="0" w:color="auto"/>
        <w:right w:val="none" w:sz="0" w:space="0" w:color="auto"/>
      </w:divBdr>
    </w:div>
    <w:div w:id="1576933156">
      <w:bodyDiv w:val="1"/>
      <w:marLeft w:val="0"/>
      <w:marRight w:val="0"/>
      <w:marTop w:val="0"/>
      <w:marBottom w:val="0"/>
      <w:divBdr>
        <w:top w:val="none" w:sz="0" w:space="0" w:color="auto"/>
        <w:left w:val="none" w:sz="0" w:space="0" w:color="auto"/>
        <w:bottom w:val="none" w:sz="0" w:space="0" w:color="auto"/>
        <w:right w:val="none" w:sz="0" w:space="0" w:color="auto"/>
      </w:divBdr>
    </w:div>
    <w:div w:id="1886746639">
      <w:bodyDiv w:val="1"/>
      <w:marLeft w:val="0"/>
      <w:marRight w:val="0"/>
      <w:marTop w:val="0"/>
      <w:marBottom w:val="0"/>
      <w:divBdr>
        <w:top w:val="none" w:sz="0" w:space="0" w:color="auto"/>
        <w:left w:val="none" w:sz="0" w:space="0" w:color="auto"/>
        <w:bottom w:val="none" w:sz="0" w:space="0" w:color="auto"/>
        <w:right w:val="none" w:sz="0" w:space="0" w:color="auto"/>
      </w:divBdr>
    </w:div>
    <w:div w:id="1891843569">
      <w:bodyDiv w:val="1"/>
      <w:marLeft w:val="0"/>
      <w:marRight w:val="0"/>
      <w:marTop w:val="0"/>
      <w:marBottom w:val="0"/>
      <w:divBdr>
        <w:top w:val="none" w:sz="0" w:space="0" w:color="auto"/>
        <w:left w:val="none" w:sz="0" w:space="0" w:color="auto"/>
        <w:bottom w:val="none" w:sz="0" w:space="0" w:color="auto"/>
        <w:right w:val="none" w:sz="0" w:space="0" w:color="auto"/>
      </w:divBdr>
    </w:div>
    <w:div w:id="19805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1205\Desktop\&#36039;&#26009;\&#20462;&#35542;\&#20462;&#35542;&#20998;&#26512;_temp\&#36942;&#21435;&#12398;&#36039;&#29987;&#27083;&#25104;&#21106;&#21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国内債券</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Sheet1!$B$2:$B$17</c:f>
              <c:numCache>
                <c:formatCode>0.00%</c:formatCode>
                <c:ptCount val="16"/>
                <c:pt idx="0">
                  <c:v>0.68079999999999996</c:v>
                </c:pt>
                <c:pt idx="1">
                  <c:v>0.69389999999999996</c:v>
                </c:pt>
                <c:pt idx="2">
                  <c:v>0.67500000000000004</c:v>
                </c:pt>
                <c:pt idx="3">
                  <c:v>0.69769999999999999</c:v>
                </c:pt>
                <c:pt idx="4">
                  <c:v>0.63749999999999996</c:v>
                </c:pt>
                <c:pt idx="5">
                  <c:v>0.64400000000000002</c:v>
                </c:pt>
                <c:pt idx="6">
                  <c:v>0.71340000000000003</c:v>
                </c:pt>
                <c:pt idx="7">
                  <c:v>0.73939999999999995</c:v>
                </c:pt>
                <c:pt idx="8">
                  <c:v>0.6754</c:v>
                </c:pt>
                <c:pt idx="9">
                  <c:v>0.66590000000000005</c:v>
                </c:pt>
                <c:pt idx="10">
                  <c:v>0.63300000000000001</c:v>
                </c:pt>
                <c:pt idx="11">
                  <c:v>0.61809999999999998</c:v>
                </c:pt>
                <c:pt idx="12">
                  <c:v>0.55430000000000001</c:v>
                </c:pt>
                <c:pt idx="13">
                  <c:v>0.41249999999999998</c:v>
                </c:pt>
                <c:pt idx="14">
                  <c:v>0.39190000000000003</c:v>
                </c:pt>
                <c:pt idx="15">
                  <c:v>0.33040000000000003</c:v>
                </c:pt>
              </c:numCache>
            </c:numRef>
          </c:val>
          <c:smooth val="0"/>
          <c:extLst>
            <c:ext xmlns:c16="http://schemas.microsoft.com/office/drawing/2014/chart" uri="{C3380CC4-5D6E-409C-BE32-E72D297353CC}">
              <c16:uniqueId val="{00000000-8871-41E4-BF26-53EBF4F83EB2}"/>
            </c:ext>
          </c:extLst>
        </c:ser>
        <c:ser>
          <c:idx val="1"/>
          <c:order val="1"/>
          <c:tx>
            <c:strRef>
              <c:f>Sheet1!$C$1</c:f>
              <c:strCache>
                <c:ptCount val="1"/>
                <c:pt idx="0">
                  <c:v>国内株式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Sheet1!$C$2:$C$17</c:f>
              <c:numCache>
                <c:formatCode>0.00%</c:formatCode>
                <c:ptCount val="16"/>
                <c:pt idx="0">
                  <c:v>0.17680000000000001</c:v>
                </c:pt>
                <c:pt idx="1">
                  <c:v>0.14699999999999999</c:v>
                </c:pt>
                <c:pt idx="2">
                  <c:v>0.1706</c:v>
                </c:pt>
                <c:pt idx="3">
                  <c:v>0.1424</c:v>
                </c:pt>
                <c:pt idx="4">
                  <c:v>0.1845</c:v>
                </c:pt>
                <c:pt idx="5">
                  <c:v>0.16650000000000001</c:v>
                </c:pt>
                <c:pt idx="6">
                  <c:v>0.115</c:v>
                </c:pt>
                <c:pt idx="7">
                  <c:v>9.69E-2</c:v>
                </c:pt>
                <c:pt idx="8">
                  <c:v>0.1201</c:v>
                </c:pt>
                <c:pt idx="9">
                  <c:v>0.1153</c:v>
                </c:pt>
                <c:pt idx="10">
                  <c:v>0.125</c:v>
                </c:pt>
                <c:pt idx="11">
                  <c:v>0.1457</c:v>
                </c:pt>
                <c:pt idx="12">
                  <c:v>0.16470000000000001</c:v>
                </c:pt>
                <c:pt idx="13">
                  <c:v>0.23039999999999999</c:v>
                </c:pt>
                <c:pt idx="14">
                  <c:v>0.2268</c:v>
                </c:pt>
                <c:pt idx="15">
                  <c:v>0.24279999999999999</c:v>
                </c:pt>
              </c:numCache>
            </c:numRef>
          </c:val>
          <c:smooth val="0"/>
          <c:extLst>
            <c:ext xmlns:c16="http://schemas.microsoft.com/office/drawing/2014/chart" uri="{C3380CC4-5D6E-409C-BE32-E72D297353CC}">
              <c16:uniqueId val="{00000001-8871-41E4-BF26-53EBF4F83EB2}"/>
            </c:ext>
          </c:extLst>
        </c:ser>
        <c:ser>
          <c:idx val="2"/>
          <c:order val="2"/>
          <c:tx>
            <c:strRef>
              <c:f>Sheet1!$D$1</c:f>
              <c:strCache>
                <c:ptCount val="1"/>
                <c:pt idx="0">
                  <c:v>外国債券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Sheet1!$D$2:$D$17</c:f>
              <c:numCache>
                <c:formatCode>0.00%</c:formatCode>
                <c:ptCount val="16"/>
                <c:pt idx="0">
                  <c:v>3.49E-2</c:v>
                </c:pt>
                <c:pt idx="1">
                  <c:v>5.0700000000000002E-2</c:v>
                </c:pt>
                <c:pt idx="2">
                  <c:v>5.62E-2</c:v>
                </c:pt>
                <c:pt idx="3">
                  <c:v>6.6400000000000001E-2</c:v>
                </c:pt>
                <c:pt idx="4">
                  <c:v>7.3400000000000007E-2</c:v>
                </c:pt>
                <c:pt idx="5">
                  <c:v>7.9200000000000007E-2</c:v>
                </c:pt>
                <c:pt idx="6">
                  <c:v>8.0600000000000005E-2</c:v>
                </c:pt>
                <c:pt idx="7">
                  <c:v>8.5099999999999995E-2</c:v>
                </c:pt>
                <c:pt idx="8">
                  <c:v>8.2600000000000007E-2</c:v>
                </c:pt>
                <c:pt idx="9">
                  <c:v>8.1100000000000005E-2</c:v>
                </c:pt>
                <c:pt idx="10">
                  <c:v>8.7400000000000005E-2</c:v>
                </c:pt>
                <c:pt idx="11">
                  <c:v>9.7900000000000001E-2</c:v>
                </c:pt>
                <c:pt idx="12">
                  <c:v>0.1106</c:v>
                </c:pt>
                <c:pt idx="13">
                  <c:v>0.1323</c:v>
                </c:pt>
                <c:pt idx="14">
                  <c:v>0.14050000000000001</c:v>
                </c:pt>
                <c:pt idx="15">
                  <c:v>0.1358</c:v>
                </c:pt>
              </c:numCache>
            </c:numRef>
          </c:val>
          <c:smooth val="0"/>
          <c:extLst>
            <c:ext xmlns:c16="http://schemas.microsoft.com/office/drawing/2014/chart" uri="{C3380CC4-5D6E-409C-BE32-E72D297353CC}">
              <c16:uniqueId val="{00000002-8871-41E4-BF26-53EBF4F83EB2}"/>
            </c:ext>
          </c:extLst>
        </c:ser>
        <c:ser>
          <c:idx val="3"/>
          <c:order val="3"/>
          <c:tx>
            <c:strRef>
              <c:f>Sheet1!$E$1</c:f>
              <c:strCache>
                <c:ptCount val="1"/>
                <c:pt idx="0">
                  <c:v>外国株式</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Sheet1!$A$2:$A$17</c:f>
              <c:strCache>
                <c:ptCount val="16"/>
                <c:pt idx="0">
                  <c:v>平成13年度末</c:v>
                </c:pt>
                <c:pt idx="1">
                  <c:v>平成14年度末</c:v>
                </c:pt>
                <c:pt idx="2">
                  <c:v>平成15年度末</c:v>
                </c:pt>
                <c:pt idx="3">
                  <c:v>平成16年度末</c:v>
                </c:pt>
                <c:pt idx="4">
                  <c:v>平成17年度末</c:v>
                </c:pt>
                <c:pt idx="5">
                  <c:v>平成18年度末</c:v>
                </c:pt>
                <c:pt idx="6">
                  <c:v>平成19年度末</c:v>
                </c:pt>
                <c:pt idx="7">
                  <c:v>平成20年度末</c:v>
                </c:pt>
                <c:pt idx="8">
                  <c:v>平成21年度末</c:v>
                </c:pt>
                <c:pt idx="9">
                  <c:v>平成22年度末</c:v>
                </c:pt>
                <c:pt idx="10">
                  <c:v>平成23年度末</c:v>
                </c:pt>
                <c:pt idx="11">
                  <c:v>平成24年度末</c:v>
                </c:pt>
                <c:pt idx="12">
                  <c:v>平成25年度末</c:v>
                </c:pt>
                <c:pt idx="13">
                  <c:v>平成26年度末</c:v>
                </c:pt>
                <c:pt idx="14">
                  <c:v>平成27年度末</c:v>
                </c:pt>
                <c:pt idx="15">
                  <c:v>平成28年度末</c:v>
                </c:pt>
              </c:strCache>
            </c:strRef>
          </c:cat>
          <c:val>
            <c:numRef>
              <c:f>Sheet1!$E$2:$E$17</c:f>
              <c:numCache>
                <c:formatCode>0.00%</c:formatCode>
                <c:ptCount val="16"/>
                <c:pt idx="0">
                  <c:v>9.9000000000000005E-2</c:v>
                </c:pt>
                <c:pt idx="1">
                  <c:v>8.8999999999999996E-2</c:v>
                </c:pt>
                <c:pt idx="2">
                  <c:v>8.4199999999999997E-2</c:v>
                </c:pt>
                <c:pt idx="3">
                  <c:v>9.3399999999999997E-2</c:v>
                </c:pt>
                <c:pt idx="4">
                  <c:v>0.1046</c:v>
                </c:pt>
                <c:pt idx="5">
                  <c:v>0.1103</c:v>
                </c:pt>
                <c:pt idx="6">
                  <c:v>9.0999999999999998E-2</c:v>
                </c:pt>
                <c:pt idx="7">
                  <c:v>7.7200000000000005E-2</c:v>
                </c:pt>
                <c:pt idx="8">
                  <c:v>0.1079</c:v>
                </c:pt>
                <c:pt idx="9">
                  <c:v>0.11260000000000001</c:v>
                </c:pt>
                <c:pt idx="10">
                  <c:v>0.11459999999999999</c:v>
                </c:pt>
                <c:pt idx="11">
                  <c:v>0.1235</c:v>
                </c:pt>
                <c:pt idx="12">
                  <c:v>0.15590000000000001</c:v>
                </c:pt>
                <c:pt idx="13">
                  <c:v>0.21879999999999999</c:v>
                </c:pt>
                <c:pt idx="14">
                  <c:v>0.2306</c:v>
                </c:pt>
                <c:pt idx="15">
                  <c:v>0.24099999999999999</c:v>
                </c:pt>
              </c:numCache>
            </c:numRef>
          </c:val>
          <c:smooth val="0"/>
          <c:extLst>
            <c:ext xmlns:c16="http://schemas.microsoft.com/office/drawing/2014/chart" uri="{C3380CC4-5D6E-409C-BE32-E72D297353CC}">
              <c16:uniqueId val="{00000003-8871-41E4-BF26-53EBF4F83EB2}"/>
            </c:ext>
          </c:extLst>
        </c:ser>
        <c:dLbls>
          <c:showLegendKey val="0"/>
          <c:showVal val="0"/>
          <c:showCatName val="0"/>
          <c:showSerName val="0"/>
          <c:showPercent val="0"/>
          <c:showBubbleSize val="0"/>
        </c:dLbls>
        <c:marker val="1"/>
        <c:smooth val="0"/>
        <c:axId val="364313816"/>
        <c:axId val="364318520"/>
      </c:lineChart>
      <c:catAx>
        <c:axId val="364313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4318520"/>
        <c:crosses val="autoZero"/>
        <c:auto val="1"/>
        <c:lblAlgn val="ctr"/>
        <c:lblOffset val="100"/>
        <c:noMultiLvlLbl val="0"/>
      </c:catAx>
      <c:valAx>
        <c:axId val="364318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64313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メイリオ" panose="020B0604030504040204" pitchFamily="50" charset="-128"/>
              <a:ea typeface="メイリオ" panose="020B0604030504040204"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C9B37-A3FD-4112-8F44-D9AD0A26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1544</Words>
  <Characters>8804</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Tatsuya Ikeda</dc:creator>
  <cp:keywords/>
  <dc:description/>
  <cp:lastModifiedBy>村瀬克成</cp:lastModifiedBy>
  <cp:revision>2</cp:revision>
  <dcterms:created xsi:type="dcterms:W3CDTF">2018-01-10T23:35:00Z</dcterms:created>
  <dcterms:modified xsi:type="dcterms:W3CDTF">2018-01-10T23:35:00Z</dcterms:modified>
</cp:coreProperties>
</file>