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jpg" ContentType="image/jpeg"/>
  <Override PartName="/word/media/rId11.jpg" ContentType="image/jpeg"/>
  <Override PartName="/word/media/rId37.png" ContentType="image/png"/>
  <Override PartName="/word/media/rId19.png" ContentType="image/png"/>
  <Override PartName="/word/media/rId34.png" ContentType="image/png"/>
  <Override PartName="/word/media/rId31.png" ContentType="image/png"/>
  <Override PartName="/word/media/rId43.png" ContentType="image/png"/>
  <Override PartName="/word/media/rId47.png" ContentType="image/png"/>
  <Override PartName="/word/media/rId50.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X049fa71e79ae8d6cbd06c22df3db461af9920bb"/>
    <w:p>
      <w:pPr>
        <w:pStyle w:val="Heading1"/>
      </w:pPr>
      <w:r>
        <w:t xml:space="preserve">Probabilistic and Bayesian Machine Learning for Landslide Susceptibility Mapping in Chittagong Metropolitan Area, Bangladesh: Demo Manuscript (Bayesian Deployment with Benchmark Comparison)</w:t>
      </w:r>
    </w:p>
    <w:p>
      <w:pPr>
        <w:pStyle w:val="FirstParagraph"/>
      </w:pPr>
      <w:r>
        <w:rPr>
          <w:b/>
          <w:bCs/>
        </w:rPr>
        <w:t xml:space="preserve">[Golam Murad]</w:t>
      </w:r>
    </w:p>
    <w:bookmarkStart w:id="9" w:name="abstract"/>
    <w:p>
      <w:pPr>
        <w:pStyle w:val="Heading2"/>
      </w:pPr>
      <w:r>
        <w:t xml:space="preserve">Abstract</w:t>
      </w:r>
    </w:p>
    <w:p>
      <w:pPr>
        <w:pStyle w:val="FirstParagraph"/>
      </w:pPr>
      <w:r>
        <w:t xml:space="preserve">This study presents an uncertainty-aware landslide susceptibility workflow that benchmarks deterministic and Bayesian models under identical validation while constraining final deployment to Bayesian candidates. Using 369 labeled samples and 14 conditioning factors, four models were assessed: Bayesian Logistic Regression (BLR), Gaussian Process Classifier (GPC), L2-regularized Logistic Regression (LogReg_L2), and RandomForest. The benchmark leader was RandomForest (holdout MCC = 0.611; ROC-AUC = 0.866), while GPC was the best Bayesian model (holdout MCC = 0.481; ROC-AUC = 0.821; ECE = 0.084). Weighted ranking over repeated CV, holdout, spatial CV, and calibration placed RandomForest first overall, but final deployment remained GPC by design because susceptibility and uncertainty products require Bayesian posterior uncertainty representation and uncertainty-consistent interpretation. Friedman test on CV F1 scores indicated significant model differences (statistic = 17.7273, p = 0.0005006466), with Nemenyi post-hoc analysis saved in repository outputs. Final GPC-based mapping yielded a Very High class covering 9.47% of area and containing 78.71% of mapped landslides (SCAI = 0.120).</w:t>
      </w:r>
    </w:p>
    <w:p>
      <w:pPr>
        <w:pStyle w:val="BodyText"/>
      </w:pPr>
      <w:r>
        <w:rPr>
          <w:b/>
          <w:bCs/>
        </w:rPr>
        <w:t xml:space="preserve">Keywords:</w:t>
      </w:r>
      <w:r>
        <w:t xml:space="preserve"> </w:t>
      </w:r>
      <w:r>
        <w:t xml:space="preserve">landslide susceptibility, Bayesian machine learning, uncertainty mapping, Gaussian process classifier, benchmark comparison, calibration, spatial cross-validation</w:t>
      </w:r>
    </w:p>
    <w:bookmarkEnd w:id="9"/>
    <w:bookmarkStart w:id="10" w:name="introduction"/>
    <w:p>
      <w:pPr>
        <w:pStyle w:val="Heading2"/>
      </w:pPr>
      <w:r>
        <w:t xml:space="preserve">1. Introduction</w:t>
      </w:r>
    </w:p>
    <w:p>
      <w:pPr>
        <w:pStyle w:val="FirstParagraph"/>
      </w:pPr>
      <w:r>
        <w:t xml:space="preserve">Landslide susceptibility mapping for planning applications benefits from both strong discrimination and explicit uncertainty quantification. Deterministic models may achieve high predictive scores, but Bayesian models are often preferred when posterior uncertainty representation is a core objective.</w:t>
      </w:r>
    </w:p>
    <w:p>
      <w:pPr>
        <w:pStyle w:val="BodyText"/>
      </w:pPr>
      <w:r>
        <w:t xml:space="preserve">Accordingly, this workflow distinguishes:</w:t>
      </w:r>
    </w:p>
    <w:p>
      <w:pPr>
        <w:pStyle w:val="Compact"/>
        <w:numPr>
          <w:ilvl w:val="0"/>
          <w:numId w:val="1001"/>
        </w:numPr>
      </w:pPr>
      <w:r>
        <w:rPr>
          <w:b/>
          <w:bCs/>
        </w:rPr>
        <w:t xml:space="preserve">Benchmark performance models:</w:t>
      </w:r>
      <w:r>
        <w:t xml:space="preserve"> </w:t>
      </w:r>
      <w:r>
        <w:rPr>
          <w:rStyle w:val="VerbatimChar"/>
        </w:rPr>
        <w:t xml:space="preserve">LogReg_L2</w:t>
      </w:r>
      <w:r>
        <w:t xml:space="preserve">,</w:t>
      </w:r>
      <w:r>
        <w:t xml:space="preserve"> </w:t>
      </w:r>
      <w:r>
        <w:rPr>
          <w:rStyle w:val="VerbatimChar"/>
        </w:rPr>
        <w:t xml:space="preserve">RandomForest</w:t>
      </w:r>
    </w:p>
    <w:p>
      <w:pPr>
        <w:pStyle w:val="Compact"/>
        <w:numPr>
          <w:ilvl w:val="0"/>
          <w:numId w:val="1001"/>
        </w:numPr>
      </w:pPr>
      <w:r>
        <w:rPr>
          <w:b/>
          <w:bCs/>
        </w:rPr>
        <w:t xml:space="preserve">Bayesian deployment candidates:</w:t>
      </w:r>
      <w:r>
        <w:t xml:space="preserve"> </w:t>
      </w:r>
      <w:r>
        <w:rPr>
          <w:rStyle w:val="VerbatimChar"/>
        </w:rPr>
        <w:t xml:space="preserve">BLR</w:t>
      </w:r>
      <w:r>
        <w:t xml:space="preserve">,</w:t>
      </w:r>
      <w:r>
        <w:t xml:space="preserve"> </w:t>
      </w:r>
      <w:r>
        <w:rPr>
          <w:rStyle w:val="VerbatimChar"/>
        </w:rPr>
        <w:t xml:space="preserve">GPC</w:t>
      </w:r>
    </w:p>
    <w:p>
      <w:pPr>
        <w:pStyle w:val="FirstParagraph"/>
      </w:pPr>
      <w:r>
        <w:t xml:space="preserve">All models are benchmarked under identical conditions, but final map generation is restricted to the best Bayesian candidate.</w:t>
      </w:r>
    </w:p>
    <w:bookmarkEnd w:id="10"/>
    <w:bookmarkStart w:id="30" w:name="materials-and-methods"/>
    <w:p>
      <w:pPr>
        <w:pStyle w:val="Heading2"/>
      </w:pPr>
      <w:r>
        <w:t xml:space="preserve">2. Materials and Methods</w:t>
      </w:r>
    </w:p>
    <w:bookmarkStart w:id="14" w:name="study-area"/>
    <w:p>
      <w:pPr>
        <w:pStyle w:val="Heading3"/>
      </w:pPr>
      <w:r>
        <w:t xml:space="preserve">2.1 Study Area</w:t>
      </w:r>
    </w:p>
    <w:p>
      <w:pPr>
        <w:pStyle w:val="FirstParagraph"/>
      </w:pPr>
      <w:r>
        <w:t xml:space="preserve">The study area is the Chittagong Metropolitan Area (Bangladesh), approximately bounded by longitude 91.7589-91.8425 and latitude 22.3269-22.4907 (WGS84).</w:t>
      </w:r>
    </w:p>
    <w:p>
      <w:pPr>
        <w:pStyle w:val="CaptionedFigure"/>
      </w:pPr>
      <w:r>
        <w:drawing>
          <wp:inline>
            <wp:extent cx="5334000" cy="4121727"/>
            <wp:effectExtent b="0" l="0" r="0" t="0"/>
            <wp:docPr descr="Figure 1. Study area map." title="" id="12" name="Picture"/>
            <a:graphic>
              <a:graphicData uri="http://schemas.openxmlformats.org/drawingml/2006/picture">
                <pic:pic>
                  <pic:nvPicPr>
                    <pic:cNvPr descr="../Study%20Area%20Map/Study%20area%20map.jpeg" id="13" name="Picture"/>
                    <pic:cNvPicPr>
                      <a:picLocks noChangeArrowheads="1" noChangeAspect="1"/>
                    </pic:cNvPicPr>
                  </pic:nvPicPr>
                  <pic:blipFill>
                    <a:blip r:embed="rId11"/>
                    <a:stretch>
                      <a:fillRect/>
                    </a:stretch>
                  </pic:blipFill>
                  <pic:spPr bwMode="auto">
                    <a:xfrm>
                      <a:off x="0" y="0"/>
                      <a:ext cx="5334000" cy="4121727"/>
                    </a:xfrm>
                    <a:prstGeom prst="rect">
                      <a:avLst/>
                    </a:prstGeom>
                    <a:noFill/>
                    <a:ln w="9525">
                      <a:noFill/>
                      <a:headEnd/>
                      <a:tailEnd/>
                    </a:ln>
                  </pic:spPr>
                </pic:pic>
              </a:graphicData>
            </a:graphic>
          </wp:inline>
        </w:drawing>
      </w:r>
    </w:p>
    <w:p>
      <w:pPr>
        <w:pStyle w:val="ImageCaption"/>
      </w:pPr>
      <w:r>
        <w:t xml:space="preserve">Figure 1. Study area map.</w:t>
      </w:r>
    </w:p>
    <w:bookmarkEnd w:id="14"/>
    <w:bookmarkStart w:id="18" w:name="dataset-and-predictors"/>
    <w:p>
      <w:pPr>
        <w:pStyle w:val="Heading3"/>
      </w:pPr>
      <w:r>
        <w:t xml:space="preserve">2.2 Dataset and Predictors</w:t>
      </w:r>
    </w:p>
    <w:p>
      <w:pPr>
        <w:pStyle w:val="FirstParagraph"/>
      </w:pPr>
      <w:r>
        <w:t xml:space="preserve">The dataset (</w:t>
      </w:r>
      <w:r>
        <w:rPr>
          <w:rStyle w:val="VerbatimChar"/>
        </w:rPr>
        <w:t xml:space="preserve">results/data/LSM_Data.csv</w:t>
      </w:r>
      <w:r>
        <w:t xml:space="preserve">) contains 369 samples:</w:t>
      </w:r>
    </w:p>
    <w:p>
      <w:pPr>
        <w:pStyle w:val="Compact"/>
        <w:numPr>
          <w:ilvl w:val="0"/>
          <w:numId w:val="1002"/>
        </w:numPr>
      </w:pPr>
      <w:r>
        <w:t xml:space="preserve">Non-landslide (0): 214</w:t>
      </w:r>
    </w:p>
    <w:p>
      <w:pPr>
        <w:pStyle w:val="Compact"/>
        <w:numPr>
          <w:ilvl w:val="0"/>
          <w:numId w:val="1002"/>
        </w:numPr>
      </w:pPr>
      <w:r>
        <w:t xml:space="preserve">Landslide (1): 155</w:t>
      </w:r>
    </w:p>
    <w:p>
      <w:pPr>
        <w:pStyle w:val="FirstParagraph"/>
      </w:pPr>
      <w:r>
        <w:t xml:space="preserve">Predictors (14): Elevation, Slope, Aspect, Curvature, SPI, TWI, TRI, LULC, NDVI, Precipitation, Drainage_Density, Distance_to_River, Distance_to_Road, SoilTexture.</w:t>
      </w:r>
    </w:p>
    <w:p>
      <w:pPr>
        <w:pStyle w:val="BodyText"/>
      </w:pPr>
      <w:r>
        <w:t xml:space="preserve">Train/test split (stratified 80/20):</w:t>
      </w:r>
    </w:p>
    <w:p>
      <w:pPr>
        <w:pStyle w:val="Compact"/>
        <w:numPr>
          <w:ilvl w:val="0"/>
          <w:numId w:val="1003"/>
        </w:numPr>
      </w:pPr>
      <w:r>
        <w:t xml:space="preserve">Train: 295 (171 non-landslide, 124 landslide)</w:t>
      </w:r>
    </w:p>
    <w:p>
      <w:pPr>
        <w:pStyle w:val="Compact"/>
        <w:numPr>
          <w:ilvl w:val="0"/>
          <w:numId w:val="1003"/>
        </w:numPr>
      </w:pPr>
      <w:r>
        <w:t xml:space="preserve">Test: 74 (43 non-landslide, 31 landslide)</w:t>
      </w:r>
    </w:p>
    <w:p>
      <w:pPr>
        <w:pStyle w:val="CaptionedFigure"/>
      </w:pPr>
      <w:r>
        <w:drawing>
          <wp:inline>
            <wp:extent cx="5334000" cy="1984248"/>
            <wp:effectExtent b="0" l="0" r="0" t="0"/>
            <wp:docPr descr="Figure 2. Conditioning-factor maps." title="" id="16" name="Picture"/>
            <a:graphic>
              <a:graphicData uri="http://schemas.openxmlformats.org/drawingml/2006/picture">
                <pic:pic>
                  <pic:nvPicPr>
                    <pic:cNvPr descr="../Factors%20Map/Factors%20Map.jpeg" id="17" name="Picture"/>
                    <pic:cNvPicPr>
                      <a:picLocks noChangeArrowheads="1" noChangeAspect="1"/>
                    </pic:cNvPicPr>
                  </pic:nvPicPr>
                  <pic:blipFill>
                    <a:blip r:embed="rId15"/>
                    <a:stretch>
                      <a:fillRect/>
                    </a:stretch>
                  </pic:blipFill>
                  <pic:spPr bwMode="auto">
                    <a:xfrm>
                      <a:off x="0" y="0"/>
                      <a:ext cx="5334000" cy="1984248"/>
                    </a:xfrm>
                    <a:prstGeom prst="rect">
                      <a:avLst/>
                    </a:prstGeom>
                    <a:noFill/>
                    <a:ln w="9525">
                      <a:noFill/>
                      <a:headEnd/>
                      <a:tailEnd/>
                    </a:ln>
                  </pic:spPr>
                </pic:pic>
              </a:graphicData>
            </a:graphic>
          </wp:inline>
        </w:drawing>
      </w:r>
    </w:p>
    <w:p>
      <w:pPr>
        <w:pStyle w:val="ImageCaption"/>
      </w:pPr>
      <w:r>
        <w:t xml:space="preserve">Figure 2. Conditioning-factor maps.</w:t>
      </w:r>
    </w:p>
    <w:bookmarkEnd w:id="18"/>
    <w:bookmarkStart w:id="22" w:name="methodological-framework-figure"/>
    <w:p>
      <w:pPr>
        <w:pStyle w:val="Heading3"/>
      </w:pPr>
      <w:r>
        <w:t xml:space="preserve">2.3 Methodological Framework Figure</w:t>
      </w:r>
    </w:p>
    <w:p>
      <w:pPr>
        <w:pStyle w:val="FirstParagraph"/>
      </w:pPr>
      <w:r>
        <w:t xml:space="preserve">The complete end-to-end workflow used in this study is illustrated below, including preprocessing, model benchmarking, Bayesian-restricted deployment selection, and final map generation.</w:t>
      </w:r>
    </w:p>
    <w:p>
      <w:pPr>
        <w:pStyle w:val="CaptionedFigure"/>
      </w:pPr>
      <w:r>
        <w:drawing>
          <wp:inline>
            <wp:extent cx="5334000" cy="7415203"/>
            <wp:effectExtent b="0" l="0" r="0" t="0"/>
            <wp:docPr descr="Figure 3. Methodological workflow for Bayesian deployment with benchmark comparison." title="" id="20" name="Picture"/>
            <a:graphic>
              <a:graphicData uri="http://schemas.openxmlformats.org/drawingml/2006/picture">
                <pic:pic>
                  <pic:nvPicPr>
                    <pic:cNvPr descr="../results/figures/methodology_figure.png" id="21" name="Picture"/>
                    <pic:cNvPicPr>
                      <a:picLocks noChangeArrowheads="1" noChangeAspect="1"/>
                    </pic:cNvPicPr>
                  </pic:nvPicPr>
                  <pic:blipFill>
                    <a:blip r:embed="rId19"/>
                    <a:stretch>
                      <a:fillRect/>
                    </a:stretch>
                  </pic:blipFill>
                  <pic:spPr bwMode="auto">
                    <a:xfrm>
                      <a:off x="0" y="0"/>
                      <a:ext cx="5334000" cy="7415203"/>
                    </a:xfrm>
                    <a:prstGeom prst="rect">
                      <a:avLst/>
                    </a:prstGeom>
                    <a:noFill/>
                    <a:ln w="9525">
                      <a:noFill/>
                      <a:headEnd/>
                      <a:tailEnd/>
                    </a:ln>
                  </pic:spPr>
                </pic:pic>
              </a:graphicData>
            </a:graphic>
          </wp:inline>
        </w:drawing>
      </w:r>
    </w:p>
    <w:p>
      <w:pPr>
        <w:pStyle w:val="ImageCaption"/>
      </w:pPr>
      <w:r>
        <w:t xml:space="preserve">Figure 3. Methodological workflow for Bayesian deployment with benchmark comparison.</w:t>
      </w:r>
    </w:p>
    <w:bookmarkEnd w:id="22"/>
    <w:bookmarkStart w:id="26" w:name="X5e968ed6b4eb6bfc4e7af32fd2e85ddcd45d258"/>
    <w:p>
      <w:pPr>
        <w:pStyle w:val="Heading3"/>
      </w:pPr>
      <w:r>
        <w:t xml:space="preserve">2.4 Multicollinearity Screening (VIF and Tolerance)</w:t>
      </w:r>
    </w:p>
    <w:p>
      <w:pPr>
        <w:pStyle w:val="FirstParagraph"/>
      </w:pPr>
      <w:r>
        <w:t xml:space="preserve">To verify predictor stability before modeling, variance inflation factor (VIF) and tolerance profiles were computed on the training split.</w:t>
      </w:r>
    </w:p>
    <w:p>
      <w:pPr>
        <w:pStyle w:val="CaptionedFigure"/>
      </w:pPr>
      <w:r>
        <w:drawing>
          <wp:inline>
            <wp:extent cx="5334000" cy="2889250"/>
            <wp:effectExtent b="0" l="0" r="0" t="0"/>
            <wp:docPr descr="Figure 4. VIF-tolerance profile for all conditioning factors." title="" id="24" name="Picture"/>
            <a:graphic>
              <a:graphicData uri="http://schemas.openxmlformats.org/drawingml/2006/picture">
                <pic:pic>
                  <pic:nvPicPr>
                    <pic:cNvPr descr="../results/figures/vif_tolerance_curve.png" id="25" name="Picture"/>
                    <pic:cNvPicPr>
                      <a:picLocks noChangeArrowheads="1" noChangeAspect="1"/>
                    </pic:cNvPicPr>
                  </pic:nvPicPr>
                  <pic:blipFill>
                    <a:blip r:embed="rId23"/>
                    <a:stretch>
                      <a:fillRect/>
                    </a:stretch>
                  </pic:blipFill>
                  <pic:spPr bwMode="auto">
                    <a:xfrm>
                      <a:off x="0" y="0"/>
                      <a:ext cx="5334000" cy="2889250"/>
                    </a:xfrm>
                    <a:prstGeom prst="rect">
                      <a:avLst/>
                    </a:prstGeom>
                    <a:noFill/>
                    <a:ln w="9525">
                      <a:noFill/>
                      <a:headEnd/>
                      <a:tailEnd/>
                    </a:ln>
                  </pic:spPr>
                </pic:pic>
              </a:graphicData>
            </a:graphic>
          </wp:inline>
        </w:drawing>
      </w:r>
    </w:p>
    <w:p>
      <w:pPr>
        <w:pStyle w:val="ImageCaption"/>
      </w:pPr>
      <w:r>
        <w:t xml:space="preserve">Figure 4. VIF-tolerance profile for all conditioning factors.</w:t>
      </w:r>
    </w:p>
    <w:p>
      <w:pPr>
        <w:pStyle w:val="BodyText"/>
      </w:pPr>
      <w:r>
        <w:t xml:space="preserve">All predictors remained within acceptable multicollinearity limits (VIF &lt; 5; TOL &gt; 0.20), so all 14 factors were retained.</w:t>
      </w:r>
    </w:p>
    <w:bookmarkEnd w:id="26"/>
    <w:bookmarkStart w:id="27" w:name="pipeline-and-validation"/>
    <w:p>
      <w:pPr>
        <w:pStyle w:val="Heading3"/>
      </w:pPr>
      <w:r>
        <w:t xml:space="preserve">2.5 Pipeline and Validation</w:t>
      </w:r>
    </w:p>
    <w:p>
      <w:pPr>
        <w:pStyle w:val="FirstParagraph"/>
      </w:pPr>
      <w:r>
        <w:t xml:space="preserve">Shared preprocessing for all models:</w:t>
      </w:r>
    </w:p>
    <w:p>
      <w:pPr>
        <w:pStyle w:val="Compact"/>
        <w:numPr>
          <w:ilvl w:val="0"/>
          <w:numId w:val="1004"/>
        </w:numPr>
      </w:pPr>
      <w:r>
        <w:t xml:space="preserve">median imputation</w:t>
      </w:r>
    </w:p>
    <w:p>
      <w:pPr>
        <w:pStyle w:val="Compact"/>
        <w:numPr>
          <w:ilvl w:val="0"/>
          <w:numId w:val="1004"/>
        </w:numPr>
      </w:pPr>
      <w:r>
        <w:t xml:space="preserve">standard scaling</w:t>
      </w:r>
    </w:p>
    <w:p>
      <w:pPr>
        <w:pStyle w:val="Compact"/>
        <w:numPr>
          <w:ilvl w:val="0"/>
          <w:numId w:val="1004"/>
        </w:numPr>
      </w:pPr>
      <w:r>
        <w:t xml:space="preserve">classifier</w:t>
      </w:r>
    </w:p>
    <w:p>
      <w:pPr>
        <w:pStyle w:val="FirstParagraph"/>
      </w:pPr>
      <w:r>
        <w:t xml:space="preserve">Validation protocol:</w:t>
      </w:r>
    </w:p>
    <w:p>
      <w:pPr>
        <w:pStyle w:val="Compact"/>
        <w:numPr>
          <w:ilvl w:val="0"/>
          <w:numId w:val="1005"/>
        </w:numPr>
      </w:pPr>
      <w:r>
        <w:t xml:space="preserve">repeated stratified CV (5 folds x 3 repeats)</w:t>
      </w:r>
    </w:p>
    <w:p>
      <w:pPr>
        <w:pStyle w:val="Compact"/>
        <w:numPr>
          <w:ilvl w:val="0"/>
          <w:numId w:val="1005"/>
        </w:numPr>
      </w:pPr>
      <w:r>
        <w:t xml:space="preserve">independent holdout test (20%)</w:t>
      </w:r>
    </w:p>
    <w:p>
      <w:pPr>
        <w:pStyle w:val="Compact"/>
        <w:numPr>
          <w:ilvl w:val="0"/>
          <w:numId w:val="1005"/>
        </w:numPr>
      </w:pPr>
      <w:r>
        <w:t xml:space="preserve">spatial block CV (KMeans groups + GroupKFold)</w:t>
      </w:r>
    </w:p>
    <w:p>
      <w:pPr>
        <w:pStyle w:val="FirstParagraph"/>
      </w:pPr>
      <w:r>
        <w:t xml:space="preserve">Metrics: Accuracy, Precision, Recall, F1, MCC, ROC-AUC, PR-AUC, Brier, LogLoss, ECE.</w:t>
      </w:r>
    </w:p>
    <w:bookmarkEnd w:id="27"/>
    <w:bookmarkStart w:id="28" w:name="candidate-models-and-roles"/>
    <w:p>
      <w:pPr>
        <w:pStyle w:val="Heading3"/>
      </w:pPr>
      <w:r>
        <w:t xml:space="preserve">2.6 Candidate Models and Roles</w:t>
      </w:r>
    </w:p>
    <w:p>
      <w:pPr>
        <w:pStyle w:val="FirstParagraph"/>
      </w:pPr>
      <w:r>
        <w:t xml:space="preserve">Deployment candidates (Bayesian):</w:t>
      </w:r>
    </w:p>
    <w:p>
      <w:pPr>
        <w:pStyle w:val="Compact"/>
        <w:numPr>
          <w:ilvl w:val="0"/>
          <w:numId w:val="1006"/>
        </w:numPr>
      </w:pPr>
      <w:r>
        <w:t xml:space="preserve">BLR: Laplace-approximate Bayesian logistic regression</w:t>
      </w:r>
    </w:p>
    <w:p>
      <w:pPr>
        <w:pStyle w:val="Compact"/>
        <w:numPr>
          <w:ilvl w:val="0"/>
          <w:numId w:val="1006"/>
        </w:numPr>
      </w:pPr>
      <w:r>
        <w:t xml:space="preserve">GPC: Gaussian process classifier (Matern + White kernel)</w:t>
      </w:r>
    </w:p>
    <w:p>
      <w:pPr>
        <w:pStyle w:val="FirstParagraph"/>
      </w:pPr>
      <w:r>
        <w:t xml:space="preserve">Benchmark-only models:</w:t>
      </w:r>
    </w:p>
    <w:p>
      <w:pPr>
        <w:pStyle w:val="Compact"/>
        <w:numPr>
          <w:ilvl w:val="0"/>
          <w:numId w:val="1007"/>
        </w:numPr>
      </w:pPr>
      <w:r>
        <w:t xml:space="preserve">LogReg_L2: L2-regularized logistic regression</w:t>
      </w:r>
    </w:p>
    <w:p>
      <w:pPr>
        <w:pStyle w:val="Compact"/>
        <w:numPr>
          <w:ilvl w:val="0"/>
          <w:numId w:val="1007"/>
        </w:numPr>
      </w:pPr>
      <w:r>
        <w:t xml:space="preserve">RandomForest: tree-ensemble classifier</w:t>
      </w:r>
    </w:p>
    <w:bookmarkEnd w:id="28"/>
    <w:bookmarkStart w:id="29" w:name="statistical-testing-and-selection-rule"/>
    <w:p>
      <w:pPr>
        <w:pStyle w:val="Heading3"/>
      </w:pPr>
      <w:r>
        <w:t xml:space="preserve">2.7 Statistical Testing and Selection Rule</w:t>
      </w:r>
    </w:p>
    <w:p>
      <w:pPr>
        <w:pStyle w:val="FirstParagraph"/>
      </w:pPr>
      <w:r>
        <w:t xml:space="preserve">Model-comparison significance was evaluated with Friedman test on CV F1, followed by Nemenyi post-hoc when significant (</w:t>
      </w:r>
      <w:r>
        <w:rPr>
          <w:rStyle w:val="VerbatimChar"/>
        </w:rPr>
        <w:t xml:space="preserve">results/data/friedman_test.txt</w:t>
      </w:r>
      <w:r>
        <w:t xml:space="preserve">,</w:t>
      </w:r>
      <w:r>
        <w:t xml:space="preserve"> </w:t>
      </w:r>
      <w:r>
        <w:rPr>
          <w:rStyle w:val="VerbatimChar"/>
        </w:rPr>
        <w:t xml:space="preserve">results/data/nemenyi_test_results_20260224_012009.csv</w:t>
      </w:r>
      <w:r>
        <w:t xml:space="preserve">).</w:t>
      </w:r>
    </w:p>
    <w:p>
      <w:pPr>
        <w:pStyle w:val="BodyText"/>
      </w:pPr>
      <w:r>
        <w:t xml:space="preserve">Weighted selection criteria (</w:t>
      </w:r>
      <w:r>
        <w:rPr>
          <w:rStyle w:val="VerbatimChar"/>
        </w:rPr>
        <w:t xml:space="preserve">results/data/model_selection_table.csv</w:t>
      </w:r>
      <w:r>
        <w:t xml:space="preserve">):</w:t>
      </w:r>
    </w:p>
    <w:p>
      <w:pPr>
        <w:pStyle w:val="Compact"/>
        <w:numPr>
          <w:ilvl w:val="0"/>
          <w:numId w:val="1008"/>
        </w:numPr>
      </w:pPr>
      <w:r>
        <w:t xml:space="preserve">20% CV MCC rank</w:t>
      </w:r>
    </w:p>
    <w:p>
      <w:pPr>
        <w:pStyle w:val="Compact"/>
        <w:numPr>
          <w:ilvl w:val="0"/>
          <w:numId w:val="1008"/>
        </w:numPr>
      </w:pPr>
      <w:r>
        <w:t xml:space="preserve">35% holdout MCC rank</w:t>
      </w:r>
    </w:p>
    <w:p>
      <w:pPr>
        <w:pStyle w:val="Compact"/>
        <w:numPr>
          <w:ilvl w:val="0"/>
          <w:numId w:val="1008"/>
        </w:numPr>
      </w:pPr>
      <w:r>
        <w:t xml:space="preserve">30% spatial MCC rank</w:t>
      </w:r>
    </w:p>
    <w:p>
      <w:pPr>
        <w:pStyle w:val="Compact"/>
        <w:numPr>
          <w:ilvl w:val="0"/>
          <w:numId w:val="1008"/>
        </w:numPr>
      </w:pPr>
      <w:r>
        <w:t xml:space="preserve">10% holdout Brier rank (lower better)</w:t>
      </w:r>
    </w:p>
    <w:p>
      <w:pPr>
        <w:pStyle w:val="Compact"/>
        <w:numPr>
          <w:ilvl w:val="0"/>
          <w:numId w:val="1008"/>
        </w:numPr>
      </w:pPr>
      <w:r>
        <w:t xml:space="preserve">5% holdout ECE rank (lower better)</w:t>
      </w:r>
    </w:p>
    <w:p>
      <w:pPr>
        <w:pStyle w:val="FirstParagraph"/>
      </w:pPr>
      <w:r>
        <w:t xml:space="preserve">Final deployment is restricted to Bayesian candidates only.</w:t>
      </w:r>
    </w:p>
    <w:bookmarkEnd w:id="29"/>
    <w:bookmarkEnd w:id="30"/>
    <w:bookmarkStart w:id="54" w:name="results"/>
    <w:p>
      <w:pPr>
        <w:pStyle w:val="Heading2"/>
      </w:pPr>
      <w:r>
        <w:t xml:space="preserve">3. Results</w:t>
      </w:r>
    </w:p>
    <w:bookmarkStart w:id="40" w:name="holdout-performance"/>
    <w:p>
      <w:pPr>
        <w:pStyle w:val="Heading3"/>
      </w:pPr>
      <w:r>
        <w:t xml:space="preserve">3.1 Holdout Performance</w:t>
      </w:r>
    </w:p>
    <w:tbl>
      <w:tblPr>
        <w:tblStyle w:val="Table"/>
        <w:tblW w:type="pct" w:w="5000"/>
        <w:tblLayout w:type="fixed"/>
        <w:tblLook w:firstRow="1" w:lastRow="0" w:firstColumn="0" w:lastColumn="0" w:noHBand="0" w:noVBand="0" w:val="0020"/>
      </w:tblPr>
      <w:tblGrid>
        <w:gridCol w:w="565"/>
        <w:gridCol w:w="565"/>
        <w:gridCol w:w="754"/>
        <w:gridCol w:w="754"/>
        <w:gridCol w:w="754"/>
        <w:gridCol w:w="754"/>
        <w:gridCol w:w="754"/>
        <w:gridCol w:w="754"/>
        <w:gridCol w:w="754"/>
        <w:gridCol w:w="754"/>
        <w:gridCol w:w="754"/>
      </w:tblGrid>
      <w:tr>
        <w:trPr>
          <w:tblHeader w:val="on"/>
        </w:trPr>
        <w:tc>
          <w:tcPr/>
          <w:p>
            <w:pPr>
              <w:pStyle w:val="Compact"/>
            </w:pPr>
            <w:r>
              <w:t xml:space="preserve">Model</w:t>
            </w:r>
          </w:p>
        </w:tc>
        <w:tc>
          <w:tcPr/>
          <w:p>
            <w:pPr>
              <w:pStyle w:val="Compact"/>
            </w:pPr>
            <w:r>
              <w:t xml:space="preserve">Role</w:t>
            </w:r>
          </w:p>
        </w:tc>
        <w:tc>
          <w:tcPr/>
          <w:p>
            <w:pPr>
              <w:pStyle w:val="Compact"/>
              <w:jc w:val="right"/>
            </w:pPr>
            <w:r>
              <w:t xml:space="preserve">Accuracy</w:t>
            </w:r>
          </w:p>
        </w:tc>
        <w:tc>
          <w:tcPr/>
          <w:p>
            <w:pPr>
              <w:pStyle w:val="Compact"/>
              <w:jc w:val="right"/>
            </w:pPr>
            <w:r>
              <w:t xml:space="preserve">Precision</w:t>
            </w:r>
          </w:p>
        </w:tc>
        <w:tc>
          <w:tcPr/>
          <w:p>
            <w:pPr>
              <w:pStyle w:val="Compact"/>
              <w:jc w:val="right"/>
            </w:pPr>
            <w:r>
              <w:t xml:space="preserve">Recall</w:t>
            </w:r>
          </w:p>
        </w:tc>
        <w:tc>
          <w:tcPr/>
          <w:p>
            <w:pPr>
              <w:pStyle w:val="Compact"/>
              <w:jc w:val="right"/>
            </w:pPr>
            <w:r>
              <w:t xml:space="preserve">F1</w:t>
            </w:r>
          </w:p>
        </w:tc>
        <w:tc>
          <w:tcPr/>
          <w:p>
            <w:pPr>
              <w:pStyle w:val="Compact"/>
              <w:jc w:val="right"/>
            </w:pPr>
            <w:r>
              <w:t xml:space="preserve">MCC</w:t>
            </w:r>
          </w:p>
        </w:tc>
        <w:tc>
          <w:tcPr/>
          <w:p>
            <w:pPr>
              <w:pStyle w:val="Compact"/>
              <w:jc w:val="right"/>
            </w:pPr>
            <w:r>
              <w:t xml:space="preserve">ROC-AUC</w:t>
            </w:r>
          </w:p>
        </w:tc>
        <w:tc>
          <w:tcPr/>
          <w:p>
            <w:pPr>
              <w:pStyle w:val="Compact"/>
              <w:jc w:val="right"/>
            </w:pPr>
            <w:r>
              <w:t xml:space="preserve">PR-AUC</w:t>
            </w:r>
          </w:p>
        </w:tc>
        <w:tc>
          <w:tcPr/>
          <w:p>
            <w:pPr>
              <w:pStyle w:val="Compact"/>
              <w:jc w:val="right"/>
            </w:pPr>
            <w:r>
              <w:t xml:space="preserve">Brier</w:t>
            </w:r>
          </w:p>
        </w:tc>
        <w:tc>
          <w:tcPr/>
          <w:p>
            <w:pPr>
              <w:pStyle w:val="Compact"/>
              <w:jc w:val="right"/>
            </w:pPr>
            <w:r>
              <w:t xml:space="preserve">ECE</w:t>
            </w:r>
          </w:p>
        </w:tc>
      </w:tr>
      <w:tr>
        <w:tc>
          <w:tcPr/>
          <w:p>
            <w:pPr>
              <w:pStyle w:val="Compact"/>
            </w:pPr>
            <w:r>
              <w:t xml:space="preserve">RandomForest</w:t>
            </w:r>
          </w:p>
        </w:tc>
        <w:tc>
          <w:tcPr/>
          <w:p>
            <w:pPr>
              <w:pStyle w:val="Compact"/>
            </w:pPr>
            <w:r>
              <w:t xml:space="preserve">Benchmark</w:t>
            </w:r>
          </w:p>
        </w:tc>
        <w:tc>
          <w:tcPr/>
          <w:p>
            <w:pPr>
              <w:pStyle w:val="Compact"/>
              <w:jc w:val="right"/>
            </w:pPr>
            <w:r>
              <w:t xml:space="preserve">0.811</w:t>
            </w:r>
          </w:p>
        </w:tc>
        <w:tc>
          <w:tcPr/>
          <w:p>
            <w:pPr>
              <w:pStyle w:val="Compact"/>
              <w:jc w:val="right"/>
            </w:pPr>
            <w:r>
              <w:t xml:space="preserve">0.774</w:t>
            </w:r>
          </w:p>
        </w:tc>
        <w:tc>
          <w:tcPr/>
          <w:p>
            <w:pPr>
              <w:pStyle w:val="Compact"/>
              <w:jc w:val="right"/>
            </w:pPr>
            <w:r>
              <w:t xml:space="preserve">0.774</w:t>
            </w:r>
          </w:p>
        </w:tc>
        <w:tc>
          <w:tcPr/>
          <w:p>
            <w:pPr>
              <w:pStyle w:val="Compact"/>
              <w:jc w:val="right"/>
            </w:pPr>
            <w:r>
              <w:t xml:space="preserve">0.774</w:t>
            </w:r>
          </w:p>
        </w:tc>
        <w:tc>
          <w:tcPr/>
          <w:p>
            <w:pPr>
              <w:pStyle w:val="Compact"/>
              <w:jc w:val="right"/>
            </w:pPr>
            <w:r>
              <w:t xml:space="preserve">0.611</w:t>
            </w:r>
          </w:p>
        </w:tc>
        <w:tc>
          <w:tcPr/>
          <w:p>
            <w:pPr>
              <w:pStyle w:val="Compact"/>
              <w:jc w:val="right"/>
            </w:pPr>
            <w:r>
              <w:t xml:space="preserve">0.866</w:t>
            </w:r>
          </w:p>
        </w:tc>
        <w:tc>
          <w:tcPr/>
          <w:p>
            <w:pPr>
              <w:pStyle w:val="Compact"/>
              <w:jc w:val="right"/>
            </w:pPr>
            <w:r>
              <w:t xml:space="preserve">0.865</w:t>
            </w:r>
          </w:p>
        </w:tc>
        <w:tc>
          <w:tcPr/>
          <w:p>
            <w:pPr>
              <w:pStyle w:val="Compact"/>
              <w:jc w:val="right"/>
            </w:pPr>
            <w:r>
              <w:t xml:space="preserve">0.153</w:t>
            </w:r>
          </w:p>
        </w:tc>
        <w:tc>
          <w:tcPr/>
          <w:p>
            <w:pPr>
              <w:pStyle w:val="Compact"/>
              <w:jc w:val="right"/>
            </w:pPr>
            <w:r>
              <w:t xml:space="preserve">0.120</w:t>
            </w:r>
          </w:p>
        </w:tc>
      </w:tr>
      <w:tr>
        <w:tc>
          <w:tcPr/>
          <w:p>
            <w:pPr>
              <w:pStyle w:val="Compact"/>
            </w:pPr>
            <w:r>
              <w:t xml:space="preserve">GPC</w:t>
            </w:r>
          </w:p>
        </w:tc>
        <w:tc>
          <w:tcPr/>
          <w:p>
            <w:pPr>
              <w:pStyle w:val="Compact"/>
            </w:pPr>
            <w:r>
              <w:t xml:space="preserve">Bayesian candidate</w:t>
            </w:r>
          </w:p>
        </w:tc>
        <w:tc>
          <w:tcPr/>
          <w:p>
            <w:pPr>
              <w:pStyle w:val="Compact"/>
              <w:jc w:val="right"/>
            </w:pPr>
            <w:r>
              <w:t xml:space="preserve">0.743</w:t>
            </w:r>
          </w:p>
        </w:tc>
        <w:tc>
          <w:tcPr/>
          <w:p>
            <w:pPr>
              <w:pStyle w:val="Compact"/>
              <w:jc w:val="right"/>
            </w:pPr>
            <w:r>
              <w:t xml:space="preserve">0.676</w:t>
            </w:r>
          </w:p>
        </w:tc>
        <w:tc>
          <w:tcPr/>
          <w:p>
            <w:pPr>
              <w:pStyle w:val="Compact"/>
              <w:jc w:val="right"/>
            </w:pPr>
            <w:r>
              <w:t xml:space="preserve">0.742</w:t>
            </w:r>
          </w:p>
        </w:tc>
        <w:tc>
          <w:tcPr/>
          <w:p>
            <w:pPr>
              <w:pStyle w:val="Compact"/>
              <w:jc w:val="right"/>
            </w:pPr>
            <w:r>
              <w:t xml:space="preserve">0.708</w:t>
            </w:r>
          </w:p>
        </w:tc>
        <w:tc>
          <w:tcPr/>
          <w:p>
            <w:pPr>
              <w:pStyle w:val="Compact"/>
              <w:jc w:val="right"/>
            </w:pPr>
            <w:r>
              <w:t xml:space="preserve">0.481</w:t>
            </w:r>
          </w:p>
        </w:tc>
        <w:tc>
          <w:tcPr/>
          <w:p>
            <w:pPr>
              <w:pStyle w:val="Compact"/>
              <w:jc w:val="right"/>
            </w:pPr>
            <w:r>
              <w:t xml:space="preserve">0.821</w:t>
            </w:r>
          </w:p>
        </w:tc>
        <w:tc>
          <w:tcPr/>
          <w:p>
            <w:pPr>
              <w:pStyle w:val="Compact"/>
              <w:jc w:val="right"/>
            </w:pPr>
            <w:r>
              <w:t xml:space="preserve">0.814</w:t>
            </w:r>
          </w:p>
        </w:tc>
        <w:tc>
          <w:tcPr/>
          <w:p>
            <w:pPr>
              <w:pStyle w:val="Compact"/>
              <w:jc w:val="right"/>
            </w:pPr>
            <w:r>
              <w:t xml:space="preserve">0.172</w:t>
            </w:r>
          </w:p>
        </w:tc>
        <w:tc>
          <w:tcPr/>
          <w:p>
            <w:pPr>
              <w:pStyle w:val="Compact"/>
              <w:jc w:val="right"/>
            </w:pPr>
            <w:r>
              <w:t xml:space="preserve">0.084</w:t>
            </w:r>
          </w:p>
        </w:tc>
      </w:tr>
      <w:tr>
        <w:tc>
          <w:tcPr/>
          <w:p>
            <w:pPr>
              <w:pStyle w:val="Compact"/>
            </w:pPr>
            <w:r>
              <w:t xml:space="preserve">LogReg_L2</w:t>
            </w:r>
          </w:p>
        </w:tc>
        <w:tc>
          <w:tcPr/>
          <w:p>
            <w:pPr>
              <w:pStyle w:val="Compact"/>
            </w:pPr>
            <w:r>
              <w:t xml:space="preserve">Benchmark</w:t>
            </w:r>
          </w:p>
        </w:tc>
        <w:tc>
          <w:tcPr/>
          <w:p>
            <w:pPr>
              <w:pStyle w:val="Compact"/>
              <w:jc w:val="right"/>
            </w:pPr>
            <w:r>
              <w:t xml:space="preserve">0.703</w:t>
            </w:r>
          </w:p>
        </w:tc>
        <w:tc>
          <w:tcPr/>
          <w:p>
            <w:pPr>
              <w:pStyle w:val="Compact"/>
              <w:jc w:val="right"/>
            </w:pPr>
            <w:r>
              <w:t xml:space="preserve">0.615</w:t>
            </w:r>
          </w:p>
        </w:tc>
        <w:tc>
          <w:tcPr/>
          <w:p>
            <w:pPr>
              <w:pStyle w:val="Compact"/>
              <w:jc w:val="right"/>
            </w:pPr>
            <w:r>
              <w:t xml:space="preserve">0.774</w:t>
            </w:r>
          </w:p>
        </w:tc>
        <w:tc>
          <w:tcPr/>
          <w:p>
            <w:pPr>
              <w:pStyle w:val="Compact"/>
              <w:jc w:val="right"/>
            </w:pPr>
            <w:r>
              <w:t xml:space="preserve">0.686</w:t>
            </w:r>
          </w:p>
        </w:tc>
        <w:tc>
          <w:tcPr/>
          <w:p>
            <w:pPr>
              <w:pStyle w:val="Compact"/>
              <w:jc w:val="right"/>
            </w:pPr>
            <w:r>
              <w:t xml:space="preserve">0.420</w:t>
            </w:r>
          </w:p>
        </w:tc>
        <w:tc>
          <w:tcPr/>
          <w:p>
            <w:pPr>
              <w:pStyle w:val="Compact"/>
              <w:jc w:val="right"/>
            </w:pPr>
            <w:r>
              <w:t xml:space="preserve">0.768</w:t>
            </w:r>
          </w:p>
        </w:tc>
        <w:tc>
          <w:tcPr/>
          <w:p>
            <w:pPr>
              <w:pStyle w:val="Compact"/>
              <w:jc w:val="right"/>
            </w:pPr>
            <w:r>
              <w:t xml:space="preserve">0.667</w:t>
            </w:r>
          </w:p>
        </w:tc>
        <w:tc>
          <w:tcPr/>
          <w:p>
            <w:pPr>
              <w:pStyle w:val="Compact"/>
              <w:jc w:val="right"/>
            </w:pPr>
            <w:r>
              <w:t xml:space="preserve">0.203</w:t>
            </w:r>
          </w:p>
        </w:tc>
        <w:tc>
          <w:tcPr/>
          <w:p>
            <w:pPr>
              <w:pStyle w:val="Compact"/>
              <w:jc w:val="right"/>
            </w:pPr>
            <w:r>
              <w:t xml:space="preserve">0.110</w:t>
            </w:r>
          </w:p>
        </w:tc>
      </w:tr>
      <w:tr>
        <w:tc>
          <w:tcPr/>
          <w:p>
            <w:pPr>
              <w:pStyle w:val="Compact"/>
            </w:pPr>
            <w:r>
              <w:t xml:space="preserve">BLR</w:t>
            </w:r>
          </w:p>
        </w:tc>
        <w:tc>
          <w:tcPr/>
          <w:p>
            <w:pPr>
              <w:pStyle w:val="Compact"/>
            </w:pPr>
            <w:r>
              <w:t xml:space="preserve">Bayesian candidate</w:t>
            </w:r>
          </w:p>
        </w:tc>
        <w:tc>
          <w:tcPr/>
          <w:p>
            <w:pPr>
              <w:pStyle w:val="Compact"/>
              <w:jc w:val="right"/>
            </w:pPr>
            <w:r>
              <w:t xml:space="preserve">0.676</w:t>
            </w:r>
          </w:p>
        </w:tc>
        <w:tc>
          <w:tcPr/>
          <w:p>
            <w:pPr>
              <w:pStyle w:val="Compact"/>
              <w:jc w:val="right"/>
            </w:pPr>
            <w:r>
              <w:t xml:space="preserve">0.606</w:t>
            </w:r>
          </w:p>
        </w:tc>
        <w:tc>
          <w:tcPr/>
          <w:p>
            <w:pPr>
              <w:pStyle w:val="Compact"/>
              <w:jc w:val="right"/>
            </w:pPr>
            <w:r>
              <w:t xml:space="preserve">0.645</w:t>
            </w:r>
          </w:p>
        </w:tc>
        <w:tc>
          <w:tcPr/>
          <w:p>
            <w:pPr>
              <w:pStyle w:val="Compact"/>
              <w:jc w:val="right"/>
            </w:pPr>
            <w:r>
              <w:t xml:space="preserve">0.625</w:t>
            </w:r>
          </w:p>
        </w:tc>
        <w:tc>
          <w:tcPr/>
          <w:p>
            <w:pPr>
              <w:pStyle w:val="Compact"/>
              <w:jc w:val="right"/>
            </w:pPr>
            <w:r>
              <w:t xml:space="preserve">0.340</w:t>
            </w:r>
          </w:p>
        </w:tc>
        <w:tc>
          <w:tcPr/>
          <w:p>
            <w:pPr>
              <w:pStyle w:val="Compact"/>
              <w:jc w:val="right"/>
            </w:pPr>
            <w:r>
              <w:t xml:space="preserve">0.775</w:t>
            </w:r>
          </w:p>
        </w:tc>
        <w:tc>
          <w:tcPr/>
          <w:p>
            <w:pPr>
              <w:pStyle w:val="Compact"/>
              <w:jc w:val="right"/>
            </w:pPr>
            <w:r>
              <w:t xml:space="preserve">0.723</w:t>
            </w:r>
          </w:p>
        </w:tc>
        <w:tc>
          <w:tcPr/>
          <w:p>
            <w:pPr>
              <w:pStyle w:val="Compact"/>
              <w:jc w:val="right"/>
            </w:pPr>
            <w:r>
              <w:t xml:space="preserve">0.193</w:t>
            </w:r>
          </w:p>
        </w:tc>
        <w:tc>
          <w:tcPr/>
          <w:p>
            <w:pPr>
              <w:pStyle w:val="Compact"/>
              <w:jc w:val="right"/>
            </w:pPr>
            <w:r>
              <w:t xml:space="preserve">0.112</w:t>
            </w:r>
          </w:p>
        </w:tc>
      </w:tr>
    </w:tbl>
    <w:p>
      <w:pPr>
        <w:pStyle w:val="BodyText"/>
      </w:pPr>
      <w:r>
        <w:drawing>
          <wp:inline>
            <wp:extent cx="5334000" cy="4267200"/>
            <wp:effectExtent b="0" l="0" r="0" t="0"/>
            <wp:docPr descr="Figure 5. Holdout ROC curves (all benchmarked models)." title="" id="32" name="Picture"/>
            <a:graphic>
              <a:graphicData uri="http://schemas.openxmlformats.org/drawingml/2006/picture">
                <pic:pic>
                  <pic:nvPicPr>
                    <pic:cNvPr descr="../results/figures/roc_curve.png" id="33" name="Picture"/>
                    <pic:cNvPicPr>
                      <a:picLocks noChangeArrowheads="1" noChangeAspect="1"/>
                    </pic:cNvPicPr>
                  </pic:nvPicPr>
                  <pic:blipFill>
                    <a:blip r:embed="rId31"/>
                    <a:stretch>
                      <a:fillRect/>
                    </a:stretch>
                  </pic:blipFill>
                  <pic:spPr bwMode="auto">
                    <a:xfrm>
                      <a:off x="0" y="0"/>
                      <a:ext cx="5334000" cy="4267200"/>
                    </a:xfrm>
                    <a:prstGeom prst="rect">
                      <a:avLst/>
                    </a:prstGeom>
                    <a:noFill/>
                    <a:ln w="9525">
                      <a:noFill/>
                      <a:headEnd/>
                      <a:tailEnd/>
                    </a:ln>
                  </pic:spPr>
                </pic:pic>
              </a:graphicData>
            </a:graphic>
          </wp:inline>
        </w:drawing>
      </w:r>
      <w:r>
        <w:t xml:space="preserve"> </w:t>
      </w:r>
      <w:r>
        <w:drawing>
          <wp:inline>
            <wp:extent cx="5334000" cy="4267200"/>
            <wp:effectExtent b="0" l="0" r="0" t="0"/>
            <wp:docPr descr="Figure 6. Holdout PR curves (all benchmarked models)." title="" id="35" name="Picture"/>
            <a:graphic>
              <a:graphicData uri="http://schemas.openxmlformats.org/drawingml/2006/picture">
                <pic:pic>
                  <pic:nvPicPr>
                    <pic:cNvPr descr="../results/figures/pr_curve.png" id="36" name="Picture"/>
                    <pic:cNvPicPr>
                      <a:picLocks noChangeArrowheads="1" noChangeAspect="1"/>
                    </pic:cNvPicPr>
                  </pic:nvPicPr>
                  <pic:blipFill>
                    <a:blip r:embed="rId34"/>
                    <a:stretch>
                      <a:fillRect/>
                    </a:stretch>
                  </pic:blipFill>
                  <pic:spPr bwMode="auto">
                    <a:xfrm>
                      <a:off x="0" y="0"/>
                      <a:ext cx="5334000" cy="4267200"/>
                    </a:xfrm>
                    <a:prstGeom prst="rect">
                      <a:avLst/>
                    </a:prstGeom>
                    <a:noFill/>
                    <a:ln w="9525">
                      <a:noFill/>
                      <a:headEnd/>
                      <a:tailEnd/>
                    </a:ln>
                  </pic:spPr>
                </pic:pic>
              </a:graphicData>
            </a:graphic>
          </wp:inline>
        </w:drawing>
      </w:r>
      <w:r>
        <w:t xml:space="preserve"> </w:t>
      </w:r>
      <w:r>
        <w:drawing>
          <wp:inline>
            <wp:extent cx="5334000" cy="4667249"/>
            <wp:effectExtent b="0" l="0" r="0" t="0"/>
            <wp:docPr descr="Figure 7. Holdout calibration curves (all benchmarked models)." title="" id="38" name="Picture"/>
            <a:graphic>
              <a:graphicData uri="http://schemas.openxmlformats.org/drawingml/2006/picture">
                <pic:pic>
                  <pic:nvPicPr>
                    <pic:cNvPr descr="../results/figures/calibration_curve_holdout.png" id="39" name="Picture"/>
                    <pic:cNvPicPr>
                      <a:picLocks noChangeArrowheads="1" noChangeAspect="1"/>
                    </pic:cNvPicPr>
                  </pic:nvPicPr>
                  <pic:blipFill>
                    <a:blip r:embed="rId37"/>
                    <a:stretch>
                      <a:fillRect/>
                    </a:stretch>
                  </pic:blipFill>
                  <pic:spPr bwMode="auto">
                    <a:xfrm>
                      <a:off x="0" y="0"/>
                      <a:ext cx="5334000" cy="4667249"/>
                    </a:xfrm>
                    <a:prstGeom prst="rect">
                      <a:avLst/>
                    </a:prstGeom>
                    <a:noFill/>
                    <a:ln w="9525">
                      <a:noFill/>
                      <a:headEnd/>
                      <a:tailEnd/>
                    </a:ln>
                  </pic:spPr>
                </pic:pic>
              </a:graphicData>
            </a:graphic>
          </wp:inline>
        </w:drawing>
      </w:r>
    </w:p>
    <w:bookmarkEnd w:id="40"/>
    <w:bookmarkStart w:id="41" w:name="cv-and-spatial-generalization"/>
    <w:p>
      <w:pPr>
        <w:pStyle w:val="Heading3"/>
      </w:pPr>
      <w:r>
        <w:t xml:space="preserve">3.2 CV and Spatial Generalization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Model</w:t>
            </w:r>
          </w:p>
        </w:tc>
        <w:tc>
          <w:tcPr/>
          <w:p>
            <w:pPr>
              <w:pStyle w:val="Compact"/>
            </w:pPr>
            <w:r>
              <w:t xml:space="preserve">Role</w:t>
            </w:r>
          </w:p>
        </w:tc>
        <w:tc>
          <w:tcPr/>
          <w:p>
            <w:pPr>
              <w:pStyle w:val="Compact"/>
              <w:jc w:val="right"/>
            </w:pPr>
            <w:r>
              <w:t xml:space="preserve">CV MCC</w:t>
            </w:r>
          </w:p>
        </w:tc>
        <w:tc>
          <w:tcPr/>
          <w:p>
            <w:pPr>
              <w:pStyle w:val="Compact"/>
              <w:jc w:val="right"/>
            </w:pPr>
            <w:r>
              <w:t xml:space="preserve">CV ROC-AUC</w:t>
            </w:r>
          </w:p>
        </w:tc>
        <w:tc>
          <w:tcPr/>
          <w:p>
            <w:pPr>
              <w:pStyle w:val="Compact"/>
              <w:jc w:val="right"/>
            </w:pPr>
            <w:r>
              <w:t xml:space="preserve">Spatial MCC</w:t>
            </w:r>
          </w:p>
        </w:tc>
        <w:tc>
          <w:tcPr/>
          <w:p>
            <w:pPr>
              <w:pStyle w:val="Compact"/>
              <w:jc w:val="right"/>
            </w:pPr>
            <w:r>
              <w:t xml:space="preserve">Spatial ROC-AUC</w:t>
            </w:r>
          </w:p>
        </w:tc>
      </w:tr>
      <w:tr>
        <w:tc>
          <w:tcPr/>
          <w:p>
            <w:pPr>
              <w:pStyle w:val="Compact"/>
            </w:pPr>
            <w:r>
              <w:t xml:space="preserve">RandomForest</w:t>
            </w:r>
          </w:p>
        </w:tc>
        <w:tc>
          <w:tcPr/>
          <w:p>
            <w:pPr>
              <w:pStyle w:val="Compact"/>
            </w:pPr>
            <w:r>
              <w:t xml:space="preserve">Benchmark</w:t>
            </w:r>
          </w:p>
        </w:tc>
        <w:tc>
          <w:tcPr/>
          <w:p>
            <w:pPr>
              <w:pStyle w:val="Compact"/>
              <w:jc w:val="right"/>
            </w:pPr>
            <w:r>
              <w:t xml:space="preserve">0.498</w:t>
            </w:r>
          </w:p>
        </w:tc>
        <w:tc>
          <w:tcPr/>
          <w:p>
            <w:pPr>
              <w:pStyle w:val="Compact"/>
              <w:jc w:val="right"/>
            </w:pPr>
            <w:r>
              <w:t xml:space="preserve">0.849</w:t>
            </w:r>
          </w:p>
        </w:tc>
        <w:tc>
          <w:tcPr/>
          <w:p>
            <w:pPr>
              <w:pStyle w:val="Compact"/>
              <w:jc w:val="right"/>
            </w:pPr>
            <w:r>
              <w:t xml:space="preserve">0.323</w:t>
            </w:r>
          </w:p>
        </w:tc>
        <w:tc>
          <w:tcPr/>
          <w:p>
            <w:pPr>
              <w:pStyle w:val="Compact"/>
              <w:jc w:val="right"/>
            </w:pPr>
            <w:r>
              <w:t xml:space="preserve">0.805</w:t>
            </w:r>
          </w:p>
        </w:tc>
      </w:tr>
      <w:tr>
        <w:tc>
          <w:tcPr/>
          <w:p>
            <w:pPr>
              <w:pStyle w:val="Compact"/>
            </w:pPr>
            <w:r>
              <w:t xml:space="preserve">GPC</w:t>
            </w:r>
          </w:p>
        </w:tc>
        <w:tc>
          <w:tcPr/>
          <w:p>
            <w:pPr>
              <w:pStyle w:val="Compact"/>
            </w:pPr>
            <w:r>
              <w:t xml:space="preserve">Bayesian candidate</w:t>
            </w:r>
          </w:p>
        </w:tc>
        <w:tc>
          <w:tcPr/>
          <w:p>
            <w:pPr>
              <w:pStyle w:val="Compact"/>
              <w:jc w:val="right"/>
            </w:pPr>
            <w:r>
              <w:t xml:space="preserve">0.450</w:t>
            </w:r>
          </w:p>
        </w:tc>
        <w:tc>
          <w:tcPr/>
          <w:p>
            <w:pPr>
              <w:pStyle w:val="Compact"/>
              <w:jc w:val="right"/>
            </w:pPr>
            <w:r>
              <w:t xml:space="preserve">0.836</w:t>
            </w:r>
          </w:p>
        </w:tc>
        <w:tc>
          <w:tcPr/>
          <w:p>
            <w:pPr>
              <w:pStyle w:val="Compact"/>
              <w:jc w:val="right"/>
            </w:pPr>
            <w:r>
              <w:t xml:space="preserve">0.259</w:t>
            </w:r>
          </w:p>
        </w:tc>
        <w:tc>
          <w:tcPr/>
          <w:p>
            <w:pPr>
              <w:pStyle w:val="Compact"/>
              <w:jc w:val="right"/>
            </w:pPr>
            <w:r>
              <w:t xml:space="preserve">0.769</w:t>
            </w:r>
          </w:p>
        </w:tc>
      </w:tr>
      <w:tr>
        <w:tc>
          <w:tcPr/>
          <w:p>
            <w:pPr>
              <w:pStyle w:val="Compact"/>
            </w:pPr>
            <w:r>
              <w:t xml:space="preserve">LogReg_L2</w:t>
            </w:r>
          </w:p>
        </w:tc>
        <w:tc>
          <w:tcPr/>
          <w:p>
            <w:pPr>
              <w:pStyle w:val="Compact"/>
            </w:pPr>
            <w:r>
              <w:t xml:space="preserve">Benchmark</w:t>
            </w:r>
          </w:p>
        </w:tc>
        <w:tc>
          <w:tcPr/>
          <w:p>
            <w:pPr>
              <w:pStyle w:val="Compact"/>
              <w:jc w:val="right"/>
            </w:pPr>
            <w:r>
              <w:t xml:space="preserve">0.433</w:t>
            </w:r>
          </w:p>
        </w:tc>
        <w:tc>
          <w:tcPr/>
          <w:p>
            <w:pPr>
              <w:pStyle w:val="Compact"/>
              <w:jc w:val="right"/>
            </w:pPr>
            <w:r>
              <w:t xml:space="preserve">0.756</w:t>
            </w:r>
          </w:p>
        </w:tc>
        <w:tc>
          <w:tcPr/>
          <w:p>
            <w:pPr>
              <w:pStyle w:val="Compact"/>
              <w:jc w:val="right"/>
            </w:pPr>
            <w:r>
              <w:t xml:space="preserve">0.214</w:t>
            </w:r>
          </w:p>
        </w:tc>
        <w:tc>
          <w:tcPr/>
          <w:p>
            <w:pPr>
              <w:pStyle w:val="Compact"/>
              <w:jc w:val="right"/>
            </w:pPr>
            <w:r>
              <w:t xml:space="preserve">0.709</w:t>
            </w:r>
          </w:p>
        </w:tc>
      </w:tr>
      <w:tr>
        <w:tc>
          <w:tcPr/>
          <w:p>
            <w:pPr>
              <w:pStyle w:val="Compact"/>
            </w:pPr>
            <w:r>
              <w:t xml:space="preserve">BLR</w:t>
            </w:r>
          </w:p>
        </w:tc>
        <w:tc>
          <w:tcPr/>
          <w:p>
            <w:pPr>
              <w:pStyle w:val="Compact"/>
            </w:pPr>
            <w:r>
              <w:t xml:space="preserve">Bayesian candidate</w:t>
            </w:r>
          </w:p>
        </w:tc>
        <w:tc>
          <w:tcPr/>
          <w:p>
            <w:pPr>
              <w:pStyle w:val="Compact"/>
              <w:jc w:val="right"/>
            </w:pPr>
            <w:r>
              <w:t xml:space="preserve">0.388</w:t>
            </w:r>
          </w:p>
        </w:tc>
        <w:tc>
          <w:tcPr/>
          <w:p>
            <w:pPr>
              <w:pStyle w:val="Compact"/>
              <w:jc w:val="right"/>
            </w:pPr>
            <w:r>
              <w:t xml:space="preserve">0.757</w:t>
            </w:r>
          </w:p>
        </w:tc>
        <w:tc>
          <w:tcPr/>
          <w:p>
            <w:pPr>
              <w:pStyle w:val="Compact"/>
              <w:jc w:val="right"/>
            </w:pPr>
            <w:r>
              <w:t xml:space="preserve">0.226</w:t>
            </w:r>
          </w:p>
        </w:tc>
        <w:tc>
          <w:tcPr/>
          <w:p>
            <w:pPr>
              <w:pStyle w:val="Compact"/>
              <w:jc w:val="right"/>
            </w:pPr>
            <w:r>
              <w:t xml:space="preserve">0.709</w:t>
            </w:r>
          </w:p>
        </w:tc>
      </w:tr>
    </w:tbl>
    <w:bookmarkEnd w:id="41"/>
    <w:bookmarkStart w:id="42" w:name="statistical-significance-and-ranking"/>
    <w:p>
      <w:pPr>
        <w:pStyle w:val="Heading3"/>
      </w:pPr>
      <w:r>
        <w:t xml:space="preserve">3.3 Statistical Significance and Ranking</w:t>
      </w:r>
    </w:p>
    <w:p>
      <w:pPr>
        <w:pStyle w:val="Compact"/>
        <w:numPr>
          <w:ilvl w:val="0"/>
          <w:numId w:val="1009"/>
        </w:numPr>
      </w:pPr>
      <w:r>
        <w:t xml:space="preserve">Friedman test on CV F1: statistic = 17.7273, p = 0.0005006466.</w:t>
      </w:r>
    </w:p>
    <w:p>
      <w:pPr>
        <w:pStyle w:val="Compact"/>
        <w:numPr>
          <w:ilvl w:val="0"/>
          <w:numId w:val="1009"/>
        </w:numPr>
      </w:pPr>
      <w:r>
        <w:t xml:space="preserve">Ranking across all models:</w:t>
      </w:r>
    </w:p>
    <w:p>
      <w:pPr>
        <w:pStyle w:val="Compact"/>
        <w:numPr>
          <w:ilvl w:val="1"/>
          <w:numId w:val="1010"/>
        </w:numPr>
      </w:pPr>
      <w:r>
        <w:t xml:space="preserve">RandomForest (selection score 1.15)</w:t>
      </w:r>
    </w:p>
    <w:p>
      <w:pPr>
        <w:pStyle w:val="Compact"/>
        <w:numPr>
          <w:ilvl w:val="1"/>
          <w:numId w:val="1010"/>
        </w:numPr>
      </w:pPr>
      <w:r>
        <w:t xml:space="preserve">GPC (selection score 1.95)</w:t>
      </w:r>
    </w:p>
    <w:p>
      <w:pPr>
        <w:pStyle w:val="Compact"/>
        <w:numPr>
          <w:ilvl w:val="1"/>
          <w:numId w:val="1010"/>
        </w:numPr>
      </w:pPr>
      <w:r>
        <w:t xml:space="preserve">LogReg_L2 (selection score 3.35)</w:t>
      </w:r>
    </w:p>
    <w:p>
      <w:pPr>
        <w:pStyle w:val="Compact"/>
        <w:numPr>
          <w:ilvl w:val="1"/>
          <w:numId w:val="1010"/>
        </w:numPr>
      </w:pPr>
      <w:r>
        <w:t xml:space="preserve">BLR (selection score 3.55)</w:t>
      </w:r>
    </w:p>
    <w:p>
      <w:pPr>
        <w:pStyle w:val="FirstParagraph"/>
      </w:pPr>
      <w:r>
        <w:t xml:space="preserve">Although RandomForest is the overall benchmark leader,</w:t>
      </w:r>
      <w:r>
        <w:t xml:space="preserve"> </w:t>
      </w:r>
      <w:r>
        <w:rPr>
          <w:rStyle w:val="VerbatimChar"/>
        </w:rPr>
        <w:t xml:space="preserve">Deployment_Eligible</w:t>
      </w:r>
      <w:r>
        <w:t xml:space="preserve"> </w:t>
      </w:r>
      <w:r>
        <w:t xml:space="preserve">and</w:t>
      </w:r>
      <w:r>
        <w:t xml:space="preserve"> </w:t>
      </w:r>
      <w:r>
        <w:rPr>
          <w:rStyle w:val="VerbatimChar"/>
        </w:rPr>
        <w:t xml:space="preserve">Deployment_Selected</w:t>
      </w:r>
      <w:r>
        <w:t xml:space="preserve"> </w:t>
      </w:r>
      <w:r>
        <w:t xml:space="preserve">fields in</w:t>
      </w:r>
      <w:r>
        <w:t xml:space="preserve"> </w:t>
      </w:r>
      <w:r>
        <w:rPr>
          <w:rStyle w:val="VerbatimChar"/>
        </w:rPr>
        <w:t xml:space="preserve">results/data/model_selection_table.csv</w:t>
      </w:r>
      <w:r>
        <w:t xml:space="preserve"> </w:t>
      </w:r>
      <w:r>
        <w:t xml:space="preserve">enforce Bayesian-only deployment; therefore GPC is selected for final mapping.</w:t>
      </w:r>
    </w:p>
    <w:bookmarkEnd w:id="42"/>
    <w:bookmarkStart w:id="46" w:name="explainability"/>
    <w:p>
      <w:pPr>
        <w:pStyle w:val="Heading3"/>
      </w:pPr>
      <w:r>
        <w:t xml:space="preserve">3.4 Explainability</w:t>
      </w:r>
    </w:p>
    <w:p>
      <w:pPr>
        <w:pStyle w:val="FirstParagraph"/>
      </w:pPr>
      <w:r>
        <w:t xml:space="preserve">SHAP from the final deployment model (GPC) identifies Elevation, Precipitation, and LULC as dominant contributors.</w:t>
      </w:r>
    </w:p>
    <w:p>
      <w:pPr>
        <w:pStyle w:val="CaptionedFigure"/>
      </w:pPr>
      <w:r>
        <w:drawing>
          <wp:inline>
            <wp:extent cx="5334000" cy="4733924"/>
            <wp:effectExtent b="0" l="0" r="0" t="0"/>
            <wp:docPr descr="Figure 8. SHAP summary for deployed GPC model." title="" id="44" name="Picture"/>
            <a:graphic>
              <a:graphicData uri="http://schemas.openxmlformats.org/drawingml/2006/picture">
                <pic:pic>
                  <pic:nvPicPr>
                    <pic:cNvPr descr="../results/figures/shap_summary.png" id="45" name="Picture"/>
                    <pic:cNvPicPr>
                      <a:picLocks noChangeArrowheads="1" noChangeAspect="1"/>
                    </pic:cNvPicPr>
                  </pic:nvPicPr>
                  <pic:blipFill>
                    <a:blip r:embed="rId43"/>
                    <a:stretch>
                      <a:fillRect/>
                    </a:stretch>
                  </pic:blipFill>
                  <pic:spPr bwMode="auto">
                    <a:xfrm>
                      <a:off x="0" y="0"/>
                      <a:ext cx="5334000" cy="4733924"/>
                    </a:xfrm>
                    <a:prstGeom prst="rect">
                      <a:avLst/>
                    </a:prstGeom>
                    <a:noFill/>
                    <a:ln w="9525">
                      <a:noFill/>
                      <a:headEnd/>
                      <a:tailEnd/>
                    </a:ln>
                  </pic:spPr>
                </pic:pic>
              </a:graphicData>
            </a:graphic>
          </wp:inline>
        </w:drawing>
      </w:r>
    </w:p>
    <w:p>
      <w:pPr>
        <w:pStyle w:val="ImageCaption"/>
      </w:pPr>
      <w:r>
        <w:t xml:space="preserve">Figure 8. SHAP summary for deployed GPC model.</w:t>
      </w:r>
    </w:p>
    <w:bookmarkEnd w:id="46"/>
    <w:bookmarkStart w:id="53" w:name="final-bayesian-maps-and-scai"/>
    <w:p>
      <w:pPr>
        <w:pStyle w:val="Heading3"/>
      </w:pPr>
      <w:r>
        <w:t xml:space="preserve">3.5 Final Bayesian Maps and SCAI</w:t>
      </w:r>
    </w:p>
    <w:p>
      <w:pPr>
        <w:pStyle w:val="FirstParagraph"/>
      </w:pPr>
      <w:r>
        <w:t xml:space="preserve">Final susceptibility and uncertainty maps are generated only from GPC:</w:t>
      </w:r>
    </w:p>
    <w:p>
      <w:pPr>
        <w:pStyle w:val="BodyText"/>
      </w:pPr>
      <w:r>
        <w:drawing>
          <wp:inline>
            <wp:extent cx="5334000" cy="4267200"/>
            <wp:effectExtent b="0" l="0" r="0" t="0"/>
            <wp:docPr descr="Figure 9. Deployed Bayesian susceptibility map (GPC)." title="" id="48" name="Picture"/>
            <a:graphic>
              <a:graphicData uri="http://schemas.openxmlformats.org/drawingml/2006/picture">
                <pic:pic>
                  <pic:nvPicPr>
                    <pic:cNvPr descr="../results/figures/susceptibility_map.png" id="49" name="Picture"/>
                    <pic:cNvPicPr>
                      <a:picLocks noChangeArrowheads="1" noChangeAspect="1"/>
                    </pic:cNvPicPr>
                  </pic:nvPicPr>
                  <pic:blipFill>
                    <a:blip r:embed="rId47"/>
                    <a:stretch>
                      <a:fillRect/>
                    </a:stretch>
                  </pic:blipFill>
                  <pic:spPr bwMode="auto">
                    <a:xfrm>
                      <a:off x="0" y="0"/>
                      <a:ext cx="5334000" cy="4267200"/>
                    </a:xfrm>
                    <a:prstGeom prst="rect">
                      <a:avLst/>
                    </a:prstGeom>
                    <a:noFill/>
                    <a:ln w="9525">
                      <a:noFill/>
                      <a:headEnd/>
                      <a:tailEnd/>
                    </a:ln>
                  </pic:spPr>
                </pic:pic>
              </a:graphicData>
            </a:graphic>
          </wp:inline>
        </w:drawing>
      </w:r>
      <w:r>
        <w:t xml:space="preserve"> </w:t>
      </w:r>
      <w:r>
        <w:drawing>
          <wp:inline>
            <wp:extent cx="5334000" cy="4267200"/>
            <wp:effectExtent b="0" l="0" r="0" t="0"/>
            <wp:docPr descr="Figure 10. Deployed Bayesian uncertainty map (GPC latent variance based)." title="" id="51" name="Picture"/>
            <a:graphic>
              <a:graphicData uri="http://schemas.openxmlformats.org/drawingml/2006/picture">
                <pic:pic>
                  <pic:nvPicPr>
                    <pic:cNvPr descr="../results/figures/uncertainty_map.png" id="52" name="Picture"/>
                    <pic:cNvPicPr>
                      <a:picLocks noChangeArrowheads="1" noChangeAspect="1"/>
                    </pic:cNvPicPr>
                  </pic:nvPicPr>
                  <pic:blipFill>
                    <a:blip r:embed="rId50"/>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SCAI outcomes: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Tier</w:t>
            </w:r>
          </w:p>
        </w:tc>
        <w:tc>
          <w:tcPr/>
          <w:p>
            <w:pPr>
              <w:pStyle w:val="Compact"/>
              <w:jc w:val="right"/>
            </w:pPr>
            <w:r>
              <w:t xml:space="preserve">Area %</w:t>
            </w:r>
          </w:p>
        </w:tc>
        <w:tc>
          <w:tcPr/>
          <w:p>
            <w:pPr>
              <w:pStyle w:val="Compact"/>
              <w:jc w:val="right"/>
            </w:pPr>
            <w:r>
              <w:t xml:space="preserve">Landslide %</w:t>
            </w:r>
          </w:p>
        </w:tc>
        <w:tc>
          <w:tcPr/>
          <w:p>
            <w:pPr>
              <w:pStyle w:val="Compact"/>
              <w:jc w:val="right"/>
            </w:pPr>
            <w:r>
              <w:t xml:space="preserve">Landslide Count</w:t>
            </w:r>
          </w:p>
        </w:tc>
        <w:tc>
          <w:tcPr/>
          <w:p>
            <w:pPr>
              <w:pStyle w:val="Compact"/>
              <w:jc w:val="right"/>
            </w:pPr>
            <w:r>
              <w:t xml:space="preserve">SCAI</w:t>
            </w:r>
          </w:p>
        </w:tc>
      </w:tr>
      <w:tr>
        <w:tc>
          <w:tcPr/>
          <w:p>
            <w:pPr>
              <w:pStyle w:val="Compact"/>
            </w:pPr>
            <w:r>
              <w:t xml:space="preserve">Very Low</w:t>
            </w:r>
          </w:p>
        </w:tc>
        <w:tc>
          <w:tcPr/>
          <w:p>
            <w:pPr>
              <w:pStyle w:val="Compact"/>
              <w:jc w:val="right"/>
            </w:pPr>
            <w:r>
              <w:t xml:space="preserve">29.37</w:t>
            </w:r>
          </w:p>
        </w:tc>
        <w:tc>
          <w:tcPr/>
          <w:p>
            <w:pPr>
              <w:pStyle w:val="Compact"/>
              <w:jc w:val="right"/>
            </w:pPr>
            <w:r>
              <w:t xml:space="preserve">0.65</w:t>
            </w:r>
          </w:p>
        </w:tc>
        <w:tc>
          <w:tcPr/>
          <w:p>
            <w:pPr>
              <w:pStyle w:val="Compact"/>
              <w:jc w:val="right"/>
            </w:pPr>
            <w:r>
              <w:t xml:space="preserve">1</w:t>
            </w:r>
          </w:p>
        </w:tc>
        <w:tc>
          <w:tcPr/>
          <w:p>
            <w:pPr>
              <w:pStyle w:val="Compact"/>
              <w:jc w:val="right"/>
            </w:pPr>
            <w:r>
              <w:t xml:space="preserve">45.53</w:t>
            </w:r>
          </w:p>
        </w:tc>
      </w:tr>
      <w:tr>
        <w:tc>
          <w:tcPr/>
          <w:p>
            <w:pPr>
              <w:pStyle w:val="Compact"/>
            </w:pPr>
            <w:r>
              <w:t xml:space="preserve">Low</w:t>
            </w:r>
          </w:p>
        </w:tc>
        <w:tc>
          <w:tcPr/>
          <w:p>
            <w:pPr>
              <w:pStyle w:val="Compact"/>
              <w:jc w:val="right"/>
            </w:pPr>
            <w:r>
              <w:t xml:space="preserve">23.16</w:t>
            </w:r>
          </w:p>
        </w:tc>
        <w:tc>
          <w:tcPr/>
          <w:p>
            <w:pPr>
              <w:pStyle w:val="Compact"/>
              <w:jc w:val="right"/>
            </w:pPr>
            <w:r>
              <w:t xml:space="preserve">0.65</w:t>
            </w:r>
          </w:p>
        </w:tc>
        <w:tc>
          <w:tcPr/>
          <w:p>
            <w:pPr>
              <w:pStyle w:val="Compact"/>
              <w:jc w:val="right"/>
            </w:pPr>
            <w:r>
              <w:t xml:space="preserve">1</w:t>
            </w:r>
          </w:p>
        </w:tc>
        <w:tc>
          <w:tcPr/>
          <w:p>
            <w:pPr>
              <w:pStyle w:val="Compact"/>
              <w:jc w:val="right"/>
            </w:pPr>
            <w:r>
              <w:t xml:space="preserve">35.90</w:t>
            </w:r>
          </w:p>
        </w:tc>
      </w:tr>
      <w:tr>
        <w:tc>
          <w:tcPr/>
          <w:p>
            <w:pPr>
              <w:pStyle w:val="Compact"/>
            </w:pPr>
            <w:r>
              <w:t xml:space="preserve">Moderate</w:t>
            </w:r>
          </w:p>
        </w:tc>
        <w:tc>
          <w:tcPr/>
          <w:p>
            <w:pPr>
              <w:pStyle w:val="Compact"/>
              <w:jc w:val="right"/>
            </w:pPr>
            <w:r>
              <w:t xml:space="preserve">24.04</w:t>
            </w:r>
          </w:p>
        </w:tc>
        <w:tc>
          <w:tcPr/>
          <w:p>
            <w:pPr>
              <w:pStyle w:val="Compact"/>
              <w:jc w:val="right"/>
            </w:pPr>
            <w:r>
              <w:t xml:space="preserve">5.81</w:t>
            </w:r>
          </w:p>
        </w:tc>
        <w:tc>
          <w:tcPr/>
          <w:p>
            <w:pPr>
              <w:pStyle w:val="Compact"/>
              <w:jc w:val="right"/>
            </w:pPr>
            <w:r>
              <w:t xml:space="preserve">9</w:t>
            </w:r>
          </w:p>
        </w:tc>
        <w:tc>
          <w:tcPr/>
          <w:p>
            <w:pPr>
              <w:pStyle w:val="Compact"/>
              <w:jc w:val="right"/>
            </w:pPr>
            <w:r>
              <w:t xml:space="preserve">4.14</w:t>
            </w:r>
          </w:p>
        </w:tc>
      </w:tr>
      <w:tr>
        <w:tc>
          <w:tcPr/>
          <w:p>
            <w:pPr>
              <w:pStyle w:val="Compact"/>
            </w:pPr>
            <w:r>
              <w:t xml:space="preserve">High</w:t>
            </w:r>
          </w:p>
        </w:tc>
        <w:tc>
          <w:tcPr/>
          <w:p>
            <w:pPr>
              <w:pStyle w:val="Compact"/>
              <w:jc w:val="right"/>
            </w:pPr>
            <w:r>
              <w:t xml:space="preserve">13.96</w:t>
            </w:r>
          </w:p>
        </w:tc>
        <w:tc>
          <w:tcPr/>
          <w:p>
            <w:pPr>
              <w:pStyle w:val="Compact"/>
              <w:jc w:val="right"/>
            </w:pPr>
            <w:r>
              <w:t xml:space="preserve">14.19</w:t>
            </w:r>
          </w:p>
        </w:tc>
        <w:tc>
          <w:tcPr/>
          <w:p>
            <w:pPr>
              <w:pStyle w:val="Compact"/>
              <w:jc w:val="right"/>
            </w:pPr>
            <w:r>
              <w:t xml:space="preserve">22</w:t>
            </w:r>
          </w:p>
        </w:tc>
        <w:tc>
          <w:tcPr/>
          <w:p>
            <w:pPr>
              <w:pStyle w:val="Compact"/>
              <w:jc w:val="right"/>
            </w:pPr>
            <w:r>
              <w:t xml:space="preserve">0.98</w:t>
            </w:r>
          </w:p>
        </w:tc>
      </w:tr>
      <w:tr>
        <w:tc>
          <w:tcPr/>
          <w:p>
            <w:pPr>
              <w:pStyle w:val="Compact"/>
            </w:pPr>
            <w:r>
              <w:t xml:space="preserve">Very High</w:t>
            </w:r>
          </w:p>
        </w:tc>
        <w:tc>
          <w:tcPr/>
          <w:p>
            <w:pPr>
              <w:pStyle w:val="Compact"/>
              <w:jc w:val="right"/>
            </w:pPr>
            <w:r>
              <w:t xml:space="preserve">9.47</w:t>
            </w:r>
          </w:p>
        </w:tc>
        <w:tc>
          <w:tcPr/>
          <w:p>
            <w:pPr>
              <w:pStyle w:val="Compact"/>
              <w:jc w:val="right"/>
            </w:pPr>
            <w:r>
              <w:t xml:space="preserve">78.71</w:t>
            </w:r>
          </w:p>
        </w:tc>
        <w:tc>
          <w:tcPr/>
          <w:p>
            <w:pPr>
              <w:pStyle w:val="Compact"/>
              <w:jc w:val="right"/>
            </w:pPr>
            <w:r>
              <w:t xml:space="preserve">122</w:t>
            </w:r>
          </w:p>
        </w:tc>
        <w:tc>
          <w:tcPr/>
          <w:p>
            <w:pPr>
              <w:pStyle w:val="Compact"/>
              <w:jc w:val="right"/>
            </w:pPr>
            <w:r>
              <w:t xml:space="preserve">0.12</w:t>
            </w:r>
          </w:p>
        </w:tc>
      </w:tr>
    </w:tbl>
    <w:bookmarkEnd w:id="53"/>
    <w:bookmarkEnd w:id="54"/>
    <w:bookmarkStart w:id="55" w:name="discussion"/>
    <w:p>
      <w:pPr>
        <w:pStyle w:val="Heading2"/>
      </w:pPr>
      <w:r>
        <w:t xml:space="preserve">4. Discussion</w:t>
      </w:r>
    </w:p>
    <w:p>
      <w:pPr>
        <w:pStyle w:val="FirstParagraph"/>
      </w:pPr>
      <w:r>
        <w:t xml:space="preserve">The benchmark results confirm that deterministic models can produce stronger discrimination on this dataset, with RandomForest ranking first overall. However, deployment in this research is intentionally Bayesian: maps are decision products requiring interpretable probability surfaces with coherent uncertainty representation tied to model posterior behavior. GPC provides better calibration among Bayesian candidates (ECE = 0.084) and supplies posterior uncertainty needed for uncertainty-aware hazard communication.</w:t>
      </w:r>
    </w:p>
    <w:p>
      <w:pPr>
        <w:pStyle w:val="BodyText"/>
      </w:pPr>
      <w:r>
        <w:t xml:space="preserve">This separation between benchmarking and deployment improves methodological transparency: deterministic models are retained for robustness assessment, while final susceptibility and uncertainty maps remain aligned with the uncertainty-focused Bayesian objective.</w:t>
      </w:r>
    </w:p>
    <w:bookmarkEnd w:id="55"/>
    <w:bookmarkStart w:id="56" w:name="conclusion"/>
    <w:p>
      <w:pPr>
        <w:pStyle w:val="Heading2"/>
      </w:pPr>
      <w:r>
        <w:t xml:space="preserve">5. Conclusion</w:t>
      </w:r>
    </w:p>
    <w:p>
      <w:pPr>
        <w:pStyle w:val="FirstParagraph"/>
      </w:pPr>
      <w:r>
        <w:t xml:space="preserve">The updated workflow now:</w:t>
      </w:r>
    </w:p>
    <w:p>
      <w:pPr>
        <w:pStyle w:val="Compact"/>
        <w:numPr>
          <w:ilvl w:val="0"/>
          <w:numId w:val="1011"/>
        </w:numPr>
      </w:pPr>
      <w:r>
        <w:t xml:space="preserve">benchmarks</w:t>
      </w:r>
      <w:r>
        <w:t xml:space="preserve"> </w:t>
      </w:r>
      <w:r>
        <w:rPr>
          <w:rStyle w:val="VerbatimChar"/>
        </w:rPr>
        <w:t xml:space="preserve">BLR</w:t>
      </w:r>
      <w:r>
        <w:t xml:space="preserve">,</w:t>
      </w:r>
      <w:r>
        <w:t xml:space="preserve"> </w:t>
      </w:r>
      <w:r>
        <w:rPr>
          <w:rStyle w:val="VerbatimChar"/>
        </w:rPr>
        <w:t xml:space="preserve">GPC</w:t>
      </w:r>
      <w:r>
        <w:t xml:space="preserve">,</w:t>
      </w:r>
      <w:r>
        <w:t xml:space="preserve"> </w:t>
      </w:r>
      <w:r>
        <w:rPr>
          <w:rStyle w:val="VerbatimChar"/>
        </w:rPr>
        <w:t xml:space="preserve">LogReg_L2</w:t>
      </w:r>
      <w:r>
        <w:t xml:space="preserve">, and</w:t>
      </w:r>
      <w:r>
        <w:t xml:space="preserve"> </w:t>
      </w:r>
      <w:r>
        <w:rPr>
          <w:rStyle w:val="VerbatimChar"/>
        </w:rPr>
        <w:t xml:space="preserve">RandomForest</w:t>
      </w:r>
      <w:r>
        <w:t xml:space="preserve"> </w:t>
      </w:r>
      <w:r>
        <w:t xml:space="preserve">under identical preprocessing and validation;</w:t>
      </w:r>
    </w:p>
    <w:p>
      <w:pPr>
        <w:pStyle w:val="Compact"/>
        <w:numPr>
          <w:ilvl w:val="0"/>
          <w:numId w:val="1011"/>
        </w:numPr>
      </w:pPr>
      <w:r>
        <w:t xml:space="preserve">reports full metric and statistical comparisons for all models;</w:t>
      </w:r>
    </w:p>
    <w:p>
      <w:pPr>
        <w:pStyle w:val="Compact"/>
        <w:numPr>
          <w:ilvl w:val="0"/>
          <w:numId w:val="1011"/>
        </w:numPr>
      </w:pPr>
      <w:r>
        <w:t xml:space="preserve">deploys only the best Bayesian candidate for final susceptibility and uncertainty maps.</w:t>
      </w:r>
    </w:p>
    <w:p>
      <w:pPr>
        <w:pStyle w:val="FirstParagraph"/>
      </w:pPr>
      <w:r>
        <w:t xml:space="preserve">For this run, RandomForest is best overall benchmark model, while</w:t>
      </w:r>
      <w:r>
        <w:t xml:space="preserve"> </w:t>
      </w:r>
      <w:r>
        <w:rPr>
          <w:b/>
          <w:bCs/>
        </w:rPr>
        <w:t xml:space="preserve">GPC</w:t>
      </w:r>
      <w:r>
        <w:t xml:space="preserve"> </w:t>
      </w:r>
      <w:r>
        <w:t xml:space="preserve">is the final Bayesian deployment model used for map generation.</w:t>
      </w:r>
    </w:p>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jpg" /><Relationship Type="http://schemas.openxmlformats.org/officeDocument/2006/relationships/image" Id="rId11" Target="media/rId11.jpg" /><Relationship Type="http://schemas.openxmlformats.org/officeDocument/2006/relationships/image" Id="rId37" Target="media/rId37.png" /><Relationship Type="http://schemas.openxmlformats.org/officeDocument/2006/relationships/image" Id="rId19" Target="media/rId19.png" /><Relationship Type="http://schemas.openxmlformats.org/officeDocument/2006/relationships/image" Id="rId34" Target="media/rId34.png" /><Relationship Type="http://schemas.openxmlformats.org/officeDocument/2006/relationships/image" Id="rId31" Target="media/rId31.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2026-02-23T19:39:22Z</dcterms:created>
  <dcterms:modified xsi:type="dcterms:W3CDTF">2026-02-23T19:39:22Z</dcterms:modified>
</cp:coreProperties>
</file>

<file path=docProps/custom.xml><?xml version="1.0" encoding="utf-8"?>
<Properties xmlns="http://schemas.openxmlformats.org/officeDocument/2006/custom-properties" xmlns:vt="http://schemas.openxmlformats.org/officeDocument/2006/docPropsVTypes"/>
</file>