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0FD8" w14:textId="7D6FD75E" w:rsidR="006367E3" w:rsidRPr="00340959" w:rsidRDefault="00764B30" w:rsidP="002B0D57">
      <w:pPr>
        <w:spacing w:before="0" w:after="0" w:line="276" w:lineRule="auto"/>
        <w:jc w:val="center"/>
        <w:rPr>
          <w:rFonts w:ascii="Arial" w:hAnsi="Arial" w:cs="Arial"/>
          <w:b/>
          <w:bCs/>
          <w:color w:val="000000"/>
          <w:sz w:val="23"/>
          <w:szCs w:val="23"/>
        </w:rPr>
      </w:pPr>
      <w:r w:rsidRPr="00764B30">
        <w:rPr>
          <w:rFonts w:ascii="Arial" w:hAnsi="Arial" w:cs="Arial"/>
          <w:b/>
          <w:bCs/>
          <w:color w:val="000000"/>
          <w:sz w:val="23"/>
          <w:szCs w:val="23"/>
        </w:rPr>
        <w:t>BAYESIAN UNCERTAINTY-AWARE LANDSLIDE SUSCEPTIBILITY MAPPING: APPLICATION TO CHATTOGRAM, BANGLADESH</w:t>
      </w:r>
    </w:p>
    <w:p w14:paraId="5042A61E" w14:textId="77777777" w:rsidR="00340959" w:rsidRPr="00340959" w:rsidRDefault="00340959" w:rsidP="00340959">
      <w:pPr>
        <w:spacing w:before="0" w:after="0" w:line="360" w:lineRule="auto"/>
        <w:jc w:val="center"/>
        <w:rPr>
          <w:rFonts w:ascii="Arial" w:hAnsi="Arial" w:cs="Arial"/>
          <w:b/>
          <w:bCs/>
          <w:color w:val="000000"/>
          <w:sz w:val="21"/>
          <w:szCs w:val="21"/>
        </w:rPr>
      </w:pPr>
    </w:p>
    <w:p w14:paraId="13BBD9C9" w14:textId="69EF265E" w:rsidR="000139B7" w:rsidRPr="00340959" w:rsidRDefault="000139B7" w:rsidP="00340959">
      <w:pPr>
        <w:spacing w:before="0" w:after="0" w:line="360" w:lineRule="auto"/>
        <w:jc w:val="center"/>
        <w:rPr>
          <w:rFonts w:ascii="Arial" w:hAnsi="Arial" w:cs="Arial"/>
          <w:sz w:val="21"/>
          <w:szCs w:val="21"/>
        </w:rPr>
      </w:pPr>
      <w:r w:rsidRPr="00340959">
        <w:rPr>
          <w:rFonts w:ascii="Arial" w:hAnsi="Arial" w:cs="Arial"/>
          <w:color w:val="000000"/>
          <w:sz w:val="21"/>
          <w:szCs w:val="21"/>
        </w:rPr>
        <w:t>Golam Murad</w:t>
      </w:r>
      <w:r w:rsidRPr="00340959">
        <w:rPr>
          <w:rFonts w:ascii="Arial" w:hAnsi="Arial" w:cs="Arial"/>
          <w:color w:val="000000"/>
          <w:sz w:val="21"/>
          <w:szCs w:val="21"/>
          <w:vertAlign w:val="superscript"/>
        </w:rPr>
        <w:t>1</w:t>
      </w:r>
      <w:r w:rsidRPr="00340959">
        <w:rPr>
          <w:rFonts w:ascii="Arial" w:hAnsi="Arial" w:cs="Arial"/>
          <w:color w:val="000000"/>
          <w:sz w:val="21"/>
          <w:szCs w:val="21"/>
        </w:rPr>
        <w:t>, Shotabdy Chowdhury Srabony</w:t>
      </w:r>
      <w:r w:rsidRPr="00340959">
        <w:rPr>
          <w:rFonts w:ascii="Arial" w:hAnsi="Arial" w:cs="Arial"/>
          <w:color w:val="000000"/>
          <w:sz w:val="21"/>
          <w:szCs w:val="21"/>
          <w:vertAlign w:val="superscript"/>
        </w:rPr>
        <w:t>2</w:t>
      </w:r>
      <w:r w:rsidRPr="00340959">
        <w:rPr>
          <w:rFonts w:ascii="Arial" w:hAnsi="Arial" w:cs="Arial"/>
          <w:color w:val="000000"/>
          <w:sz w:val="21"/>
          <w:szCs w:val="21"/>
        </w:rPr>
        <w:t>, Shafiq Mahmud</w:t>
      </w:r>
      <w:r w:rsidR="00340959">
        <w:rPr>
          <w:rFonts w:ascii="Arial" w:hAnsi="Arial" w:cs="Arial"/>
          <w:color w:val="000000"/>
          <w:sz w:val="21"/>
          <w:szCs w:val="21"/>
          <w:vertAlign w:val="superscript"/>
        </w:rPr>
        <w:t>3</w:t>
      </w:r>
      <w:r w:rsidRPr="00340959">
        <w:rPr>
          <w:rFonts w:ascii="Arial" w:hAnsi="Arial" w:cs="Arial"/>
          <w:color w:val="000000"/>
          <w:sz w:val="21"/>
          <w:szCs w:val="21"/>
        </w:rPr>
        <w:t>, Md. Aftabur Rahman</w:t>
      </w:r>
      <w:r w:rsidR="00340959">
        <w:rPr>
          <w:rFonts w:ascii="Arial" w:hAnsi="Arial" w:cs="Arial"/>
          <w:color w:val="000000"/>
          <w:sz w:val="21"/>
          <w:szCs w:val="21"/>
          <w:vertAlign w:val="superscript"/>
        </w:rPr>
        <w:t>4</w:t>
      </w:r>
      <w:r w:rsidRPr="00340959">
        <w:rPr>
          <w:rFonts w:ascii="Arial" w:hAnsi="Arial" w:cs="Arial"/>
          <w:color w:val="000000"/>
          <w:sz w:val="21"/>
          <w:szCs w:val="21"/>
          <w:vertAlign w:val="superscript"/>
        </w:rPr>
        <w:t>*</w:t>
      </w:r>
      <w:r w:rsidR="00340959">
        <w:rPr>
          <w:rFonts w:ascii="Arial" w:hAnsi="Arial" w:cs="Arial"/>
          <w:color w:val="000000"/>
          <w:sz w:val="21"/>
          <w:szCs w:val="21"/>
        </w:rPr>
        <w:t xml:space="preserve">, </w:t>
      </w:r>
      <w:r w:rsidR="00340959" w:rsidRPr="00174ED1">
        <w:rPr>
          <w:rFonts w:ascii="Arial" w:hAnsi="Arial" w:cs="Arial"/>
          <w:color w:val="000000"/>
          <w:sz w:val="21"/>
          <w:szCs w:val="21"/>
        </w:rPr>
        <w:t>Hideaki Yasuharara</w:t>
      </w:r>
      <w:r w:rsidR="00340959" w:rsidRPr="00174ED1">
        <w:rPr>
          <w:rFonts w:ascii="Arial" w:hAnsi="Arial" w:cs="Arial"/>
          <w:color w:val="000000"/>
          <w:sz w:val="21"/>
          <w:szCs w:val="21"/>
          <w:vertAlign w:val="superscript"/>
        </w:rPr>
        <w:t>5</w:t>
      </w:r>
    </w:p>
    <w:p w14:paraId="289EA5EC" w14:textId="383DCFFF" w:rsidR="000139B7" w:rsidRPr="00340959" w:rsidRDefault="000139B7" w:rsidP="00340959">
      <w:pPr>
        <w:spacing w:before="0" w:after="0"/>
        <w:jc w:val="center"/>
        <w:rPr>
          <w:rFonts w:ascii="Arial" w:hAnsi="Arial" w:cs="Arial"/>
          <w:sz w:val="18"/>
          <w:szCs w:val="18"/>
        </w:rPr>
      </w:pPr>
      <w:r w:rsidRPr="00340959">
        <w:rPr>
          <w:rFonts w:ascii="Arial" w:hAnsi="Arial" w:cs="Arial"/>
          <w:i/>
          <w:iCs/>
          <w:color w:val="000000"/>
          <w:sz w:val="18"/>
          <w:szCs w:val="18"/>
          <w:vertAlign w:val="superscript"/>
        </w:rPr>
        <w:t>1</w:t>
      </w:r>
      <w:r w:rsidRPr="00340959">
        <w:rPr>
          <w:rFonts w:ascii="Arial" w:hAnsi="Arial" w:cs="Arial"/>
          <w:i/>
          <w:iCs/>
          <w:color w:val="000000"/>
          <w:sz w:val="18"/>
          <w:szCs w:val="18"/>
        </w:rPr>
        <w:t xml:space="preserve">Graduate, Department of Civil Engineering, Chittagong University of Engineering &amp; Technology, Chattogram-4349, Bangladesh, Email: </w:t>
      </w:r>
      <w:r w:rsidRPr="00340959">
        <w:rPr>
          <w:rFonts w:ascii="Arial" w:hAnsi="Arial" w:cs="Arial"/>
          <w:i/>
          <w:iCs/>
          <w:sz w:val="18"/>
          <w:szCs w:val="18"/>
        </w:rPr>
        <w:t>u1901087@student.cuet.ac.bd</w:t>
      </w:r>
    </w:p>
    <w:p w14:paraId="1A7BA6FF" w14:textId="23A94F0B" w:rsidR="000139B7" w:rsidRPr="00340959" w:rsidRDefault="000139B7" w:rsidP="00340959">
      <w:pPr>
        <w:spacing w:before="0" w:after="0"/>
        <w:jc w:val="center"/>
        <w:rPr>
          <w:rFonts w:ascii="Arial" w:hAnsi="Arial" w:cs="Arial"/>
          <w:sz w:val="18"/>
          <w:szCs w:val="18"/>
        </w:rPr>
      </w:pPr>
      <w:r w:rsidRPr="00340959">
        <w:rPr>
          <w:rFonts w:ascii="Arial" w:hAnsi="Arial" w:cs="Arial"/>
          <w:i/>
          <w:iCs/>
          <w:color w:val="000000"/>
          <w:sz w:val="18"/>
          <w:szCs w:val="18"/>
          <w:vertAlign w:val="superscript"/>
        </w:rPr>
        <w:t>2</w:t>
      </w:r>
      <w:r w:rsidRPr="00340959">
        <w:rPr>
          <w:rFonts w:ascii="Arial" w:hAnsi="Arial" w:cs="Arial"/>
          <w:i/>
          <w:iCs/>
          <w:color w:val="000000"/>
          <w:sz w:val="18"/>
          <w:szCs w:val="18"/>
        </w:rPr>
        <w:t xml:space="preserve">Research Assistant, Department of Civil Engineering, Chittagong University of Engineering &amp; Technology, Chattogram-4349, Bangladesh, Email: </w:t>
      </w:r>
      <w:r w:rsidRPr="00340959">
        <w:rPr>
          <w:rFonts w:ascii="Arial" w:hAnsi="Arial" w:cs="Arial"/>
          <w:i/>
          <w:iCs/>
          <w:sz w:val="18"/>
          <w:szCs w:val="18"/>
        </w:rPr>
        <w:t>u1901052@student.cuet.ac.bd</w:t>
      </w:r>
    </w:p>
    <w:p w14:paraId="787E7B3C" w14:textId="053C64EB" w:rsidR="000139B7" w:rsidRPr="00340959" w:rsidRDefault="00340959" w:rsidP="00340959">
      <w:pPr>
        <w:spacing w:before="0" w:after="0"/>
        <w:jc w:val="center"/>
        <w:rPr>
          <w:rFonts w:ascii="Arial" w:hAnsi="Arial" w:cs="Arial"/>
          <w:i/>
          <w:iCs/>
          <w:color w:val="000000"/>
          <w:sz w:val="18"/>
          <w:szCs w:val="18"/>
        </w:rPr>
      </w:pPr>
      <w:r w:rsidRPr="00340959">
        <w:rPr>
          <w:rFonts w:ascii="Arial" w:hAnsi="Arial" w:cs="Arial"/>
          <w:i/>
          <w:iCs/>
          <w:color w:val="000000"/>
          <w:sz w:val="18"/>
          <w:szCs w:val="18"/>
          <w:vertAlign w:val="superscript"/>
        </w:rPr>
        <w:t>3</w:t>
      </w:r>
      <w:r w:rsidR="000139B7" w:rsidRPr="00340959">
        <w:rPr>
          <w:rFonts w:ascii="Arial" w:hAnsi="Arial" w:cs="Arial"/>
          <w:i/>
          <w:iCs/>
          <w:color w:val="000000"/>
          <w:sz w:val="18"/>
          <w:szCs w:val="18"/>
        </w:rPr>
        <w:t>Undergraduate Student, Department of Urban and Regional Planning, Chittagong University of Engineering &amp; Technology, Chattogram-4349, Bangladesh, Email: u2105051@student.cuet.ac.bd</w:t>
      </w:r>
    </w:p>
    <w:p w14:paraId="69502786" w14:textId="1A62DB73" w:rsidR="000139B7" w:rsidRPr="00340959" w:rsidRDefault="00340959" w:rsidP="00340959">
      <w:pPr>
        <w:spacing w:before="0" w:after="0"/>
        <w:jc w:val="center"/>
        <w:rPr>
          <w:rFonts w:ascii="Arial" w:hAnsi="Arial" w:cs="Arial"/>
          <w:sz w:val="18"/>
          <w:szCs w:val="18"/>
        </w:rPr>
      </w:pPr>
      <w:r w:rsidRPr="00340959">
        <w:rPr>
          <w:rFonts w:ascii="Arial" w:hAnsi="Arial" w:cs="Arial"/>
          <w:i/>
          <w:iCs/>
          <w:color w:val="000000"/>
          <w:sz w:val="18"/>
          <w:szCs w:val="18"/>
          <w:vertAlign w:val="superscript"/>
        </w:rPr>
        <w:t>4</w:t>
      </w:r>
      <w:r w:rsidR="000139B7" w:rsidRPr="00340959">
        <w:rPr>
          <w:rFonts w:ascii="Arial" w:hAnsi="Arial" w:cs="Arial"/>
          <w:i/>
          <w:iCs/>
          <w:color w:val="000000"/>
          <w:sz w:val="18"/>
          <w:szCs w:val="18"/>
        </w:rPr>
        <w:t xml:space="preserve">Professor, Department of Civil Engineering, Chittagong University of Engineering &amp; Technology, Chattogram-4349, Bangladesh, Email: </w:t>
      </w:r>
      <w:r w:rsidR="000139B7" w:rsidRPr="00340959">
        <w:rPr>
          <w:rFonts w:ascii="Arial" w:hAnsi="Arial" w:cs="Arial"/>
          <w:i/>
          <w:iCs/>
          <w:sz w:val="18"/>
          <w:szCs w:val="18"/>
        </w:rPr>
        <w:t>maftabur@cuet.ac.bd</w:t>
      </w:r>
    </w:p>
    <w:p w14:paraId="3177694F" w14:textId="4E7FF03D" w:rsidR="00340959" w:rsidRPr="00340959" w:rsidRDefault="00340959" w:rsidP="00340959">
      <w:pPr>
        <w:spacing w:before="0" w:after="0"/>
        <w:jc w:val="center"/>
        <w:rPr>
          <w:rFonts w:ascii="Arial" w:hAnsi="Arial" w:cs="Arial"/>
          <w:sz w:val="18"/>
          <w:szCs w:val="18"/>
        </w:rPr>
      </w:pPr>
      <w:r w:rsidRPr="00174ED1">
        <w:rPr>
          <w:rFonts w:ascii="Arial" w:hAnsi="Arial" w:cs="Arial"/>
          <w:i/>
          <w:iCs/>
          <w:color w:val="000000"/>
          <w:sz w:val="18"/>
          <w:szCs w:val="18"/>
          <w:vertAlign w:val="superscript"/>
        </w:rPr>
        <w:t>5</w:t>
      </w:r>
      <w:r w:rsidRPr="00174ED1">
        <w:rPr>
          <w:rFonts w:ascii="Arial" w:hAnsi="Arial" w:cs="Arial"/>
          <w:i/>
          <w:iCs/>
          <w:color w:val="000000"/>
          <w:sz w:val="18"/>
          <w:szCs w:val="18"/>
        </w:rPr>
        <w:t>Professor, Department of Urban Management, Kyoto University, Japan, Email: yasuhara.hideaki.7pkyoto-u.ac.jp</w:t>
      </w:r>
      <w:r w:rsidRPr="00340959">
        <w:rPr>
          <w:rFonts w:ascii="Arial" w:hAnsi="Arial" w:cs="Arial"/>
          <w:i/>
          <w:iCs/>
          <w:sz w:val="18"/>
          <w:szCs w:val="18"/>
        </w:rPr>
        <w:t xml:space="preserve"> </w:t>
      </w:r>
    </w:p>
    <w:p w14:paraId="79198C9E" w14:textId="4D0FBD90" w:rsidR="00340959" w:rsidRPr="00340959" w:rsidRDefault="00340959" w:rsidP="00340959">
      <w:pPr>
        <w:spacing w:before="0" w:after="0" w:line="360" w:lineRule="auto"/>
        <w:jc w:val="center"/>
        <w:rPr>
          <w:rFonts w:ascii="Arial" w:hAnsi="Arial" w:cs="Arial"/>
          <w:i/>
          <w:iCs/>
          <w:color w:val="000000"/>
          <w:sz w:val="21"/>
          <w:szCs w:val="21"/>
        </w:rPr>
      </w:pPr>
    </w:p>
    <w:p w14:paraId="0547651D" w14:textId="2A163CA1" w:rsidR="004976F9" w:rsidRPr="002B0D57" w:rsidRDefault="000139B7" w:rsidP="00340959">
      <w:pPr>
        <w:spacing w:before="0" w:after="0" w:line="360" w:lineRule="auto"/>
        <w:jc w:val="center"/>
        <w:rPr>
          <w:rFonts w:ascii="Arial" w:hAnsi="Arial" w:cs="Arial"/>
        </w:rPr>
      </w:pPr>
      <w:r w:rsidRPr="002B0D57">
        <w:rPr>
          <w:rFonts w:ascii="Arial" w:hAnsi="Arial" w:cs="Arial"/>
        </w:rPr>
        <w:t>*Corresponding Author: Md. Aftabur Rahman</w:t>
      </w:r>
    </w:p>
    <w:p w14:paraId="3FA7930B" w14:textId="77777777" w:rsidR="005B28E8" w:rsidRPr="004D3B85" w:rsidRDefault="00000000" w:rsidP="00340959">
      <w:pPr>
        <w:pStyle w:val="Heading1"/>
        <w:spacing w:before="0" w:after="0" w:line="360" w:lineRule="auto"/>
        <w:rPr>
          <w:rFonts w:ascii="Arial" w:hAnsi="Arial" w:cs="Arial"/>
          <w:b/>
          <w:bCs/>
          <w:color w:val="7030A0"/>
          <w:sz w:val="21"/>
          <w:szCs w:val="21"/>
        </w:rPr>
      </w:pPr>
      <w:commentRangeStart w:id="0"/>
      <w:r w:rsidRPr="004D3B85">
        <w:rPr>
          <w:rFonts w:ascii="Arial" w:hAnsi="Arial" w:cs="Arial"/>
          <w:b/>
          <w:bCs/>
          <w:color w:val="7030A0"/>
          <w:sz w:val="21"/>
          <w:szCs w:val="21"/>
        </w:rPr>
        <w:t>Abstract</w:t>
      </w:r>
      <w:commentRangeEnd w:id="0"/>
      <w:r w:rsidR="00CD47B1" w:rsidRPr="004D3B85">
        <w:rPr>
          <w:rStyle w:val="CommentReference"/>
          <w:rFonts w:ascii="Arial" w:hAnsi="Arial" w:cs="Arial"/>
          <w:b/>
          <w:bCs/>
          <w:color w:val="7030A0"/>
          <w:sz w:val="21"/>
          <w:szCs w:val="21"/>
        </w:rPr>
        <w:commentReference w:id="0"/>
      </w:r>
    </w:p>
    <w:p w14:paraId="1AC0E989" w14:textId="0B5762E8" w:rsidR="005B28E8" w:rsidRPr="00340959" w:rsidRDefault="00F837DF"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Landslide-prone hilly regions experiencing rapid urban expansion need susceptibility models that provide both robust predictive performance and transparent uncertainty estimates. This study develops an uncertainty-aware probabilistic framework for landslide susceptibility mapping in </w:t>
      </w:r>
      <w:r w:rsidR="003B438B">
        <w:rPr>
          <w:rFonts w:ascii="Arial" w:hAnsi="Arial" w:cs="Arial"/>
          <w:color w:val="000000"/>
          <w:sz w:val="21"/>
          <w:szCs w:val="21"/>
        </w:rPr>
        <w:t xml:space="preserve">the </w:t>
      </w:r>
      <w:r w:rsidRPr="00340959">
        <w:rPr>
          <w:rFonts w:ascii="Arial" w:hAnsi="Arial" w:cs="Arial"/>
          <w:color w:val="000000"/>
          <w:sz w:val="21"/>
          <w:szCs w:val="21"/>
        </w:rPr>
        <w:t>Chattogram metropolitan hill system</w:t>
      </w:r>
      <w:r w:rsidR="003B438B">
        <w:rPr>
          <w:rFonts w:ascii="Arial" w:hAnsi="Arial" w:cs="Arial"/>
          <w:color w:val="000000"/>
          <w:sz w:val="21"/>
          <w:szCs w:val="21"/>
        </w:rPr>
        <w:t xml:space="preserve"> of Bangladesh</w:t>
      </w:r>
      <w:r w:rsidRPr="00340959">
        <w:rPr>
          <w:rFonts w:ascii="Arial" w:hAnsi="Arial" w:cs="Arial"/>
          <w:color w:val="000000"/>
          <w:sz w:val="21"/>
          <w:szCs w:val="21"/>
        </w:rPr>
        <w:t xml:space="preserve">, incorporating 14 conditioning factors: geomorphological, hydrological, environmental, and anthropogenic. Multicollinearity analysis, i.e., VIF and tolerance, verified the statistical stability of the predictors. </w:t>
      </w:r>
      <w:r w:rsidR="003B438B">
        <w:rPr>
          <w:rFonts w:ascii="Arial" w:hAnsi="Arial" w:cs="Arial"/>
          <w:color w:val="000000"/>
          <w:sz w:val="21"/>
          <w:szCs w:val="21"/>
        </w:rPr>
        <w:t xml:space="preserve">Four classifiers have been compared: </w:t>
      </w:r>
      <w:r w:rsidRPr="00340959">
        <w:rPr>
          <w:rFonts w:ascii="Arial" w:hAnsi="Arial" w:cs="Arial"/>
          <w:color w:val="000000"/>
          <w:sz w:val="21"/>
          <w:szCs w:val="21"/>
        </w:rPr>
        <w:t xml:space="preserve">Bayesian Logistic Regression, Gaussian Process Classifier, L2-regularized Logistic Regression, and Random Forest, within a standardized preprocessing pipeline. Models </w:t>
      </w:r>
      <w:r w:rsidR="003B438B">
        <w:rPr>
          <w:rFonts w:ascii="Arial" w:hAnsi="Arial" w:cs="Arial"/>
          <w:color w:val="000000"/>
          <w:sz w:val="21"/>
          <w:szCs w:val="21"/>
        </w:rPr>
        <w:t>have been</w:t>
      </w:r>
      <w:r w:rsidRPr="00340959">
        <w:rPr>
          <w:rFonts w:ascii="Arial" w:hAnsi="Arial" w:cs="Arial"/>
          <w:color w:val="000000"/>
          <w:sz w:val="21"/>
          <w:szCs w:val="21"/>
        </w:rPr>
        <w:t xml:space="preserve"> evaluated </w:t>
      </w:r>
      <w:r w:rsidR="00D53A16" w:rsidRPr="00340959">
        <w:rPr>
          <w:rFonts w:ascii="Arial" w:hAnsi="Arial" w:cs="Arial"/>
          <w:color w:val="000000"/>
          <w:sz w:val="21"/>
          <w:szCs w:val="21"/>
        </w:rPr>
        <w:t>using cross-validation, holdout testing, and spatial block validation, with</w:t>
      </w:r>
      <w:r w:rsidRPr="00340959">
        <w:rPr>
          <w:rFonts w:ascii="Arial" w:hAnsi="Arial" w:cs="Arial"/>
          <w:color w:val="000000"/>
          <w:sz w:val="21"/>
          <w:szCs w:val="21"/>
        </w:rPr>
        <w:t xml:space="preserve"> metrics for discrimination, robustness, and calibration.</w:t>
      </w:r>
      <w:r w:rsidR="00864D5E">
        <w:rPr>
          <w:rFonts w:ascii="Arial" w:hAnsi="Arial" w:cs="Arial"/>
          <w:color w:val="000000"/>
          <w:sz w:val="21"/>
          <w:szCs w:val="21"/>
        </w:rPr>
        <w:t xml:space="preserve"> </w:t>
      </w:r>
      <w:commentRangeStart w:id="1"/>
      <w:r w:rsidR="00174ED1">
        <w:rPr>
          <w:rFonts w:ascii="Arial" w:hAnsi="Arial" w:cs="Arial"/>
          <w:color w:val="000000"/>
          <w:sz w:val="21"/>
          <w:szCs w:val="21"/>
        </w:rPr>
        <w:t>Although Random Forest achieved the strongest discrimination (ROC-AUC = 0.866; MCC = 0.611) on the holdout set, the Gaussian Process Classifier showed better probability calibration (ECE = 0.084) and</w:t>
      </w:r>
      <w:r w:rsidR="00966032" w:rsidRPr="00340959">
        <w:rPr>
          <w:rFonts w:ascii="Arial" w:hAnsi="Arial" w:cs="Arial"/>
          <w:color w:val="000000"/>
          <w:sz w:val="21"/>
          <w:szCs w:val="21"/>
        </w:rPr>
        <w:t xml:space="preserve"> competitive discrimination (ROC-AUC = 0.821)</w:t>
      </w:r>
      <w:r w:rsidRPr="00340959">
        <w:rPr>
          <w:rFonts w:ascii="Arial" w:hAnsi="Arial" w:cs="Arial"/>
          <w:color w:val="000000"/>
          <w:sz w:val="21"/>
          <w:szCs w:val="21"/>
        </w:rPr>
        <w:t xml:space="preserve"> among </w:t>
      </w:r>
      <w:r w:rsidR="00864D5E">
        <w:rPr>
          <w:rFonts w:ascii="Arial" w:hAnsi="Arial" w:cs="Arial"/>
          <w:color w:val="000000"/>
          <w:sz w:val="21"/>
          <w:szCs w:val="21"/>
        </w:rPr>
        <w:t xml:space="preserve">all </w:t>
      </w:r>
      <w:r w:rsidRPr="00340959">
        <w:rPr>
          <w:rFonts w:ascii="Arial" w:hAnsi="Arial" w:cs="Arial"/>
          <w:color w:val="000000"/>
          <w:sz w:val="21"/>
          <w:szCs w:val="21"/>
        </w:rPr>
        <w:t>models</w:t>
      </w:r>
      <w:r w:rsidR="00626EBC">
        <w:rPr>
          <w:rFonts w:ascii="Arial" w:hAnsi="Arial" w:cs="Arial"/>
          <w:color w:val="000000"/>
          <w:sz w:val="21"/>
          <w:szCs w:val="21"/>
        </w:rPr>
        <w:t>; hence, it is considered for this research</w:t>
      </w:r>
      <w:commentRangeEnd w:id="1"/>
      <w:r w:rsidR="00174ED1" w:rsidRPr="00340959">
        <w:rPr>
          <w:rStyle w:val="CommentReference"/>
          <w:rFonts w:ascii="Arial" w:hAnsi="Arial" w:cs="Arial"/>
          <w:color w:val="000000"/>
          <w:sz w:val="21"/>
          <w:szCs w:val="21"/>
        </w:rPr>
        <w:commentReference w:id="1"/>
      </w:r>
      <w:r w:rsidRPr="00340959">
        <w:rPr>
          <w:rFonts w:ascii="Arial" w:hAnsi="Arial" w:cs="Arial"/>
          <w:color w:val="000000"/>
          <w:sz w:val="21"/>
          <w:szCs w:val="21"/>
        </w:rPr>
        <w:t xml:space="preserve">. Susceptibility and uncertainty </w:t>
      </w:r>
      <w:r w:rsidR="003B438B">
        <w:rPr>
          <w:rFonts w:ascii="Arial" w:hAnsi="Arial" w:cs="Arial"/>
          <w:color w:val="000000"/>
          <w:sz w:val="21"/>
          <w:szCs w:val="21"/>
        </w:rPr>
        <w:t>have been</w:t>
      </w:r>
      <w:r w:rsidRPr="00340959">
        <w:rPr>
          <w:rFonts w:ascii="Arial" w:hAnsi="Arial" w:cs="Arial"/>
          <w:color w:val="000000"/>
          <w:sz w:val="21"/>
          <w:szCs w:val="21"/>
        </w:rPr>
        <w:t xml:space="preserve"> combined in a 3×3 scheme to visualize hazard and confidence. </w:t>
      </w:r>
      <w:r w:rsidR="003B438B">
        <w:rPr>
          <w:rFonts w:ascii="Arial" w:hAnsi="Arial" w:cs="Arial"/>
          <w:color w:val="000000"/>
          <w:sz w:val="21"/>
          <w:szCs w:val="21"/>
        </w:rPr>
        <w:t>The mapping showed that 78.71% of landslides fell into</w:t>
      </w:r>
      <w:r w:rsidR="00966032" w:rsidRPr="00340959">
        <w:rPr>
          <w:rFonts w:ascii="Arial" w:hAnsi="Arial" w:cs="Arial"/>
          <w:color w:val="000000"/>
          <w:sz w:val="21"/>
          <w:szCs w:val="21"/>
        </w:rPr>
        <w:t xml:space="preserve"> the Very High class, covering only 9.47% of the area (SCAI = 0.12)</w:t>
      </w:r>
      <w:r w:rsidRPr="00340959">
        <w:rPr>
          <w:rFonts w:ascii="Arial" w:hAnsi="Arial" w:cs="Arial"/>
          <w:color w:val="000000"/>
          <w:sz w:val="21"/>
          <w:szCs w:val="21"/>
        </w:rPr>
        <w:t>. These results show that uncertainty-aware Bayesian modeling with bivariate spatial integration enhances interpretability and provides transparent hazard assessments in data-limited urban hill areas.</w:t>
      </w:r>
    </w:p>
    <w:p w14:paraId="41327AF9" w14:textId="77777777" w:rsidR="00DF02E1" w:rsidRDefault="00DF02E1" w:rsidP="00340959">
      <w:pPr>
        <w:spacing w:before="0" w:after="0" w:line="360" w:lineRule="auto"/>
        <w:jc w:val="both"/>
        <w:rPr>
          <w:rFonts w:ascii="Arial" w:hAnsi="Arial" w:cs="Arial"/>
          <w:b/>
          <w:bCs/>
          <w:color w:val="000000"/>
          <w:sz w:val="21"/>
          <w:szCs w:val="21"/>
        </w:rPr>
      </w:pPr>
    </w:p>
    <w:p w14:paraId="75CBECC1" w14:textId="407770E3" w:rsidR="005B28E8" w:rsidRPr="00340959" w:rsidRDefault="00000000" w:rsidP="00340959">
      <w:pPr>
        <w:spacing w:before="0" w:after="0" w:line="360" w:lineRule="auto"/>
        <w:jc w:val="both"/>
        <w:rPr>
          <w:rFonts w:ascii="Arial" w:hAnsi="Arial" w:cs="Arial"/>
          <w:sz w:val="21"/>
          <w:szCs w:val="21"/>
        </w:rPr>
      </w:pPr>
      <w:r w:rsidRPr="004D3B85">
        <w:rPr>
          <w:rFonts w:ascii="Arial" w:hAnsi="Arial" w:cs="Arial"/>
          <w:b/>
          <w:bCs/>
          <w:color w:val="7030A0"/>
          <w:sz w:val="21"/>
          <w:szCs w:val="21"/>
        </w:rPr>
        <w:t xml:space="preserve">Keywords: </w:t>
      </w:r>
      <w:r w:rsidR="00F837DF" w:rsidRPr="00340959">
        <w:rPr>
          <w:rFonts w:ascii="Arial" w:hAnsi="Arial" w:cs="Arial"/>
          <w:color w:val="000000"/>
          <w:sz w:val="21"/>
          <w:szCs w:val="21"/>
        </w:rPr>
        <w:t>Landslide susceptibility; Bayesian inference; Gaussian processes; Uncertainty quantification; SCAI.</w:t>
      </w:r>
    </w:p>
    <w:p w14:paraId="6287626D" w14:textId="77777777" w:rsidR="00DF02E1" w:rsidRDefault="00DF02E1" w:rsidP="00340959">
      <w:pPr>
        <w:pStyle w:val="Heading1"/>
        <w:spacing w:before="0" w:after="0" w:line="360" w:lineRule="auto"/>
        <w:rPr>
          <w:rFonts w:ascii="Arial" w:hAnsi="Arial" w:cs="Arial"/>
          <w:sz w:val="21"/>
          <w:szCs w:val="21"/>
        </w:rPr>
      </w:pPr>
    </w:p>
    <w:p w14:paraId="2B46ACF6" w14:textId="22599A76" w:rsidR="005B28E8" w:rsidRPr="004D3B85" w:rsidRDefault="00000000" w:rsidP="00340959">
      <w:pPr>
        <w:pStyle w:val="Heading1"/>
        <w:spacing w:before="0" w:after="0" w:line="360" w:lineRule="auto"/>
        <w:rPr>
          <w:rFonts w:ascii="Arial" w:hAnsi="Arial" w:cs="Arial"/>
          <w:b/>
          <w:bCs/>
          <w:color w:val="7030A0"/>
          <w:sz w:val="21"/>
          <w:szCs w:val="21"/>
        </w:rPr>
      </w:pPr>
      <w:r w:rsidRPr="004D3B85">
        <w:rPr>
          <w:rFonts w:ascii="Arial" w:hAnsi="Arial" w:cs="Arial"/>
          <w:b/>
          <w:bCs/>
          <w:color w:val="7030A0"/>
          <w:sz w:val="21"/>
          <w:szCs w:val="21"/>
        </w:rPr>
        <w:t>Introduction</w:t>
      </w:r>
    </w:p>
    <w:p w14:paraId="63687EEF" w14:textId="7EF9383F" w:rsidR="00F837DF" w:rsidRPr="00340959" w:rsidRDefault="00F837DF" w:rsidP="00340959">
      <w:pPr>
        <w:pStyle w:val="Heading1"/>
        <w:spacing w:before="0" w:after="0" w:line="360" w:lineRule="auto"/>
        <w:jc w:val="both"/>
        <w:rPr>
          <w:rFonts w:ascii="Arial" w:hAnsi="Arial" w:cs="Arial"/>
          <w:color w:val="000000" w:themeColor="text1"/>
          <w:sz w:val="21"/>
          <w:szCs w:val="21"/>
        </w:rPr>
      </w:pPr>
      <w:r w:rsidRPr="00340959">
        <w:rPr>
          <w:rFonts w:ascii="Arial" w:hAnsi="Arial" w:cs="Arial"/>
          <w:color w:val="000000" w:themeColor="text1"/>
          <w:sz w:val="21"/>
          <w:szCs w:val="21"/>
        </w:rPr>
        <w:t xml:space="preserve">Landslides are </w:t>
      </w:r>
      <w:r w:rsidR="00D53A16" w:rsidRPr="00340959">
        <w:rPr>
          <w:rFonts w:ascii="Arial" w:hAnsi="Arial" w:cs="Arial"/>
          <w:color w:val="000000" w:themeColor="text1"/>
          <w:sz w:val="21"/>
          <w:szCs w:val="21"/>
        </w:rPr>
        <w:t xml:space="preserve">complex geohazards that result from interactions among geological, lithological, hydrological, and human </w:t>
      </w:r>
      <w:r w:rsidR="00D53A16" w:rsidRPr="008A70E9">
        <w:rPr>
          <w:rFonts w:ascii="Arial" w:hAnsi="Arial" w:cs="Arial"/>
          <w:color w:val="000000" w:themeColor="text1"/>
          <w:sz w:val="21"/>
          <w:szCs w:val="21"/>
        </w:rPr>
        <w:t>factors</w:t>
      </w:r>
      <w:r w:rsidR="00B405A8" w:rsidRPr="008A70E9">
        <w:rPr>
          <w:rFonts w:ascii="Arial" w:hAnsi="Arial" w:cs="Arial"/>
          <w:color w:val="000000" w:themeColor="text1"/>
          <w:sz w:val="21"/>
          <w:szCs w:val="21"/>
        </w:rPr>
        <w:t xml:space="preserve"> </w:t>
      </w:r>
      <w:r w:rsidR="008A70E9" w:rsidRPr="008A70E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{"citationID":"yhbNwMGj","properties":{"formattedCitation":"(Azad et al. 2025)","plainCitation":"(Azad et al. 2025)","noteIndex":0},"citationItems":[{"id":346,"uris":["http://zotero.org/users/local/emosa1lm/items/Y7LMJAN4"],"itemData":{"id":346,"type":"article-journal","abstract":"Slope failures and rock mass movements are continuous geomorphic processes, particularly in a dynamically charged terrane like the Himalaya. Thus, failures emanating from weak geology, hydrogeology and anthropogenic disturbances are aplenty. Present research evaluates slope stability in the vicinity of Malling Nala, along NH-505 in Himachal Pradesh, India. For the two most vulnerable sections in the study area, geo-mechanical and structural attributes have initially been ascertained. Field surveys and laboratory tests identified weak and weathered mica schist and gneissic rocks in the study area. Kinematic analysis, Rock Mass Rating (RMR), Geological Strength Index (GSI), Slope Mass Rating (SMR), modified Global Slope Performance Index (mGSPI) led to determination of possible failure mechanism and rock mass behaviour. Finite element analysis provided a comprehensive understanding of slope behaviour under various conditions, highlighting significant shear strain and displacement in both sections. As noticed from the field and classification schemes, planar and localized bench failures were established. Slope section L-1 was found to collapse under saturated water condition, manifesting the influence of snow melt. The findings indicate that both natural and human factors are causing instability. Effective risk management and mitigation strategies are essential to maintain the stability and reliability of this critical frontier region.","container-title":"International Journal of Geo-Engineering","DOI":"10.1186/s40703-025-00233-9","ISSN":"2198-2783","issue":"1","journalAbbreviation":"Geo-Engineering","language":"en","page":"4","source":"Springer Link","title":"Empirical and numerical hill slope health evaluation at Malling Nala, NH-505, Himachal Pradesh, India","volume":"16","author":[{"family":"Azad","given":"Md Alquamar"},{"family":"Kainthola","given":"Ashutosh"},{"family":"Fissha","given":"Yewuhalashet"},{"family":"Kushwaha","given":"Gaurav"},{"family":"Yadav","given":"Vikas"},{"family":"Singh","given":"T. N."}],"issued":{"date-parts":[["2025",2,14]]}}}],"schema":"https://github.com/citation-style-language/schema/raw/master/csl-citation.json"} </w:instrText>
      </w:r>
      <w:r w:rsidR="008A70E9" w:rsidRPr="008A70E9">
        <w:rPr>
          <w:rFonts w:ascii="Arial" w:hAnsi="Arial" w:cs="Arial"/>
          <w:color w:val="000000" w:themeColor="text1"/>
          <w:sz w:val="21"/>
          <w:szCs w:val="21"/>
        </w:rPr>
        <w:fldChar w:fldCharType="separate"/>
      </w:r>
      <w:r w:rsidR="0050478C" w:rsidRPr="0050478C">
        <w:rPr>
          <w:rFonts w:ascii="Arial" w:hAnsi="Arial" w:cs="Arial"/>
          <w:sz w:val="21"/>
        </w:rPr>
        <w:t>(Azad et al. 2025)</w:t>
      </w:r>
      <w:r w:rsidR="008A70E9" w:rsidRPr="008A70E9">
        <w:rPr>
          <w:rFonts w:ascii="Arial" w:hAnsi="Arial" w:cs="Arial"/>
          <w:color w:val="000000" w:themeColor="text1"/>
          <w:sz w:val="21"/>
          <w:szCs w:val="21"/>
        </w:rPr>
        <w:fldChar w:fldCharType="end"/>
      </w:r>
      <w:r w:rsidRPr="008A70E9">
        <w:rPr>
          <w:rFonts w:ascii="Arial" w:hAnsi="Arial" w:cs="Arial"/>
          <w:color w:val="000000" w:themeColor="text1"/>
          <w:sz w:val="21"/>
          <w:szCs w:val="21"/>
        </w:rPr>
        <w:t>. They caus</w:t>
      </w:r>
      <w:r w:rsidRPr="00340959">
        <w:rPr>
          <w:rFonts w:ascii="Arial" w:hAnsi="Arial" w:cs="Arial"/>
          <w:color w:val="000000" w:themeColor="text1"/>
          <w:sz w:val="21"/>
          <w:szCs w:val="21"/>
        </w:rPr>
        <w:t xml:space="preserve">e significant loss of human life and damage to infrastructure in mountains and hilly areas </w:t>
      </w:r>
      <w:r w:rsidRPr="00CB2647">
        <w:rPr>
          <w:rFonts w:ascii="Arial" w:hAnsi="Arial" w:cs="Arial"/>
          <w:color w:val="000000" w:themeColor="text1"/>
          <w:sz w:val="21"/>
          <w:szCs w:val="21"/>
        </w:rPr>
        <w:t>worldwide</w:t>
      </w:r>
      <w:r w:rsidR="00B405A8" w:rsidRPr="00CB2647">
        <w:rPr>
          <w:rFonts w:ascii="Arial" w:hAnsi="Arial" w:cs="Arial"/>
          <w:color w:val="000000" w:themeColor="text1"/>
          <w:sz w:val="21"/>
          <w:szCs w:val="21"/>
        </w:rPr>
        <w:t xml:space="preserve"> </w:t>
      </w:r>
      <w:r w:rsidR="00CB2647" w:rsidRPr="00CB2647">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{"citationID":"k3CyU184","properties":{"formattedCitation":"(Rahman and Konagai 2018)","plainCitation":"(Rahman and Konagai 2018)","noteIndex":0},"citationItems":[{"id":374,"uris":["http://zotero.org/users/local/emosa1lm/items/BI63ZIIB"],"itemData":{"id":374,"type":"article-journal","abstract":"Rational estimation of debris ﬂow velocity is one of the key issues in debris hazard mitigation. Among the various procedures, back-calculation of debris ﬂow velocity is one of the most frequently used approaches. Back-calculation includes determination of super-elevations and channel properties, and velocities are calculated using the forced vortex equation. Super-elevation and bend radius are biasing parameters in the back-calculation scheme. Therefore, an iterative approach based on simpliﬁed assumptions is developed to avoid the direct and subjective determination of bend radius. Besides, as only the highest mud prints are visible after the disaster, this misreads the actual super-elevation. To seek better ways to ﬁx this anomaly, a series of three-dimensional numerical curved ﬂume tests using smoothed particle hydrodynamics are carried out. Estimated velocities from highest ﬂow marks underestimate the actual velocities near the source, while they converge on the actual velocities as the distance to source increases. A best-ﬁt line is then proposed to adjust the mud-marks-derived velocities to the real velocities. The assumption taken during development of the iterative approach for determining bend radii is also justiﬁed from the numerical simulations. The law of similarity allows application of these ﬁndings to real debris ﬂow disasters. Thus, two real debris ﬂow disasters in Japan are examined for validation of the developed procedure and adjusted velocities are proven to be consistent with verbal evidences and previous analyses.","container-title":"Canadian Geotechnical Journal","DOI":"10.1139/cgj-2017-0211","ISSN":"0008-3674, 1208-6010","issue":"7","journalAbbreviation":"Can. Geotech. J.","language":"en","page":"941-955","source":"DOI.org (Crossref)","title":"A hands-on approach to estimate debris flow velocity for rational mitigation of debris hazard","volume":"55","author":[{"family":"Rahman","given":"Md. Aftabur"},{"family":"Konagai","given":"Kazuo"}],"issued":{"date-parts":[["2018",7]]}}}],"schema":"https://github.com/citation-style-language/schema/raw/master/csl-citation.json"} </w:instrText>
      </w:r>
      <w:r w:rsidR="00CB2647" w:rsidRPr="00CB2647">
        <w:rPr>
          <w:rFonts w:ascii="Arial" w:hAnsi="Arial" w:cs="Arial"/>
          <w:color w:val="000000" w:themeColor="text1"/>
          <w:sz w:val="21"/>
          <w:szCs w:val="21"/>
        </w:rPr>
        <w:fldChar w:fldCharType="separate"/>
      </w:r>
      <w:r w:rsidR="0050478C" w:rsidRPr="0050478C">
        <w:rPr>
          <w:rFonts w:ascii="Arial" w:hAnsi="Arial" w:cs="Arial"/>
          <w:sz w:val="21"/>
        </w:rPr>
        <w:t>(Rahman and Konagai 2018)</w:t>
      </w:r>
      <w:r w:rsidR="00CB2647" w:rsidRPr="00CB2647">
        <w:rPr>
          <w:rFonts w:ascii="Arial" w:hAnsi="Arial" w:cs="Arial"/>
          <w:color w:val="000000" w:themeColor="text1"/>
          <w:sz w:val="21"/>
          <w:szCs w:val="21"/>
        </w:rPr>
        <w:fldChar w:fldCharType="end"/>
      </w:r>
      <w:r w:rsidRPr="00CB2647">
        <w:rPr>
          <w:rFonts w:ascii="Arial" w:hAnsi="Arial" w:cs="Arial"/>
          <w:color w:val="000000" w:themeColor="text1"/>
          <w:sz w:val="21"/>
          <w:szCs w:val="21"/>
        </w:rPr>
        <w:t xml:space="preserve">. Due to rapid </w:t>
      </w:r>
      <w:r w:rsidRPr="00340959">
        <w:rPr>
          <w:rFonts w:ascii="Arial" w:hAnsi="Arial" w:cs="Arial"/>
          <w:color w:val="000000" w:themeColor="text1"/>
          <w:sz w:val="21"/>
          <w:szCs w:val="21"/>
        </w:rPr>
        <w:t xml:space="preserve">land-use change and heavy rainfall, </w:t>
      </w:r>
      <w:r w:rsidR="00023FB6">
        <w:rPr>
          <w:rFonts w:ascii="Arial" w:hAnsi="Arial" w:cs="Arial"/>
          <w:color w:val="000000" w:themeColor="text1"/>
          <w:sz w:val="21"/>
          <w:szCs w:val="21"/>
        </w:rPr>
        <w:t>landslide</w:t>
      </w:r>
      <w:r w:rsidRPr="00340959">
        <w:rPr>
          <w:rFonts w:ascii="Arial" w:hAnsi="Arial" w:cs="Arial"/>
          <w:color w:val="000000" w:themeColor="text1"/>
          <w:sz w:val="21"/>
          <w:szCs w:val="21"/>
        </w:rPr>
        <w:t xml:space="preserve"> impact is becoming more </w:t>
      </w:r>
      <w:r w:rsidRPr="00CB2647">
        <w:rPr>
          <w:rFonts w:ascii="Arial" w:hAnsi="Arial" w:cs="Arial"/>
          <w:color w:val="000000" w:themeColor="text1"/>
          <w:sz w:val="21"/>
          <w:szCs w:val="21"/>
        </w:rPr>
        <w:t xml:space="preserve">significant </w:t>
      </w:r>
      <w:r w:rsidR="00CB2647" w:rsidRPr="00CB2647">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{"citationID":"1IpPVDQO","properties":{"formattedCitation":"(Rahman and Konagai 2017)","plainCitation":"(Rahman and Konagai 2017)","noteIndex":0},"citationItems":[{"id":371,"uris":["http://zotero.org/users/local/emosa1lm/items/MDM2IZ8L"],"itemData":{"id":371,"type":"article-journal","abstract":"The use of super-elevations that a forced vortex flow leaves on the valley walls of a curved flume is a plausible approach toward estimating debris flow velocities in earthquake-induced geo-hazard studies. The centrifugal force of a speeding flow is responsible for a higher flow depth on the outer bend. However, in reality, a flow is not steady, and only the highest flow-marks are left at the outer and inner bends of the flow, which can lead to an inaccurate estimation of the actual velocity. Seeing the real scenario of the field, a series of numerical flume tests using smoothed particle hydrodynamics (SPH) is conducted to validate the estimation of debris flow velocities from flow-marks. Velocities estimated from flow-marks are lower than real velocities near the source region, but they converge to real velocities as the distance to the source increases. Based on several simulations, a best-fit line is proposed for adjusting debris flow velocity from mud-marks, and it is used to estimate flow velocities of the well-documented debris event called “Shiraito river debris flow,” which happened near the rim of the Hakone Crater, Kanagawa Prefecture, Japan, ensuing from the 1923 Great Kanto earthquake.","container-title":"Landslides","DOI":"10.1007/s10346-016-0725-3","ISSN":"1612-5118","issue":"2","journalAbbreviation":"Landslides","language":"en","page":"633-647","source":"Springer Link","title":"Substantiation of debris flow velocity from super-elevation: a numerical approach","title-short":"Substantiation of debris flow velocity from super-elevation","volume":"14","author":[{"family":"Rahman","given":"Md Aftabur"},{"family":"Konagai","given":"Kazuo"}],"issued":{"date-parts":[["2017",4,1]]}}}],"schema":"https://github.com/citation-style-language/schema/raw/master/csl-citation.json"} </w:instrText>
      </w:r>
      <w:r w:rsidR="00CB2647" w:rsidRPr="00CB2647">
        <w:rPr>
          <w:rFonts w:ascii="Arial" w:hAnsi="Arial" w:cs="Arial"/>
          <w:color w:val="000000" w:themeColor="text1"/>
          <w:sz w:val="21"/>
          <w:szCs w:val="21"/>
        </w:rPr>
        <w:fldChar w:fldCharType="separate"/>
      </w:r>
      <w:r w:rsidR="0050478C" w:rsidRPr="0050478C">
        <w:rPr>
          <w:rFonts w:ascii="Arial" w:hAnsi="Arial" w:cs="Arial"/>
          <w:sz w:val="21"/>
        </w:rPr>
        <w:t>(Rahman and Konagai 2017)</w:t>
      </w:r>
      <w:r w:rsidR="00CB2647" w:rsidRPr="00CB2647">
        <w:rPr>
          <w:rFonts w:ascii="Arial" w:hAnsi="Arial" w:cs="Arial"/>
          <w:color w:val="000000" w:themeColor="text1"/>
          <w:sz w:val="21"/>
          <w:szCs w:val="21"/>
        </w:rPr>
        <w:fldChar w:fldCharType="end"/>
      </w:r>
      <w:r w:rsidRPr="00CB2647">
        <w:rPr>
          <w:rFonts w:ascii="Arial" w:hAnsi="Arial" w:cs="Arial"/>
          <w:color w:val="000000" w:themeColor="text1"/>
          <w:sz w:val="21"/>
          <w:szCs w:val="21"/>
        </w:rPr>
        <w:t xml:space="preserve">. </w:t>
      </w:r>
      <w:r w:rsidRPr="00340959">
        <w:rPr>
          <w:rFonts w:ascii="Arial" w:hAnsi="Arial" w:cs="Arial"/>
          <w:color w:val="000000" w:themeColor="text1"/>
          <w:sz w:val="21"/>
          <w:szCs w:val="21"/>
        </w:rPr>
        <w:t>Landslides are among the most frequent lithosphere hazards</w:t>
      </w:r>
      <w:r w:rsidR="00D53A16" w:rsidRPr="00340959">
        <w:rPr>
          <w:rFonts w:ascii="Arial" w:hAnsi="Arial" w:cs="Arial"/>
          <w:color w:val="000000" w:themeColor="text1"/>
          <w:sz w:val="21"/>
          <w:szCs w:val="21"/>
        </w:rPr>
        <w:t>,</w:t>
      </w:r>
      <w:r w:rsidRPr="00340959">
        <w:rPr>
          <w:rFonts w:ascii="Arial" w:hAnsi="Arial" w:cs="Arial"/>
          <w:color w:val="000000" w:themeColor="text1"/>
          <w:sz w:val="21"/>
          <w:szCs w:val="21"/>
        </w:rPr>
        <w:t xml:space="preserve"> and their occurrence in Bangladesh has been increasing for the last 20 years </w:t>
      </w:r>
      <w:r w:rsidR="00B405A8"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{"citationID":"HJ1cNpRl","properties":{"formattedCitation":"(Hafsa et al. 2022)","plainCitation":"(Hafsa et al. 2022)","noteIndex":0},"citationItems":[{"id":111,"uris":["http://zotero.org/users/local/emosa1lm/items/IHZDTSV9"],"itemData":{"id":111,"type":"article-journal","container-title":"Arabian Journal of Geosciences","DOI":"10.1007/s12517-022-10607-3","ISSN":"1866-7511, 1866-7538","issue":"15","publisher":"Springer Science+Business Media","title":"Landslide susceptibility mapping of Rangamati District of Bangladesh using statistical and machine intelligence model","URL":"https://doi.org/10.1007/s12517-022-10607-3","volume":"15","author":[{"family":"Hafsa","given":"Bibi"},{"family":"Chowdhury","given":"Md Sharafat"},{"family":"Rahman","given":"Md Naimur"}],"issued":{"date-parts":[["2022",8]]}}}],"schema":"https://github.com/citation-style-language/schema/raw/master/csl-citation.json"} </w:instrText>
      </w:r>
      <w:r w:rsidR="00B405A8" w:rsidRPr="00340959">
        <w:rPr>
          <w:rFonts w:ascii="Arial" w:hAnsi="Arial" w:cs="Arial"/>
          <w:color w:val="000000" w:themeColor="text1"/>
          <w:sz w:val="21"/>
          <w:szCs w:val="21"/>
        </w:rPr>
        <w:fldChar w:fldCharType="separate"/>
      </w:r>
      <w:r w:rsidR="0050478C" w:rsidRPr="0050478C">
        <w:rPr>
          <w:rFonts w:ascii="Arial" w:hAnsi="Arial" w:cs="Arial"/>
          <w:sz w:val="21"/>
        </w:rPr>
        <w:t>(Hafsa et al. 2022)</w:t>
      </w:r>
      <w:r w:rsidR="00B405A8"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 xml:space="preserve">. Therefore, spatially explicit landslide susceptibility maps </w:t>
      </w:r>
      <w:r w:rsidRPr="00340959">
        <w:rPr>
          <w:rFonts w:ascii="Arial" w:hAnsi="Arial" w:cs="Arial"/>
          <w:color w:val="000000" w:themeColor="text1"/>
          <w:sz w:val="21"/>
          <w:szCs w:val="21"/>
        </w:rPr>
        <w:lastRenderedPageBreak/>
        <w:t xml:space="preserve">(LSMs) serve as targeted tools for land use planning, early warning systems, and disaster risk reduction </w:t>
      </w:r>
      <w:r w:rsidR="00B405A8"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{"citationID":"0lFJ55GX","properties":{"formattedCitation":"(Chowdhury et al. 2023)","plainCitation":"(Chowdhury et al. 2023)","noteIndex":0},"citationItems":[{"id":112,"uris":["http://zotero.org/users/local/emosa1lm/items/XMLKD9BJ"],"itemData":{"id":112,"type":"article-journal","container-title":"Heliyon","DOI":"10.1016/j.heliyon.2023.e23424","ISSN":"2405-8440","issue":"1","PMID":"38163149","publisher":"Elsevier BV","title":"GIS-based landslide susceptibility mapping using logistic regression, random forest and decision and regression tree models in Chattogram District, Bangladesh","URL":"https://doi.org/10.1016/j.heliyon.2023.e23424","volume":"10","author":[{"family":"Chowdhury","given":"Md Sharafat"},{"family":"Rahman","given":"Md Naimur"},{"family":"Sheikh","given":"Md Sujon"},{"family":"Sayeid","given":"Md Abu"},{"family":"Mahmud","given":"Khandakar Hasan"},{"family":"Hafsa","given":"Bibi"}],"issued":{"date-parts":[["2023",12]]}}}],"schema":"https://github.com/citation-style-language/schema/raw/master/csl-citation.json"} </w:instrText>
      </w:r>
      <w:r w:rsidR="00B405A8" w:rsidRPr="00340959">
        <w:rPr>
          <w:rFonts w:ascii="Arial" w:hAnsi="Arial" w:cs="Arial"/>
          <w:color w:val="000000" w:themeColor="text1"/>
          <w:sz w:val="21"/>
          <w:szCs w:val="21"/>
        </w:rPr>
        <w:fldChar w:fldCharType="separate"/>
      </w:r>
      <w:r w:rsidR="0050478C" w:rsidRPr="0050478C">
        <w:rPr>
          <w:rFonts w:ascii="Arial" w:hAnsi="Arial" w:cs="Arial"/>
          <w:sz w:val="21"/>
        </w:rPr>
        <w:t>(Chowdhury et al. 2023)</w:t>
      </w:r>
      <w:r w:rsidR="00B405A8"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w:t>
      </w:r>
    </w:p>
    <w:p w14:paraId="3ADA87E4" w14:textId="48EC9578" w:rsidR="00F837DF" w:rsidRPr="00340959" w:rsidRDefault="00F837DF" w:rsidP="00340959">
      <w:pPr>
        <w:pStyle w:val="Heading1"/>
        <w:spacing w:before="0" w:after="0" w:line="360" w:lineRule="auto"/>
        <w:jc w:val="both"/>
        <w:rPr>
          <w:rFonts w:ascii="Arial" w:hAnsi="Arial" w:cs="Arial"/>
          <w:color w:val="000000" w:themeColor="text1"/>
          <w:sz w:val="21"/>
          <w:szCs w:val="21"/>
        </w:rPr>
      </w:pPr>
      <w:r w:rsidRPr="00340959">
        <w:rPr>
          <w:rFonts w:ascii="Arial" w:hAnsi="Arial" w:cs="Arial"/>
          <w:color w:val="000000" w:themeColor="text1"/>
          <w:sz w:val="21"/>
          <w:szCs w:val="21"/>
        </w:rPr>
        <w:t xml:space="preserve">The predictive ability of LSMs has been greatly enhanced by recent developments in remote sensing, geographic information systems (GIS), and </w:t>
      </w:r>
      <w:r w:rsidRPr="00DA4FC5">
        <w:rPr>
          <w:rFonts w:ascii="Arial" w:hAnsi="Arial" w:cs="Arial"/>
          <w:color w:val="000000" w:themeColor="text1"/>
          <w:sz w:val="21"/>
          <w:szCs w:val="21"/>
        </w:rPr>
        <w:t xml:space="preserve">machine learning </w:t>
      </w:r>
      <w:r w:rsidR="00DA4FC5" w:rsidRPr="00DA4FC5">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{"citationID":"TKRw37VB","properties":{"formattedCitation":"(Huang et al. 2024)","plainCitation":"(Huang et al. 2024)","noteIndex":0},"citationItems":[{"id":360,"uris":["http://zotero.org/users/local/emosa1lm/items/SURP4I9B"],"itemData":{"id":360,"type":"article-journal","abstract":"This study aims to investigate the effects of different mapping unit scales and study area scales on the uncertainty rules of landslide susceptibility prediction (LSP). To illustrate various study area scales, Ganzhou City in China, its eastern region (Ganzhou East), and Ruijin County in Ganzhou East were chosen. Different mapping unit scales are represented by grid units with spatial resolution of 30 and 60 m, as well as slope units that were extracted by multi-scale segmentation method. The 3855 landslide locations and 21 typical environmental factors in Ganzhou City are first determined to create spatial datasets with input-outputs. Then, landslide susceptibility maps (LSMs) of Ganzhou City, Ganzhou East and Ruijin County are produced using a support vector machine (SVM) and random forest (RF), respectively. The LSMs of the above three regions are then extracted by mask from the LSM of Ganzhou City, along with the LSMs of Ruijin County from Ganzhou East. Additionally, LSMs of Ruijin at various mapping unit scales are generated in accordance. Accuracy and landslide susceptibility indexes (LSIs) distribution are used to express LSP uncertainties. The LSP uncertainties under grid units significantly decrease as study area scales decrease from Ganzhou City, Ganzhou East to Ruijin County, whereas those under slope units are less affected by study area scales. Of course, attentions should also be paid to the broader representativeness of large study areas. The LSP accuracy of slope units increases by about 6%–10% compared with those under grid units with 30 m and 60 m resolution in the same study area's scale. The significance of environmental factors exhibits an averaging trend as study area scale increases from small to large. The importance of environmental factors varies greatly with the 60 m grid unit, but it tends to be consistent to some extent in the 30 m grid unit and the slope unit.","container-title":"International Journal of Coal Science &amp; Technology","DOI":"10.1007/s40789-024-00678-w","ISSN":"2198-7823","issue":"1","journalAbbreviation":"Int J Coal Sci Technol","language":"en","page":"26","source":"Springer Link","title":"Uncertainties of landslide susceptibility prediction: influences of different study area scales and mapping unit scales","title-short":"Uncertainties of landslide susceptibility prediction","volume":"11","author":[{"family":"Huang","given":"Faming"},{"family":"Cao","given":"Yu"},{"family":"Li","given":"Wenbin"},{"family":"Catani","given":"Filippo"},{"family":"Song","given":"Guquan"},{"family":"Huang","given":"Jinsong"},{"family":"Yu","given":"Changshi"}],"issued":{"date-parts":[["2024",4,5]]}}}],"schema":"https://github.com/citation-style-language/schema/raw/master/csl-citation.json"} </w:instrText>
      </w:r>
      <w:r w:rsidR="00DA4FC5" w:rsidRPr="00DA4FC5">
        <w:rPr>
          <w:rFonts w:ascii="Arial" w:hAnsi="Arial" w:cs="Arial"/>
          <w:color w:val="000000" w:themeColor="text1"/>
          <w:sz w:val="21"/>
          <w:szCs w:val="21"/>
        </w:rPr>
        <w:fldChar w:fldCharType="separate"/>
      </w:r>
      <w:r w:rsidR="0050478C" w:rsidRPr="0050478C">
        <w:rPr>
          <w:rFonts w:ascii="Arial" w:hAnsi="Arial" w:cs="Arial"/>
          <w:sz w:val="21"/>
        </w:rPr>
        <w:t>(Huang et al. 2024)</w:t>
      </w:r>
      <w:r w:rsidR="00DA4FC5" w:rsidRPr="00DA4FC5">
        <w:rPr>
          <w:rFonts w:ascii="Arial" w:hAnsi="Arial" w:cs="Arial"/>
          <w:color w:val="000000" w:themeColor="text1"/>
          <w:sz w:val="21"/>
          <w:szCs w:val="21"/>
        </w:rPr>
        <w:fldChar w:fldCharType="end"/>
      </w:r>
      <w:r w:rsidRPr="00DA4FC5">
        <w:rPr>
          <w:rFonts w:ascii="Arial" w:hAnsi="Arial" w:cs="Arial"/>
          <w:color w:val="000000" w:themeColor="text1"/>
          <w:sz w:val="21"/>
          <w:szCs w:val="21"/>
        </w:rPr>
        <w:t xml:space="preserve">. However, there are </w:t>
      </w:r>
      <w:r w:rsidRPr="00340959">
        <w:rPr>
          <w:rFonts w:ascii="Arial" w:hAnsi="Arial" w:cs="Arial"/>
          <w:color w:val="000000" w:themeColor="text1"/>
          <w:sz w:val="21"/>
          <w:szCs w:val="21"/>
        </w:rPr>
        <w:t xml:space="preserve">still two methodological challenges. First, despite having high predictive accuracy, models often fail to generalize spatially, especially when evaluation relies on naïve random cross-validation that does not account for spatial autocorrelation </w:t>
      </w:r>
      <w:r w:rsidR="00B405A8"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{"citationID":"W9ZyAy8I","properties":{"formattedCitation":"(Adnan et al. 2020; Koldasbayeva et al. 2024)","plainCitation":"(Adnan et al. 2020; Koldasbayeva et al. 2024)","noteIndex":0},"citationItems":[{"id":115,"uris":["http://zotero.org/users/local/emosa1lm/items/MRDN5S6U"],"itemData":{"id":115,"type":"article-journal","abstract":"Despite yielding considerable degrees of accuracy in landslide predictions, the outcomes of different landslide susceptibility models are prone to spatial disagreement; and therefore, uncertainties. Uncertainties in the results of various landslide susceptibility models create challenges in selecting the most suitable method to manage this complex natural phenomenon. This study aimed to propose an approach to reduce uncertainties in landslide prediction, diagnosing spatial agreement in machine learning-based landslide susceptibility maps. It first developed landslide susceptibility maps of Cox’s Bazar district of Bangladesh, applying four machine learning algorithms: K-Nearest Neighbor (KNN), Multi-Layer Perceptron (MLP), Random Forest (RF), and Support Vector Machine (SVM), featuring hyperparameter optimization of 12 landslide conditioning factors. The results of all the four models yielded very high prediction accuracy, with the area under the curve (AUC) values range between 0.93 to 0.96. The assessment of spatial agreement of landslide predictions showed that the pixel-wise correlation coefficients of landslide probability between various models range from 0.69 to 0.85, indicating the uncertainty in predicted landslides by various models, despite their considerable prediction accuracy. The uncertainty was addressed by establishing a Logistic Regression (LR) model, incorporating the binary landslide inventory data as the dependent variable and the results of the four landslide susceptibility models as independent variables. The outcomes indicated that the RF model had the highest influence in predicting the observed landslide locations, followed by the MLP, SVM, and KNN models. Finally, a combined landslide susceptibility map was developed by integrating the results of the four machine learning-based landslide predictions. The combined map resulted in better spatial agreement (correlation coefficients range between 0.88 and 0.92) and greater prediction accuracy (0.97) compared to the individual models. The modelling approach followed in this study would be useful in minimizing uncertainties of various methods and improving landslide predictions.","container-title":"Remote Sensing","DOI":"10.3390/rs12203347","ISSN":"2072-4292","issue":"20","page":"3347-3347","publisher":"Multidisciplinary Digital Publishing Institute","title":"Improving Spatial Agreement in Machine Learning-Based Landslide Susceptibility Mapping","volume":"12","author":[{"family":"Adnan","given":"Mohammed Sarfaraz Gani"},{"family":"Rahman","given":"Md Salman"},{"family":"Ahmed","given":"Nahian"},{"family":"Ahmed","given":"Bayes"},{"family":"Rabbi","given":"Md Fazleh"},{"family":"Rahman","given":"Rashedur M."}],"issued":{"date-parts":[["2020",10]]}}},{"id":114,"uris":["http://zotero.org/users/local/emosa1lm/items/FWCAQPNR"],"itemData":{"id":114,"type":"document","DOI":"10.1038/s41467-024-55240-8","note":"ISSN: 2041-1723\nissue: 1\npage: 10700-10700\ncontainer-title: Nature Communications\nvolume: 15\nPMID: 39702456","publisher":"Nature Portfolio","title":"Challenges in data-driven geospatial modeling for environmental research and practice","URL":"https://doi.org/10.1038/s41467-024-55240-8","author":[{"family":"Koldasbayeva","given":"Diana"},{"family":"Tregubova","given":"Polina"},{"family":"Gasanov","given":"Mikhail"},{"family":"Zaytsev","given":"Alexey"},{"family":"Petrovskaia","given":"Anna"},{"family":"Burnaev","given":"Evgeny"}],"issued":{"date-parts":[["2024",12]]}}}],"schema":"https://github.com/citation-style-language/schema/raw/master/csl-citation.json"} </w:instrText>
      </w:r>
      <w:r w:rsidR="00B405A8" w:rsidRPr="00340959">
        <w:rPr>
          <w:rFonts w:ascii="Arial" w:hAnsi="Arial" w:cs="Arial"/>
          <w:color w:val="000000" w:themeColor="text1"/>
          <w:sz w:val="21"/>
          <w:szCs w:val="21"/>
        </w:rPr>
        <w:fldChar w:fldCharType="separate"/>
      </w:r>
      <w:r w:rsidR="0050478C" w:rsidRPr="0050478C">
        <w:rPr>
          <w:rFonts w:ascii="Arial" w:hAnsi="Arial" w:cs="Arial"/>
          <w:sz w:val="21"/>
        </w:rPr>
        <w:t>(Adnan et al. 2020; Koldasbayeva et al. 2024)</w:t>
      </w:r>
      <w:r w:rsidR="00B405A8"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 xml:space="preserve">. Second, many models provide only deterministic point predictions without uncertainty estimates, which makes them less useful for decision-making under risk </w:t>
      </w:r>
      <w:r w:rsidR="00B405A8"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{"citationID":"y1cjSgdu","properties":{"formattedCitation":"(Mil\\uc0\\u224{} et al. 2024)","plainCitation":"(Milà et al. 2024)","noteIndex":0},"citationItems":[{"id":116,"uris":["http://zotero.org/users/local/emosa1lm/items/44YKY8JF"],"itemData":{"id":116,"type":"article-journal","abstract":"Abstract. Spatial proxies, such as coordinates and distance fields, are often added as predictors in random forest (RF) models without any modifications being made to the algorithm to account for residual autocorrelation and improve predictions. However, their suitability under different predictive conditions encountered in environmental applications has not yet been assessed. We investigate (1) the suitability of spatial proxies depending on the modelling objective (interpolation vs. extrapolation), the strength of the residual spatial autocorrelation, and the sampling pattern; (2) which validation methods can be used as a model selection tool to empirically assess the suitability of spatial proxies; and (3) the effect of using spatial proxies in real-world environmental applications. We designed a simulation study to assess the suitability of RF regression models using three different types of spatial proxies: coordinates, Euclidean distance fields (EDFs), and random forest spatial prediction (RFsp). We also tested the ability of probability sampling test points, random k-fold cross-validation (CV), and k-fold nearest neighbour distance matching (kNNDM) CV to reflect the true prediction performance and correctly rank models. As real-world case studies, we modelled annual average air temperature and fine particulate air pollution for continental Spain. In the simulation study, we found that RFs with spatial proxies were poorly suited for spatial extrapolation to new areas due to significant feature extrapolation. For spatial interpolation, proxies were beneficial when both strong residual autocorrelation and regularly or randomly distributed training samples were present. In all other cases, proxies were neutral or counterproductive. Random k-fold cross-validation generally favoured models with spatial proxies even when it was not appropriate, whereas probability test samples and kNNDM CV correctly ranked models. In the case studies, air temperature stations were well spread within the prediction area, and measurements exhibited strong spatial autocorrelation, leading to an effective use of spatial proxies. Air pollution stations were clustered and autocorrelation was weaker and thus spatial proxies were not beneficial. As the benefits of spatial proxies are not universal, we recommend using spatial exploratory and validation analyses to determine their suitability, as well as considering alternative inherently spatial modelling approaches.","container-title":"Geoscientific model development","DOI":"10.5194/gmd-17-6007-2024","ISSN":"1991-959X, 1991-9603","issue":"15","page":"6007-6033","publisher":"Copernicus Publications","title":"Random forests with spatial proxies for environmental modelling: opportunities and pitfalls","volume":"17","author":[{"family":"Milà","given":"Carles"},{"family":"Ludwig","given":"Marvin"},{"family":"Pebesma","given":"Edzer"},{"family":"Tonne","given":"Cathryn"},{"family":"Meyer","given":"Hanna"}],"issued":{"date-parts":[["2024",8]]}}}],"schema":"https://github.com/citation-style-language/schema/raw/master/csl-citation.json"} </w:instrText>
      </w:r>
      <w:r w:rsidR="00B405A8" w:rsidRPr="00340959">
        <w:rPr>
          <w:rFonts w:ascii="Arial" w:hAnsi="Arial" w:cs="Arial"/>
          <w:color w:val="000000" w:themeColor="text1"/>
          <w:sz w:val="21"/>
          <w:szCs w:val="21"/>
        </w:rPr>
        <w:fldChar w:fldCharType="separate"/>
      </w:r>
      <w:r w:rsidR="0050478C" w:rsidRPr="0050478C">
        <w:rPr>
          <w:rFonts w:ascii="Arial" w:hAnsi="Arial" w:cs="Arial"/>
          <w:sz w:val="21"/>
        </w:rPr>
        <w:t>(Milà et al. 2024)</w:t>
      </w:r>
      <w:r w:rsidR="00B405A8"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w:t>
      </w:r>
    </w:p>
    <w:p w14:paraId="6C9C1356" w14:textId="33BAD61B" w:rsidR="00F837DF" w:rsidRPr="00340959" w:rsidRDefault="00F837DF" w:rsidP="00340959">
      <w:pPr>
        <w:pStyle w:val="Heading1"/>
        <w:spacing w:before="0" w:after="0" w:line="360" w:lineRule="auto"/>
        <w:jc w:val="both"/>
        <w:rPr>
          <w:rFonts w:ascii="Arial" w:hAnsi="Arial" w:cs="Arial"/>
          <w:color w:val="000000" w:themeColor="text1"/>
          <w:sz w:val="21"/>
          <w:szCs w:val="21"/>
        </w:rPr>
      </w:pPr>
      <w:r w:rsidRPr="00340959">
        <w:rPr>
          <w:rFonts w:ascii="Arial" w:hAnsi="Arial" w:cs="Arial"/>
          <w:color w:val="000000" w:themeColor="text1"/>
          <w:sz w:val="21"/>
          <w:szCs w:val="21"/>
        </w:rPr>
        <w:t>Common machine learning algorithms like Random Forest and Support Vector Machines tend to maximize classification accuracy. However, they do not</w:t>
      </w:r>
      <w:r w:rsidR="00D53A16" w:rsidRPr="00340959">
        <w:rPr>
          <w:rFonts w:ascii="Arial" w:hAnsi="Arial" w:cs="Arial"/>
          <w:color w:val="000000" w:themeColor="text1"/>
          <w:sz w:val="21"/>
          <w:szCs w:val="21"/>
        </w:rPr>
        <w:t>, by default, offer well-calibrated probabilistic outputs or</w:t>
      </w:r>
      <w:r w:rsidRPr="00340959">
        <w:rPr>
          <w:rFonts w:ascii="Arial" w:hAnsi="Arial" w:cs="Arial"/>
          <w:color w:val="000000" w:themeColor="text1"/>
          <w:sz w:val="21"/>
          <w:szCs w:val="21"/>
        </w:rPr>
        <w:t xml:space="preserve"> explicit uncertainty quantification</w:t>
      </w:r>
      <w:r w:rsidR="00B405A8" w:rsidRPr="00340959">
        <w:rPr>
          <w:rFonts w:ascii="Arial" w:hAnsi="Arial" w:cs="Arial"/>
          <w:color w:val="000000" w:themeColor="text1"/>
          <w:sz w:val="21"/>
          <w:szCs w:val="21"/>
        </w:rPr>
        <w:t xml:space="preserve"> </w:t>
      </w:r>
      <w:r w:rsidR="00B405A8"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{"citationID":"aWiPkYO8","properties":{"formattedCitation":"(Shaker and H\\uc0\\u252{}llermeier 2025)","plainCitation":"(Shaker and Hüllermeier 2025)","noteIndex":0},"citationItems":[{"id":117,"uris":["http://zotero.org/users/local/emosa1lm/items/IMX4RJGL"],"itemData":{"id":117,"type":"article-journal","container-title":"Knowledge-Based Systems","DOI":"10.1016/j.knosys.2025.114143","ISSN":"0950-7051, 1872-7409","page":"114143-114143","publisher":"Elsevier BV","title":"Random forest calibration","volume":"328","author":[{"family":"Shaker","given":"Mohammad"},{"family":"Hüllermeier","given":"Eyke"}],"issued":{"date-parts":[["2025",7]]}}}],"schema":"https://github.com/citation-style-language/schema/raw/master/csl-citation.json"} </w:instrText>
      </w:r>
      <w:r w:rsidR="00B405A8" w:rsidRPr="00340959">
        <w:rPr>
          <w:rFonts w:ascii="Arial" w:hAnsi="Arial" w:cs="Arial"/>
          <w:color w:val="000000" w:themeColor="text1"/>
          <w:sz w:val="21"/>
          <w:szCs w:val="21"/>
        </w:rPr>
        <w:fldChar w:fldCharType="separate"/>
      </w:r>
      <w:r w:rsidR="0050478C" w:rsidRPr="0050478C">
        <w:rPr>
          <w:rFonts w:ascii="Arial" w:hAnsi="Arial" w:cs="Arial"/>
          <w:sz w:val="21"/>
        </w:rPr>
        <w:t>(Shaker and Hüllermeier 2025)</w:t>
      </w:r>
      <w:r w:rsidR="00B405A8"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 xml:space="preserve">. As a result, predictions may appear overconfident when transferred to novel terrain conditions. On the other hand, </w:t>
      </w:r>
      <w:r w:rsidR="000139B7" w:rsidRPr="00340959">
        <w:rPr>
          <w:rFonts w:ascii="Arial" w:hAnsi="Arial" w:cs="Arial"/>
          <w:color w:val="000000" w:themeColor="text1"/>
          <w:sz w:val="21"/>
          <w:szCs w:val="21"/>
        </w:rPr>
        <w:t>the Bayesian approach treats</w:t>
      </w:r>
      <w:r w:rsidRPr="00340959">
        <w:rPr>
          <w:rFonts w:ascii="Arial" w:hAnsi="Arial" w:cs="Arial"/>
          <w:color w:val="000000" w:themeColor="text1"/>
          <w:sz w:val="21"/>
          <w:szCs w:val="21"/>
        </w:rPr>
        <w:t xml:space="preserve"> model parameters as probability distributions </w:t>
      </w:r>
      <w:r w:rsidR="00023FB6">
        <w:rPr>
          <w:rFonts w:ascii="Arial" w:hAnsi="Arial" w:cs="Arial"/>
          <w:color w:val="000000" w:themeColor="text1"/>
          <w:sz w:val="21"/>
          <w:szCs w:val="21"/>
        </w:rPr>
        <w:t>rather than fixed values</w:t>
      </w:r>
      <w:r w:rsidRPr="00340959">
        <w:rPr>
          <w:rFonts w:ascii="Arial" w:hAnsi="Arial" w:cs="Arial"/>
          <w:color w:val="000000" w:themeColor="text1"/>
          <w:sz w:val="21"/>
          <w:szCs w:val="21"/>
        </w:rPr>
        <w:t>. This allows for the formal propagation of epistemic uncertainty into posterior predictive distributions</w:t>
      </w:r>
      <w:r w:rsidR="00B405A8" w:rsidRPr="00340959">
        <w:rPr>
          <w:rFonts w:ascii="Arial" w:hAnsi="Arial" w:cs="Arial"/>
          <w:color w:val="000000" w:themeColor="text1"/>
          <w:sz w:val="21"/>
          <w:szCs w:val="21"/>
        </w:rPr>
        <w:t xml:space="preserve"> </w:t>
      </w:r>
      <w:r w:rsidR="00B405A8"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{"citationID":"pTbtOsK7","properties":{"formattedCitation":"(Mirus and Woodard 2023)","plainCitation":"(Mirus and Woodard 2023)","noteIndex":0},"citationItems":[{"id":118,"uris":["http://zotero.org/users/local/emosa1lm/items/ZYLTY9QW"],"itemData":{"id":118,"type":"article-journal","abstract":"Bayesian logistic regression with vague priors and optimized XGBoost models are two contrasting and commonly used approaches for modeling landslide susceptibility. Logistic regression calculates the log odds of a binary outcome (i.e., landslide or no landslide) given some predictor data (e.g., slope, elevation, and geology) that describes the terrain of each mapping unit used to divide the terrain for susceptibility evaluation. The Bayesian implementation incorporates uncertainty into the model by using probability distributions of the model parameters. Weakly informative priors ensure that the likelihood function (i.e., observational data) dominates posterior distributions, which can be estimated using the statistical software Stan. Like logistic regression, the gradient boosting decision tree machine learning algorithm XGBoost requires the predictor data of each mapping unit to output a probability of an event. Decision trees are a non-parametric learning tool that uses a set of if-then-else decision rules to predict the expected model outcome. Gradient boosting is a method of sequentially adding more decision trees to improve the model output until the lowest model residual levels are reached while penalizing for the level of complexity added to the model. We optimize the model parameters using a Bayesian cross-validation procedure on a portion of the training data. To obtain distributions of the level of susceptibility from XGBoost, a 10-fold cross-validation procedure with ten iterations is implemented. Evaluation of both Bayesian logistic regression and XGBoost algorithms is performed using the area under the curve of the receiver operator characteristics and the Brier score, but any other common metric for evaluation is possible. Model development and evaluation is carried out through the computational environment R. These methods have been applied with success to many diverse regions of the United States and would benefit from testing with the benchmark datasets proposed by the conveners.","DOI":"10.5194/egusphere-egu23-11586","title":"Bayesian logistic regression and optimized XGBoost models for landslide susceptibility assessment","URL":"http://dx.doi.org/10.5194/egusphere-egu23-11586","author":[{"family":"Mirus","given":"Benjamin B."},{"family":"Woodard","given":"Jacob"}],"issued":{"date-parts":[["2023",2]]}}}],"schema":"https://github.com/citation-style-language/schema/raw/master/csl-citation.json"} </w:instrText>
      </w:r>
      <w:r w:rsidR="00B405A8" w:rsidRPr="00340959">
        <w:rPr>
          <w:rFonts w:ascii="Arial" w:hAnsi="Arial" w:cs="Arial"/>
          <w:color w:val="000000" w:themeColor="text1"/>
          <w:sz w:val="21"/>
          <w:szCs w:val="21"/>
        </w:rPr>
        <w:fldChar w:fldCharType="separate"/>
      </w:r>
      <w:r w:rsidR="0050478C" w:rsidRPr="0050478C">
        <w:rPr>
          <w:rFonts w:ascii="Arial" w:hAnsi="Arial" w:cs="Arial"/>
          <w:sz w:val="21"/>
        </w:rPr>
        <w:t>(Mirus and Woodard 2023)</w:t>
      </w:r>
      <w:r w:rsidR="00B405A8"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 xml:space="preserve">. Such models are well-suited for risk management, as they not only yield high predicted risks but also explicit statements of the confidence in those predictions </w:t>
      </w:r>
      <w:r w:rsidR="00B405A8"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{"citationID":"Xok4WPqX","properties":{"formattedCitation":"(Stefanini et al. 2025)","plainCitation":"(Stefanini et al. 2025)","noteIndex":0},"citationItems":[{"id":119,"uris":["http://zotero.org/users/local/emosa1lm/items/C6XWIM7A"],"itemData":{"id":119,"type":"article-journal","abstract":"Coastal vulnerability describes the susceptibility of a system to adverse effects from natural hazards. It is typically evaluated using spatial data on geographical attributes and is often synthesized using tools such as a Coastal Vulnerability Index (CVI). However, the literature highlights that there is no universal method for assessing vulnerability, emphasizing the importance of site-specific adaptations. A key challenge in coastal risk management is dealing with the inherent uncertainty of environmental variables and their future dynamics. Incorporating this uncertainty is essential for producing reliable assessments and informed decision-making. In this paper, we present an R package that facilitates the implementation of probabilistic graphical models explicitly incorporating epistemic uncertainty. This approach allows for vulnerability assessments even in situations where data availability is limited. The proposed methodology aims to deliver a more flexible and transparent framework for vulnerability analysis under uncertainty, providing valuable support to local policymakers, in particular during the early phases of intervention planning and technology selection for coastal mitigation strategies.","container-title":"Mathematics","DOI":"10.3390/math13223603","ISSN":"2227-7390","issue":"22","page":"3603-3603","publisher":"Multidisciplinary Digital Publishing Institute","title":"vulneraR: An R Package for Uncertainty Analysis in Co</w:instrText>
      </w:r>
      <w:r w:rsidR="0050478C">
        <w:rPr>
          <w:rFonts w:ascii="Arial" w:hAnsi="Arial" w:cs="Arial" w:hint="eastAsia"/>
          <w:color w:val="000000" w:themeColor="text1"/>
          <w:sz w:val="21"/>
          <w:szCs w:val="21"/>
        </w:rPr>
        <w:instrText>astal Vulnerability Studies","volume":"13","author":[{"family":"Stefanini","given":"Federico Mattia"},{"family":"Ambrosini","given":"Sid"},{"family":"D</w:instrText>
      </w:r>
      <w:r w:rsidR="0050478C">
        <w:rPr>
          <w:rFonts w:ascii="Arial" w:hAnsi="Arial" w:cs="Arial"/>
          <w:color w:val="000000" w:themeColor="text1"/>
          <w:sz w:val="21"/>
          <w:szCs w:val="21"/>
        </w:rPr>
        <w:instrText>′</w:instrText>
      </w:r>
      <w:r w:rsidR="0050478C">
        <w:rPr>
          <w:rFonts w:ascii="Arial" w:hAnsi="Arial" w:cs="Arial" w:hint="eastAsia"/>
          <w:color w:val="000000" w:themeColor="text1"/>
          <w:sz w:val="21"/>
          <w:szCs w:val="21"/>
        </w:rPr>
        <w:instrText>Alessandro","given":"Felice"}],"issued":{"date-parts":[["2025",11]]}}}],"schema":"https://github.com/ci</w:instrText>
      </w:r>
      <w:r w:rsidR="0050478C">
        <w:rPr>
          <w:rFonts w:ascii="Arial" w:hAnsi="Arial" w:cs="Arial"/>
          <w:color w:val="000000" w:themeColor="text1"/>
          <w:sz w:val="21"/>
          <w:szCs w:val="21"/>
        </w:rPr>
        <w:instrText xml:space="preserve">tation-style-language/schema/raw/master/csl-citation.json"} </w:instrText>
      </w:r>
      <w:r w:rsidR="00B405A8" w:rsidRPr="00340959">
        <w:rPr>
          <w:rFonts w:ascii="Arial" w:hAnsi="Arial" w:cs="Arial"/>
          <w:color w:val="000000" w:themeColor="text1"/>
          <w:sz w:val="21"/>
          <w:szCs w:val="21"/>
        </w:rPr>
        <w:fldChar w:fldCharType="separate"/>
      </w:r>
      <w:r w:rsidR="0050478C" w:rsidRPr="0050478C">
        <w:rPr>
          <w:rFonts w:ascii="Arial" w:hAnsi="Arial" w:cs="Arial"/>
          <w:sz w:val="21"/>
        </w:rPr>
        <w:t>(Stefanini et al. 2025)</w:t>
      </w:r>
      <w:r w:rsidR="00B405A8"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w:t>
      </w:r>
    </w:p>
    <w:p w14:paraId="3A9EBE75" w14:textId="7490B620" w:rsidR="00F837DF" w:rsidRPr="007E6071" w:rsidRDefault="00F837DF" w:rsidP="00340959">
      <w:pPr>
        <w:pStyle w:val="Heading1"/>
        <w:spacing w:before="0" w:after="0" w:line="360" w:lineRule="auto"/>
        <w:jc w:val="both"/>
        <w:rPr>
          <w:rFonts w:ascii="Arial" w:hAnsi="Arial" w:cs="Arial"/>
          <w:color w:val="000000" w:themeColor="text1"/>
          <w:sz w:val="21"/>
          <w:szCs w:val="21"/>
        </w:rPr>
      </w:pPr>
      <w:r w:rsidRPr="00340959">
        <w:rPr>
          <w:rFonts w:ascii="Arial" w:hAnsi="Arial" w:cs="Arial"/>
          <w:color w:val="000000" w:themeColor="text1"/>
          <w:sz w:val="21"/>
          <w:szCs w:val="21"/>
        </w:rPr>
        <w:t xml:space="preserve">In Bangladesh, </w:t>
      </w:r>
      <w:r w:rsidR="00023FB6">
        <w:rPr>
          <w:rFonts w:ascii="Arial" w:hAnsi="Arial" w:cs="Arial"/>
          <w:color w:val="000000" w:themeColor="text1"/>
          <w:sz w:val="21"/>
          <w:szCs w:val="21"/>
        </w:rPr>
        <w:t xml:space="preserve">the </w:t>
      </w:r>
      <w:r w:rsidRPr="00340959">
        <w:rPr>
          <w:rFonts w:ascii="Arial" w:hAnsi="Arial" w:cs="Arial"/>
          <w:color w:val="000000" w:themeColor="text1"/>
          <w:sz w:val="21"/>
          <w:szCs w:val="21"/>
        </w:rPr>
        <w:t xml:space="preserve">Chittagong Hill Tracts and metropolitan areas </w:t>
      </w:r>
      <w:r w:rsidR="00023FB6">
        <w:rPr>
          <w:rFonts w:ascii="Arial" w:hAnsi="Arial" w:cs="Arial"/>
          <w:color w:val="000000" w:themeColor="text1"/>
          <w:sz w:val="21"/>
          <w:szCs w:val="21"/>
        </w:rPr>
        <w:t>are settings</w:t>
      </w:r>
      <w:r w:rsidRPr="00340959">
        <w:rPr>
          <w:rFonts w:ascii="Arial" w:hAnsi="Arial" w:cs="Arial"/>
          <w:color w:val="000000" w:themeColor="text1"/>
          <w:sz w:val="21"/>
          <w:szCs w:val="21"/>
        </w:rPr>
        <w:t xml:space="preserve"> where improved LSM practices are urgently needed. This region is highly susceptible to landslides for several reasons, such as steep slopes, intense monsoon rainfall, and escalating human encroachment </w:t>
      </w:r>
      <w:r w:rsidR="00B405A8"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{"citationID":"2LqBoEmb","properties":{"formattedCitation":"(Biswas et al. 2026)","plainCitation":"(Biswas et al. 2026)","noteIndex":0},"citationItems":[{"id":120,"uris":["http://zotero.org/users/local/emosa1lm/items/UL5PCFR8"],"itemData":{"id":120,"type":"article-journal","abstract":"Landslides pose a persistent threat to life, livelihoods, and critical infrastructure in the Chittagong Hill Tracts (CHT) of Bangladesh, a region marked by steep slopes, intense monsoonal rainfall, and increasing anthropogenic pressure. This study presents a comprehensive landslide susceptibility assessment for the monsoon-dominated Chittagong Hill Tracts (CHT), addressing data scarcity challenges. An ensemble model integrating Convolutional Neural Networks, Deep Neural Networks, and Long Short-Term Memory networks was developed using ten standardized 30-meter resolution geo-environmental variables. A balanced dataset of 5,082 samples was generated through spatially stratified random sampling. Spatial-block 10-fold cross-validation demonstrated strong model performance with an F1-score of 0.8923 and an AUC of 0.9558, outperforming individual models. Key drivers identified include annual rainfall and proximity to fault lines, highlighting the role of hydro-tectonic factors. Additionally, a Road Vulnerability Index based on six physical parameters revealed that 13% of the regional road network is highly vulnerable to landslides. These findings offer high-resolution, interpretable susceptibility and infrastructure risk maps to support disaster risk reduction strategies, contributing to Sustainable Development Goals 11 and 13. This framework advances understanding of landslide hazards and infrastructure vulnerability in data-limited mountainous regions.","container-title":"Geomatics Natural Hazards and Risk","DOI":"10.1080/19475705.2026.2634207","ISSN":"1947-5705, 1947-5713","issue":"1","publisher":"Taylor &amp; Francis","title":"Ensemble deep learning framework for landslide susceptibility mapping and road vulnerability index development in the Chittagong Hill Tracts, Bangladesh","URL":"https://doi.org/10.1080/19475705.2026.2634207","volume":"17","author":[{"family":"Biswas","given":"Niloy"},{"family":"Islam","given":"K. M. Ashraful"},{"family":"Efty","given":"Eftekher Ahammed"},{"family":"Das","given":"S."},{"family":"Pathan","given":"Abrar Muhtasim"},{"family":"Ferdaus","given":"Md Rayhanul"}],"issued":{"date-parts":[["2026",2]]}}}],"schema":"https://github.com/citation-style-language/schema/raw/master/csl-citation.json"} </w:instrText>
      </w:r>
      <w:r w:rsidR="00B405A8" w:rsidRPr="00340959">
        <w:rPr>
          <w:rFonts w:ascii="Arial" w:hAnsi="Arial" w:cs="Arial"/>
          <w:color w:val="000000" w:themeColor="text1"/>
          <w:sz w:val="21"/>
          <w:szCs w:val="21"/>
        </w:rPr>
        <w:fldChar w:fldCharType="separate"/>
      </w:r>
      <w:r w:rsidR="0050478C" w:rsidRPr="0050478C">
        <w:rPr>
          <w:rFonts w:ascii="Arial" w:hAnsi="Arial" w:cs="Arial"/>
          <w:sz w:val="21"/>
        </w:rPr>
        <w:t>(Biswas et al. 2026)</w:t>
      </w:r>
      <w:r w:rsidR="00B405A8"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 xml:space="preserve">. During the monsoon, the frequency of landslides becomes a significant threat in this area, which eventually causes </w:t>
      </w:r>
      <w:r w:rsidRPr="00F5320B">
        <w:rPr>
          <w:rFonts w:ascii="Arial" w:hAnsi="Arial" w:cs="Arial"/>
          <w:color w:val="000000" w:themeColor="text1"/>
          <w:sz w:val="21"/>
          <w:szCs w:val="21"/>
        </w:rPr>
        <w:t xml:space="preserve">fatalities and socio-economic losses </w:t>
      </w:r>
      <w:r w:rsidR="00F5320B" w:rsidRPr="00F5320B">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{"citationID":"6BHl2Xg6","properties":{"formattedCitation":"(Biswas et al. 2026)","plainCitation":"(Biswas et al. 2026)","noteIndex":0},"citationItems":[{"id":120,"uris":["http://zotero.org/users/local/emosa1lm/items/UL5PCFR8"],"itemData":{"id":120,"type":"article-journal","abstract":"Landslides pose a persistent threat to life, livelihoods, and critical infrastructure in the Chittagong Hill Tracts (CHT) of Bangladesh, a region marked by steep slopes, intense monsoonal rainfall, and increasing anthropogenic pressure. This study presents a comprehensive landslide susceptibility assessment for the monsoon-dominated Chittagong Hill Tracts (CHT), addressing data scarcity challenges. An ensemble model integrating Convolutional Neural Networks, Deep Neural Networks, and Long Short-Term Memory networks was developed using ten standardized 30-meter resolution geo-environmental variables. A balanced dataset of 5,082 samples was generated through spatially stratified random sampling. Spatial-block 10-fold cross-validation demonstrated strong model performance with an F1-score of 0.8923 and an AUC of 0.9558, outperforming individual models. Key drivers identified include annual rainfall and proximity to fault lines, highlighting the role of hydro-tectonic factors. Additionally, a Road Vulnerability Index based on six physical parameters revealed that 13% of the regional road network is highly vulnerable to landslides. These findings offer high-resolution, interpretable susceptibility and infrastructure risk maps to support disaster risk reduction strategies, contributing to Sustainable Development Goals 11 and 13. This framework advances understanding of landslide hazards and infrastructure vulnerability in data-limited mountainous regions.","container-title":"Geomatics Natural Hazards and Risk","DOI":"10.1080/19475705.2026.2634207","ISSN":"1947-5705, 1947-5713","issue":"1","publisher":"Taylor &amp; Francis","title":"Ensemble deep learning framework for landslide susceptibility mapping and road vulnerability index development in the Chittagong Hill Tracts, Bangladesh","URL":"https://doi.org/10.1080/19475705.2026.2634207","volume":"17","author":[{"family":"Biswas","given":"Niloy"},{"family":"Islam","given":"K. M. Ashraful"},{"family":"Efty","given":"Eftekher Ahammed"},{"family":"Das","given":"S."},{"family":"Pathan","given":"Abrar Muhtasim"},{"family":"Ferdaus","given":"Md Rayhanul"}],"issued":{"date-parts":[["2026",2]]}}}],"schema":"https://github.com/citation-style-language/schema/raw/master/csl-citation.json"} </w:instrText>
      </w:r>
      <w:r w:rsidR="00F5320B" w:rsidRPr="00F5320B">
        <w:rPr>
          <w:rFonts w:ascii="Arial" w:hAnsi="Arial" w:cs="Arial"/>
          <w:color w:val="000000" w:themeColor="text1"/>
          <w:sz w:val="21"/>
          <w:szCs w:val="21"/>
        </w:rPr>
        <w:fldChar w:fldCharType="separate"/>
      </w:r>
      <w:r w:rsidR="0050478C" w:rsidRPr="0050478C">
        <w:rPr>
          <w:rFonts w:ascii="Arial" w:hAnsi="Arial" w:cs="Arial"/>
          <w:sz w:val="21"/>
        </w:rPr>
        <w:t>(Biswas et al. 2026)</w:t>
      </w:r>
      <w:r w:rsidR="00F5320B" w:rsidRPr="00F5320B">
        <w:rPr>
          <w:rFonts w:ascii="Arial" w:hAnsi="Arial" w:cs="Arial"/>
          <w:color w:val="000000" w:themeColor="text1"/>
          <w:sz w:val="21"/>
          <w:szCs w:val="21"/>
        </w:rPr>
        <w:fldChar w:fldCharType="end"/>
      </w:r>
      <w:r w:rsidRPr="00F5320B">
        <w:rPr>
          <w:rFonts w:ascii="Arial" w:hAnsi="Arial" w:cs="Arial"/>
          <w:color w:val="000000" w:themeColor="text1"/>
          <w:sz w:val="21"/>
          <w:szCs w:val="21"/>
        </w:rPr>
        <w:t xml:space="preserve">. Traditional </w:t>
      </w:r>
      <w:r w:rsidRPr="00340959">
        <w:rPr>
          <w:rFonts w:ascii="Arial" w:hAnsi="Arial" w:cs="Arial"/>
          <w:color w:val="000000" w:themeColor="text1"/>
          <w:sz w:val="21"/>
          <w:szCs w:val="21"/>
        </w:rPr>
        <w:t>GIS methods, logistic regression, decision tree variants, ensemble tree-based models</w:t>
      </w:r>
      <w:r w:rsidR="00023FB6">
        <w:rPr>
          <w:rFonts w:ascii="Arial" w:hAnsi="Arial" w:cs="Arial"/>
          <w:color w:val="000000" w:themeColor="text1"/>
          <w:sz w:val="21"/>
          <w:szCs w:val="21"/>
        </w:rPr>
        <w:t>,</w:t>
      </w:r>
      <w:r w:rsidRPr="00340959">
        <w:rPr>
          <w:rFonts w:ascii="Arial" w:hAnsi="Arial" w:cs="Arial"/>
          <w:color w:val="000000" w:themeColor="text1"/>
          <w:sz w:val="21"/>
          <w:szCs w:val="21"/>
        </w:rPr>
        <w:t xml:space="preserve"> and some deep learning </w:t>
      </w:r>
      <w:r w:rsidRPr="00A97A2D">
        <w:rPr>
          <w:rFonts w:ascii="Arial" w:hAnsi="Arial" w:cs="Arial"/>
          <w:color w:val="000000" w:themeColor="text1"/>
          <w:sz w:val="21"/>
          <w:szCs w:val="21"/>
        </w:rPr>
        <w:t>models have shown strong performance in discriminating landslide susceptibility in regional susceptibility studies</w:t>
      </w:r>
      <w:r w:rsidR="00A97A2D" w:rsidRPr="00A97A2D">
        <w:rPr>
          <w:rFonts w:ascii="Arial" w:hAnsi="Arial" w:cs="Arial"/>
          <w:color w:val="000000" w:themeColor="text1"/>
          <w:sz w:val="21"/>
          <w:szCs w:val="21"/>
        </w:rPr>
        <w:t xml:space="preserve"> </w:t>
      </w:r>
      <w:r w:rsidR="00A97A2D" w:rsidRPr="00A97A2D">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{"citationID":"6oV5XwUU","properties":{"formattedCitation":"(Murad and Rahman 2025)","plainCitation":"(Murad and Rahman 2025)","noteIndex":0},"citationItems":[{"id":380,"uris":["http://zotero.org/users/local/emosa1lm/items/3N73G5RD"],"itemData":{"id":380,"type":"paper-conference","abstract":"Landslides are one of the major geological hazards globally, especially in mountainous regions. Considering that 10% of total land occupies hilly terrain, landslide-induced disasters are also prominent in Bangladesh. With rapid urbanization, the development of hilly areas is noticeable, and hence, for safe and economic growth, the susceptible regions need to be identified. Emphasizing the actual instance, this research aims to develop a comprehensive landslide susceptibility map for Rangamati district, one of the important districts of hill tracts of Bangladesh. Both geologic and geotechnical parameters extracted from remote sensing techniques are employed to prepare the initial datasets. Landslide inventory maps from NASA have been used to prepare synthesized datasets for validation. Deep learning that fundamentals on neuron networks of the human brain have been a prospective tool in dealing with highly sparse datasets and random variables. Therefore, a widely used deep learning method, known as Deep Neural Network, has prepared a landslide susceptibility map for the Rangamati hill district. 80% of the data have been used to train the model, while 20% have been used to test the model. The developed susceptibility map portrays an accuracy level of 88% in terms of its statistical distribution. Besides that, the inventory map converges well with the susceptible map; hence, it implicitly substantiates the accuracy of the developed procedure. Overall, this research provides a general view of landslide risk for the Rangamati hill district. With more inventory data, this method can be useful to prepare a zone-wise susceptibility map over the entire hill district.","container-title":"Proceedings of the 8th International Conference on Engineering Research, Innovation and Education","event-title":"8th International Conference on Engineering Research, Innovation and Education","language":"en","source":"Zotero","title":"Landslide Susceptibility Assessment of Rangamati Hill District Using Deep Learning Method","author":[{"family":"Murad","given":"Golam"},{"family":"Rahman","given":"Aftabur"}],"issued":{"date-parts":[["2025"]]}}}],"schema":"https://github.com/citation-style-language/schema/raw/master/csl-citation.json"} </w:instrText>
      </w:r>
      <w:r w:rsidR="00A97A2D" w:rsidRPr="00A97A2D">
        <w:rPr>
          <w:rFonts w:ascii="Arial" w:hAnsi="Arial" w:cs="Arial"/>
          <w:color w:val="000000" w:themeColor="text1"/>
          <w:sz w:val="21"/>
          <w:szCs w:val="21"/>
        </w:rPr>
        <w:fldChar w:fldCharType="separate"/>
      </w:r>
      <w:r w:rsidR="0050478C" w:rsidRPr="0050478C">
        <w:rPr>
          <w:rFonts w:ascii="Arial" w:hAnsi="Arial" w:cs="Arial"/>
          <w:sz w:val="21"/>
        </w:rPr>
        <w:t>(Murad and Rahman 2025)</w:t>
      </w:r>
      <w:r w:rsidR="00A97A2D" w:rsidRPr="00A97A2D">
        <w:rPr>
          <w:rFonts w:ascii="Arial" w:hAnsi="Arial" w:cs="Arial"/>
          <w:color w:val="000000" w:themeColor="text1"/>
          <w:sz w:val="21"/>
          <w:szCs w:val="21"/>
        </w:rPr>
        <w:fldChar w:fldCharType="end"/>
      </w:r>
      <w:r w:rsidRPr="00A97A2D">
        <w:rPr>
          <w:rFonts w:ascii="Arial" w:hAnsi="Arial" w:cs="Arial"/>
          <w:color w:val="000000" w:themeColor="text1"/>
          <w:sz w:val="21"/>
          <w:szCs w:val="21"/>
        </w:rPr>
        <w:t>. However, a considerable number of these studies lack proper spatial data resolution</w:t>
      </w:r>
      <w:r w:rsidRPr="00340959">
        <w:rPr>
          <w:rFonts w:ascii="Arial" w:hAnsi="Arial" w:cs="Arial"/>
          <w:color w:val="000000" w:themeColor="text1"/>
          <w:sz w:val="21"/>
          <w:szCs w:val="21"/>
        </w:rPr>
        <w:t>, lack spatial validation</w:t>
      </w:r>
      <w:r w:rsidR="00023FB6">
        <w:rPr>
          <w:rFonts w:ascii="Arial" w:hAnsi="Arial" w:cs="Arial"/>
          <w:color w:val="000000" w:themeColor="text1"/>
          <w:sz w:val="21"/>
          <w:szCs w:val="21"/>
        </w:rPr>
        <w:t>,</w:t>
      </w:r>
      <w:r w:rsidRPr="00340959">
        <w:rPr>
          <w:rFonts w:ascii="Arial" w:hAnsi="Arial" w:cs="Arial"/>
          <w:color w:val="000000" w:themeColor="text1"/>
          <w:sz w:val="21"/>
          <w:szCs w:val="21"/>
        </w:rPr>
        <w:t xml:space="preserve"> and sufficient uncertainty quantification. Addressing these shortcomings is essential for effective disaster risk reduction in such a </w:t>
      </w:r>
      <w:r w:rsidRPr="007E6071">
        <w:rPr>
          <w:rFonts w:ascii="Arial" w:hAnsi="Arial" w:cs="Arial"/>
          <w:color w:val="000000" w:themeColor="text1"/>
          <w:sz w:val="21"/>
          <w:szCs w:val="21"/>
        </w:rPr>
        <w:t xml:space="preserve">dynamic environment </w:t>
      </w:r>
      <w:r w:rsidR="007E6071" w:rsidRPr="007E6071">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{"citationID":"yaHqndCx","properties":{"formattedCitation":"(Cruz et al. 2024)","plainCitation":"(Cruz et al. 2024)","noteIndex":0},"citationItems":[{"id":344,"uris":["http://zotero.org/users/local/emosa1lm/items/TDU9P24J"],"itemData":{"id":344,"type":"article-journal","abstract":"Several probabilistic liquefaction triggering approaches, or liquefaction manifestation severity approaches, have been developed to consider the uncertainties related to liquefaction and its manifestations. Probabilistic approaches are essential for vulnerability and risk models that considers the consequences of liquefaction on building performance. They may be incorporated into a performance-based earthquake engineering framework through a fully probabilistic liquefaction hazard assessment. The objective is to effectively incorporate spatial interaction of two concurrent hazards, specifically earthquake-induced shaking, and liquefaction, and to develop a robust multi-hazard framework applicable to regions with limited input data. For this purpose, it is necessary to establish, according to the available probabilistic liquefaction triggering or manifestation severity assessment approaches, which set of approaches aligns optimally with vulnerability and risk models. Thus, this paper discusses the current methodologies on the ongoing probabilistic liquefaction hazard assessment approaches with the aim of defining a reliable model specific for areas with a non-liquefiable surface layer over a liquefiable layer.","container-title":"Archives of Computational Methods in Engineering","DOI":"10.1007/s11831-024-10124-4","ISSN":"1886-1784","issue":"8","journalAbbreviation":"Arch Computat Methods Eng","language":"en","page":"4673-4708","source":"Springer Link","title":"A Review of Probabilistic Approaches for Assessing the Liquefaction Hazard in Urban Areas","volume":"31","author":[{"family":"Cruz","given":"Alejandro"},{"family":"Karimzadeh","given":"Shaghayegh"},{"family":"Chieffo","given":"Nicola"},{"family":"Sandoval","given":"Eimar"},{"family":"Lourenço","given":"Paulo B."}],"issued":{"date-parts":[["2024",12,1]]}}}],"schema":"https://github.com/citation-style-language/schema/raw/master/csl-citation.json"} </w:instrText>
      </w:r>
      <w:r w:rsidR="007E6071" w:rsidRPr="007E6071">
        <w:rPr>
          <w:rFonts w:ascii="Arial" w:hAnsi="Arial" w:cs="Arial"/>
          <w:color w:val="000000" w:themeColor="text1"/>
          <w:sz w:val="21"/>
          <w:szCs w:val="21"/>
        </w:rPr>
        <w:fldChar w:fldCharType="separate"/>
      </w:r>
      <w:r w:rsidR="0050478C" w:rsidRPr="0050478C">
        <w:rPr>
          <w:rFonts w:ascii="Arial" w:hAnsi="Arial" w:cs="Arial"/>
          <w:sz w:val="21"/>
        </w:rPr>
        <w:t>(Cruz et al. 2024)</w:t>
      </w:r>
      <w:r w:rsidR="007E6071" w:rsidRPr="007E6071">
        <w:rPr>
          <w:rFonts w:ascii="Arial" w:hAnsi="Arial" w:cs="Arial"/>
          <w:color w:val="000000" w:themeColor="text1"/>
          <w:sz w:val="21"/>
          <w:szCs w:val="21"/>
        </w:rPr>
        <w:fldChar w:fldCharType="end"/>
      </w:r>
      <w:r w:rsidRPr="007E6071">
        <w:rPr>
          <w:rFonts w:ascii="Arial" w:hAnsi="Arial" w:cs="Arial"/>
          <w:color w:val="000000" w:themeColor="text1"/>
          <w:sz w:val="21"/>
          <w:szCs w:val="21"/>
        </w:rPr>
        <w:t>.</w:t>
      </w:r>
    </w:p>
    <w:p w14:paraId="76FD5DDA" w14:textId="0EC556F6" w:rsidR="00F837DF" w:rsidRPr="001B5C0A" w:rsidRDefault="00F837DF" w:rsidP="00340959">
      <w:pPr>
        <w:pStyle w:val="Heading1"/>
        <w:spacing w:before="0" w:after="0" w:line="360" w:lineRule="auto"/>
        <w:jc w:val="both"/>
        <w:rPr>
          <w:rFonts w:ascii="Arial" w:hAnsi="Arial" w:cs="Arial"/>
          <w:color w:val="000000" w:themeColor="text1"/>
          <w:sz w:val="21"/>
          <w:szCs w:val="21"/>
        </w:rPr>
      </w:pPr>
      <w:r w:rsidRPr="00340959">
        <w:rPr>
          <w:rFonts w:ascii="Arial" w:hAnsi="Arial" w:cs="Arial"/>
          <w:color w:val="000000" w:themeColor="text1"/>
          <w:sz w:val="21"/>
          <w:szCs w:val="21"/>
        </w:rPr>
        <w:t xml:space="preserve">Recent research efforts on data-driven LSMs have evolved towards two main pathways. The former focuses on optimizing algorithmic performance metrics, such as the area under the receiver operating characteristic curve (AUC) and accuracy when using ensemble strategies, while the latter combines evaluation data with generation data </w:t>
      </w:r>
      <w:r w:rsidR="005D0279"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{"citationID":"cmeZCRX4","properties":{"formattedCitation":"(Zhou and Xing 2025)","plainCitation":"(Zhou and Xing 2025)","noteIndex":0},"citationItems":[{"id":122,"uris":["http://zotero.org/users/local/emosa1lm/items/DYT85EH6"],"itemData":{"id":122,"type":"article-journal","abstract":"Currently, although various landslide susceptibility models can achieve high prediction accuracy, their results have significant differences in spatial distribution, resulting in high prediction uncertainty, which poses a challenge to optimizing assessment methods applicable to such complex geological hazards. In order to reduce uncertainty, this study proposes a machine learning ensemble modeling method that combines spatial consistency analysis. Taking Ruijin City in Jiangxi Province as the research area, based on the selection of 12 influencing factors and hyperparameter optimization, three algorithms including XGBOOST, Random Forest (RF), and Support Vector Machine (SVM) were used to generate landslide susceptibility maps. All models performed well, with AUC values ranging from 0.84 to 0.93. However, spatial consistency analysis shows that the spatial correlation between maps between models is only 0.78 to 0.84, indicating that although the prediction accuracy is high, there is still significant spatial heterogeneity and uncertainty. Therefore, a logistic regression (LR) fusion model based on historical landslides was constructed. Use the compilation results as the dependent variable and the results of the three models as the independent variables. The results indicate that XGBOOST contributes the most, followed by RF and SVM. By integrating the three prediction results, a comprehensive vulnerability map was finally obtained, which was superior to the single model in terms of spatial consistency (correlation coefficient 0.87–0.91) and prediction accuracy (AUC = 0.95). This research framework effectively reduces the uncertainty of landslide prediction and improves the reliability and accuracy of evaluation results.","container-title":"Frontiers in Earth Science","DOI":"10.3389/feart.2025.1702688","ISSN":"2296-6463","publisher":"Frontiers Media","title":"Spatial consistency assessment and landslide susceptibility prediction optimization","URL":"https://doi.org/10.3389/feart.2025.1702688","volume":"13","author":[{"family":"Zhou","given":"Xiaohong"},{"family":"Xing","given":"Yin"}],"issued":{"date-parts":[["2025",10]]}}}],"schema":"https://github.com/citation-style-language/schema/raw/master/csl-citation.json"} </w:instrText>
      </w:r>
      <w:r w:rsidR="005D0279" w:rsidRPr="00340959">
        <w:rPr>
          <w:rFonts w:ascii="Arial" w:hAnsi="Arial" w:cs="Arial"/>
          <w:color w:val="000000" w:themeColor="text1"/>
          <w:sz w:val="21"/>
          <w:szCs w:val="21"/>
        </w:rPr>
        <w:fldChar w:fldCharType="separate"/>
      </w:r>
      <w:r w:rsidR="0050478C" w:rsidRPr="0050478C">
        <w:rPr>
          <w:rFonts w:ascii="Arial" w:hAnsi="Arial" w:cs="Arial"/>
          <w:sz w:val="21"/>
        </w:rPr>
        <w:t>(Zhou and Xing 2025)</w:t>
      </w:r>
      <w:r w:rsidR="005D0279"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 xml:space="preserve">. The hybrid and stacked models usually perform better than single learners. These models are also fairly complex, making them less </w:t>
      </w:r>
      <w:r w:rsidRPr="007E6071">
        <w:rPr>
          <w:rFonts w:ascii="Arial" w:hAnsi="Arial" w:cs="Arial"/>
          <w:color w:val="000000" w:themeColor="text1"/>
          <w:sz w:val="21"/>
          <w:szCs w:val="21"/>
        </w:rPr>
        <w:t xml:space="preserve">explainable </w:t>
      </w:r>
      <w:r w:rsidR="007E6071" w:rsidRPr="007E6071">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{"citationID":"7AQUtmba","properties":{"formattedCitation":"(Rukh et al. 2024)","plainCitation":"(Rukh et al. 2024)","noteIndex":0},"citationItems":[{"id":342,"uris":["http://zotero.org/users/local/emosa1lm/items/2KAXJYCQ"],"itemData":{"id":342,"type":"article-journal","abstract":"Antioxidant proteins are involved in several biological processes and can protect DNA and cells from the damage of free radicals. These proteins regulate the body's oxidative stress and perform a significant role in many antioxidant-based drugs. The current invitro-based medications are costly, time-consuming, and unable to efficiently screen and identify the targeted motif of antioxidant proteins.","container-title":"BMC Bioinformatics","DOI":"10.1186/s12859-024-05884-6","ISSN":"1471-2105","issue":"1","journalAbbreviation":"BMC Bioinformatics","language":"en","page":"256","source":"Springer Link","title":"StackedEnC-AOP: prediction of antioxidant proteins using transform evolutionary and sequential features based multi-scale vector with stacked ensemble learning","title-short":"StackedEnC-AOP","volume":"25","author":[{"family":"Rukh","given":"Gul"},{"family":"Akbar","given":"Shahid"},{"family":"Rehman","given":"Gauhar"},{"family":"Alarfaj","given":"Fawaz Khaled"},{"family":"Zou","given":"Quan"}],"issued":{"date-parts":[["2024",8,4]]}}}],"schema":"https://github.com/citation-style-language/schema/raw/master/csl-citation.json"} </w:instrText>
      </w:r>
      <w:r w:rsidR="007E6071" w:rsidRPr="007E6071">
        <w:rPr>
          <w:rFonts w:ascii="Arial" w:hAnsi="Arial" w:cs="Arial"/>
          <w:color w:val="000000" w:themeColor="text1"/>
          <w:sz w:val="21"/>
          <w:szCs w:val="21"/>
        </w:rPr>
        <w:fldChar w:fldCharType="separate"/>
      </w:r>
      <w:r w:rsidR="0050478C" w:rsidRPr="0050478C">
        <w:rPr>
          <w:rFonts w:ascii="Arial" w:hAnsi="Arial" w:cs="Arial"/>
          <w:sz w:val="21"/>
        </w:rPr>
        <w:t>(Rukh et al. 2024)</w:t>
      </w:r>
      <w:r w:rsidR="007E6071" w:rsidRPr="007E6071">
        <w:rPr>
          <w:rFonts w:ascii="Arial" w:hAnsi="Arial" w:cs="Arial"/>
          <w:color w:val="000000" w:themeColor="text1"/>
          <w:sz w:val="21"/>
          <w:szCs w:val="21"/>
        </w:rPr>
        <w:fldChar w:fldCharType="end"/>
      </w:r>
      <w:r w:rsidRPr="007E6071">
        <w:rPr>
          <w:rFonts w:ascii="Arial" w:hAnsi="Arial" w:cs="Arial"/>
          <w:color w:val="000000" w:themeColor="text1"/>
          <w:sz w:val="21"/>
          <w:szCs w:val="21"/>
        </w:rPr>
        <w:t xml:space="preserve">. The </w:t>
      </w:r>
      <w:r w:rsidRPr="00340959">
        <w:rPr>
          <w:rFonts w:ascii="Arial" w:hAnsi="Arial" w:cs="Arial"/>
          <w:color w:val="000000" w:themeColor="text1"/>
          <w:sz w:val="21"/>
          <w:szCs w:val="21"/>
        </w:rPr>
        <w:t>second direction, which emphasizes a methodological domain in its evaluation for LSMs (spatial validation, probabilistic calibration</w:t>
      </w:r>
      <w:r w:rsidR="00023FB6">
        <w:rPr>
          <w:rFonts w:ascii="Arial" w:hAnsi="Arial" w:cs="Arial"/>
          <w:color w:val="000000" w:themeColor="text1"/>
          <w:sz w:val="21"/>
          <w:szCs w:val="21"/>
        </w:rPr>
        <w:t>,</w:t>
      </w:r>
      <w:r w:rsidRPr="00340959">
        <w:rPr>
          <w:rFonts w:ascii="Arial" w:hAnsi="Arial" w:cs="Arial"/>
          <w:color w:val="000000" w:themeColor="text1"/>
          <w:sz w:val="21"/>
          <w:szCs w:val="21"/>
        </w:rPr>
        <w:t xml:space="preserve"> and uncertainty quantification) as essential elements of any robust model</w:t>
      </w:r>
      <w:r w:rsidR="001B5C0A">
        <w:rPr>
          <w:rFonts w:ascii="Arial" w:hAnsi="Arial" w:cs="Arial"/>
          <w:color w:val="000000" w:themeColor="text1"/>
          <w:sz w:val="21"/>
          <w:szCs w:val="21"/>
        </w:rPr>
        <w:t xml:space="preserve"> </w:t>
      </w:r>
      <w:r w:rsidR="001B5C0A" w:rsidRPr="001B5C0A">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{"citationID":"wsB3hjeI","properties":{"formattedCitation":"(Vashisht et al. 2026)","plainCitation":"(Vashisht et al. 2026)","noteIndex":0},"citationItems":[{"id":354,"uris":["http://zotero.org/users/local/emosa1lm/items/ZI97HLCY"],"itemData":{"id":354,"type":"article-journal","abstract":"Sixth-generation (6G) networks are projected to include massive machine-type communication (mMTC), ultra-reliable low-latency communications (URLLC), and enhanced mobile broadband (eMBB) to offer immersive, diverse, and latency-critical services. These heterogeneous service requirements demand intelligent and autonomous slicing mechanisms that remain reliable under dynamic traffic, multimodal context variations, and cross-layer uncertainties. Existing machine learning (ML) approaches achieve strong predictive performance but lack built-in Service-Level Agreement (SLA) validation, while rule-based strategies ensure constraint adherence yet struggle with rapidly varying 6G conditions. To address these limitations, this article proposes an Agentic Intelligence–assisted ML Fusion Framework that combines ensemble prediction with autonomous agentic reasoning.For example, an agentic controller can independently override the choice and reallocate resources to avoid service failure if an ML model predicts a slice appropriate for URLLC traffic but the expected latency exceeds the SLA level. A stacked ensemble of Light Gradient Boosting Machine (LightGBM), Random Forest (RF), and Logistic Regression (LR) captures nonlinear and multimodal dependencies in 6G beamforming data, whereas an agentic overlay enforces throughput, latency, and energy constraints in real time. Evaluation on a public 6G IoT beamforming dataset demonstrates near-perfect accuracy (99.9%) with consistent SLA compliance, improved interpretability, and enhanced stability under fluctuating service demands. The hybrid design provides a scalable foundation for multimodal, semantic-aware, and multi-agent orchestration in next-generation 6G slicing ecosystems.","container-title":"IEEE Open Journal of the Communications Society","DOI":"10.1109/OJCOMS.2026.3663612","ISSN":"2644-125X","page":"1643-1653","source":"IEEE Xplore","title":"Multimodal and Agentic Intelligence–Driven ML Fusion for Sustainable 6G Network Slicing","volume":"7","author":[{"family":"Vashisht","given":"Sanchit"},{"family":"Rani","given":"Shalli"},{"family":"Feng","given":"Hailin"}],"issued":{"date-parts":[["2026"]]}}}],"schema":"https://github.com/citation-style-language/schema/raw/master/csl-citation.json"} </w:instrText>
      </w:r>
      <w:r w:rsidR="001B5C0A" w:rsidRPr="001B5C0A">
        <w:rPr>
          <w:rFonts w:ascii="Arial" w:hAnsi="Arial" w:cs="Arial"/>
          <w:color w:val="000000" w:themeColor="text1"/>
          <w:sz w:val="21"/>
          <w:szCs w:val="21"/>
        </w:rPr>
        <w:fldChar w:fldCharType="separate"/>
      </w:r>
      <w:r w:rsidR="0050478C" w:rsidRPr="0050478C">
        <w:rPr>
          <w:rFonts w:ascii="Arial" w:hAnsi="Arial" w:cs="Arial"/>
          <w:sz w:val="21"/>
        </w:rPr>
        <w:t>(Vashisht et al. 2026)</w:t>
      </w:r>
      <w:r w:rsidR="001B5C0A" w:rsidRPr="001B5C0A">
        <w:rPr>
          <w:rFonts w:ascii="Arial" w:hAnsi="Arial" w:cs="Arial"/>
          <w:color w:val="000000" w:themeColor="text1"/>
          <w:sz w:val="21"/>
          <w:szCs w:val="21"/>
        </w:rPr>
        <w:fldChar w:fldCharType="end"/>
      </w:r>
      <w:r w:rsidRPr="001B5C0A">
        <w:rPr>
          <w:rFonts w:ascii="Arial" w:hAnsi="Arial" w:cs="Arial"/>
          <w:color w:val="000000" w:themeColor="text1"/>
          <w:sz w:val="21"/>
          <w:szCs w:val="21"/>
        </w:rPr>
        <w:t xml:space="preserve">. </w:t>
      </w:r>
    </w:p>
    <w:p w14:paraId="71065BBE" w14:textId="581790BE" w:rsidR="00F837DF" w:rsidRPr="00340959" w:rsidRDefault="00F837DF" w:rsidP="00340959">
      <w:pPr>
        <w:pStyle w:val="Heading1"/>
        <w:spacing w:before="0" w:after="0" w:line="360" w:lineRule="auto"/>
        <w:jc w:val="both"/>
        <w:rPr>
          <w:rFonts w:ascii="Arial" w:hAnsi="Arial" w:cs="Arial"/>
          <w:color w:val="000000" w:themeColor="text1"/>
          <w:sz w:val="21"/>
          <w:szCs w:val="21"/>
        </w:rPr>
      </w:pPr>
      <w:r w:rsidRPr="00340959">
        <w:rPr>
          <w:rFonts w:ascii="Arial" w:hAnsi="Arial" w:cs="Arial"/>
          <w:color w:val="000000" w:themeColor="text1"/>
          <w:sz w:val="21"/>
          <w:szCs w:val="21"/>
        </w:rPr>
        <w:t xml:space="preserve">Bayesian machine learning addresses these limitations in a coherent manner. Bayesian logistic regression and Gaussian process classifiers are machine learning algorithms that provide posterior </w:t>
      </w:r>
      <w:r w:rsidR="00023FB6">
        <w:rPr>
          <w:rFonts w:ascii="Arial" w:hAnsi="Arial" w:cs="Arial"/>
          <w:color w:val="000000" w:themeColor="text1"/>
          <w:sz w:val="21"/>
          <w:szCs w:val="21"/>
        </w:rPr>
        <w:t>predictive distributions rather than</w:t>
      </w:r>
      <w:r w:rsidRPr="00340959">
        <w:rPr>
          <w:rFonts w:ascii="Arial" w:hAnsi="Arial" w:cs="Arial"/>
          <w:color w:val="000000" w:themeColor="text1"/>
          <w:sz w:val="21"/>
          <w:szCs w:val="21"/>
        </w:rPr>
        <w:t xml:space="preserve"> point </w:t>
      </w:r>
      <w:r w:rsidR="00023FB6" w:rsidRPr="007E6071">
        <w:rPr>
          <w:rFonts w:ascii="Arial" w:hAnsi="Arial" w:cs="Arial"/>
          <w:color w:val="000000" w:themeColor="text1"/>
          <w:sz w:val="21"/>
          <w:szCs w:val="21"/>
        </w:rPr>
        <w:t>estimates</w:t>
      </w:r>
      <w:r w:rsidRPr="007E6071">
        <w:rPr>
          <w:rFonts w:ascii="Arial" w:hAnsi="Arial" w:cs="Arial"/>
          <w:color w:val="000000" w:themeColor="text1"/>
          <w:sz w:val="21"/>
          <w:szCs w:val="21"/>
        </w:rPr>
        <w:t xml:space="preserve"> </w:t>
      </w:r>
      <w:r w:rsidR="007E6071" w:rsidRPr="007E6071">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{"citationID":"T24RgZoC","properties":{"formattedCitation":"(Carleton et al. 2023)","plainCitation":"(Carleton et al. 2023)","noteIndex":0},"citationItems":[{"id":340,"uris":["http://zotero.org/users/local/emosa1lm/items/BVJJPI8W"],"itemData":{"id":340,"type":"article-journal","abstract":"Lidar (light-detection and ranging) has revolutionized archaeology. We are now able to produce high-resolution maps of archaeological surface features over vast areas, allowing us to see ancient land-use and anthropogenic landscape modification at previously un-imagined scales. In the tropics, this has enabled documentation of previously archaeologically unrecorded cities in various tropical regions, igniting scientific and popular interest in ancient tropical urbanism. An emerging challenge, however, is to add temporal depth to this torrent of new spatial data because traditional archaeological investigations are time consuming and inherently destructive. So far, we are aware of only one attempt to apply statistics and machine learning to remotely-sensed data in order to add time-depth to spatial data. Using temples at the well-known massive urban complex of Angkor in Cambodia as a case study, a predictive model was developed combining standard regression with novel machine learning methods to estimate temple foundation dates for undated Angkorian temples identified with remote sensing, including lidar. The model’s predictions were used to produce an historical population curve for Angkor and study urban expansion at this important ancient tropical urban centre. The approach, however, has certain limitations. Importantly, its handling of uncertainties leaves room for improvement, and like many machine learning approaches it is opaque regarding which predictor variables are most relevant. Here we describe a new study in which we investigated an alternative Bayesian regression approach applied to the same case study. We compare the two models in terms of their inner workings, results, and interpretive utility. We also use an updated database of Angkorian temples as the training dataset, allowing us to produce the most current estimate for temple foundations and historic spatiotemporal urban growth patterns at Angkor. Our results demonstrate that, in principle, predictive statistical and machine learning methods could be used to rapidly add chronological information to large lidar datasets and a Bayesian paradigm makes it possible to incorporate important uncertainties—especially chronological—into modelled temporal estimates.","container-title":"Scientific Reports","DOI":"10.1038/s41598-023-44875-0","ISSN":"2045-2322","issue":"1","journalAbbreviation":"Sci Rep","language":"en","license":"2023 The Author(s)","page":"17913","publisher":"Nature Publishing Group","source":"www.nature.com","title":"Bayesian regression versus machine learning for rapid age estimation of archaeological features identified with lidar at Angkor","volume":"13","author":[{"family":"Carleton","given":"W. Christopher"},{"family":"Klassen","given":"Sarah"},{"family":"Niles-Weed","given":"Jonathan"},{"family":"Evans","given":"Damian"},{"family":"Roberts","given":"Patrick"},{"family":"Groucutt","given":"Huw S."}],"issued":{"date-parts":[["2023",10,20]]}}}],"schema":"https://github.com/citation-style-language/schema/raw/master/csl-citation.json"} </w:instrText>
      </w:r>
      <w:r w:rsidR="007E6071" w:rsidRPr="007E6071">
        <w:rPr>
          <w:rFonts w:ascii="Arial" w:hAnsi="Arial" w:cs="Arial"/>
          <w:color w:val="000000" w:themeColor="text1"/>
          <w:sz w:val="21"/>
          <w:szCs w:val="21"/>
        </w:rPr>
        <w:fldChar w:fldCharType="separate"/>
      </w:r>
      <w:r w:rsidR="0050478C" w:rsidRPr="0050478C">
        <w:rPr>
          <w:rFonts w:ascii="Arial" w:hAnsi="Arial" w:cs="Arial"/>
          <w:sz w:val="21"/>
        </w:rPr>
        <w:t>(Carleton et al. 2023)</w:t>
      </w:r>
      <w:r w:rsidR="007E6071" w:rsidRPr="007E6071">
        <w:rPr>
          <w:rFonts w:ascii="Arial" w:hAnsi="Arial" w:cs="Arial"/>
          <w:color w:val="000000" w:themeColor="text1"/>
          <w:sz w:val="21"/>
          <w:szCs w:val="21"/>
        </w:rPr>
        <w:fldChar w:fldCharType="end"/>
      </w:r>
      <w:r w:rsidRPr="007E6071">
        <w:rPr>
          <w:rFonts w:ascii="Arial" w:hAnsi="Arial" w:cs="Arial"/>
          <w:color w:val="000000" w:themeColor="text1"/>
          <w:sz w:val="21"/>
          <w:szCs w:val="21"/>
        </w:rPr>
        <w:t xml:space="preserve">. This </w:t>
      </w:r>
      <w:r w:rsidRPr="00340959">
        <w:rPr>
          <w:rFonts w:ascii="Arial" w:hAnsi="Arial" w:cs="Arial"/>
          <w:color w:val="000000" w:themeColor="text1"/>
          <w:sz w:val="21"/>
          <w:szCs w:val="21"/>
        </w:rPr>
        <w:t xml:space="preserve">ability is especially advantageous in hilly urban settings, where significant epistemic uncertainty accompanies </w:t>
      </w:r>
      <w:r w:rsidR="00023FB6">
        <w:rPr>
          <w:rFonts w:ascii="Arial" w:hAnsi="Arial" w:cs="Arial"/>
          <w:color w:val="000000" w:themeColor="text1"/>
          <w:sz w:val="21"/>
          <w:szCs w:val="21"/>
        </w:rPr>
        <w:t>assessments of landslide susceptibility in data-poor contexts due to</w:t>
      </w:r>
      <w:r w:rsidRPr="00340959">
        <w:rPr>
          <w:rFonts w:ascii="Arial" w:hAnsi="Arial" w:cs="Arial"/>
          <w:color w:val="000000" w:themeColor="text1"/>
          <w:sz w:val="21"/>
          <w:szCs w:val="21"/>
        </w:rPr>
        <w:t xml:space="preserve"> diverse and overlapping conditioning factors </w:t>
      </w:r>
      <w:r w:rsidR="005D0279"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{"citationID":"oxwrsFMZ","properties":{"formattedCitation":"(Chowdhury et al. 2023)","plainCitation":"(Chowdhury et al. 2023)","noteIndex":0},"citationItems":[{"id":112,"uris":["http://zotero.org/users/local/emosa1lm/items/XMLKD9BJ"],"itemData":{"id":112,"type":"article-journal","container-title":"Heliyon","DOI":"10.1016/j.heliyon.2023.e23424","ISSN":"2405-8440","issue":"1","PMID":"38163149","publisher":"Elsevier BV","title":"GIS-based landslide susceptibility mapping using logistic regression, random forest and decision and regression tree models in Chattogram District, Bangladesh","URL":"https://doi.org/10.1016/j.heliyon.2023.e23424","volume":"10","author":[{"family":"Chowdhury","given":"Md Sharafat"},{"family":"Rahman","given":"Md Naimur"},{"family":"Sheikh","given":"Md Sujon"},{"family":"Sayeid","given":"Md Abu"},{"family":"Mahmud","given":"Khandakar Hasan"},{"family":"Hafsa","given":"Bibi"}],"issued":{"date-parts":[["2023",12]]}}}],"schema":"https://github.com/citation-style-language/schema/raw/master/csl-citation.json"} </w:instrText>
      </w:r>
      <w:r w:rsidR="005D0279" w:rsidRPr="00340959">
        <w:rPr>
          <w:rFonts w:ascii="Arial" w:hAnsi="Arial" w:cs="Arial"/>
          <w:color w:val="000000" w:themeColor="text1"/>
          <w:sz w:val="21"/>
          <w:szCs w:val="21"/>
        </w:rPr>
        <w:fldChar w:fldCharType="separate"/>
      </w:r>
      <w:r w:rsidR="0050478C" w:rsidRPr="0050478C">
        <w:rPr>
          <w:rFonts w:ascii="Arial" w:hAnsi="Arial" w:cs="Arial"/>
          <w:sz w:val="21"/>
        </w:rPr>
        <w:t>(Chowdhury et al. 2023)</w:t>
      </w:r>
      <w:r w:rsidR="005D0279"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 xml:space="preserve">. In addition, mitigation actions such as the reinforcement of slopes, improvement of drainage, or even relocation </w:t>
      </w:r>
      <w:r w:rsidRPr="00340959">
        <w:rPr>
          <w:rFonts w:ascii="Arial" w:hAnsi="Arial" w:cs="Arial"/>
          <w:color w:val="000000" w:themeColor="text1"/>
          <w:sz w:val="21"/>
          <w:szCs w:val="21"/>
        </w:rPr>
        <w:lastRenderedPageBreak/>
        <w:t xml:space="preserve">need to be informed not only by where landslides are likely to happen but also by how confident we are in these predictions </w:t>
      </w:r>
      <w:r w:rsidR="005D0279" w:rsidRPr="00340959">
        <w:rPr>
          <w:rFonts w:ascii="Arial" w:hAnsi="Arial" w:cs="Arial"/>
          <w:color w:val="000000" w:themeColor="text1"/>
          <w:sz w:val="21"/>
          <w:szCs w:val="21"/>
        </w:rPr>
        <w:fldChar w:fldCharType="begin"/>
      </w:r>
      <w:r w:rsidR="0050478C">
        <w:rPr>
          <w:rFonts w:ascii="Arial" w:hAnsi="Arial" w:cs="Arial"/>
          <w:color w:val="000000" w:themeColor="text1"/>
          <w:sz w:val="21"/>
          <w:szCs w:val="21"/>
        </w:rPr>
        <w:instrText xml:space="preserve"> ADDIN ZOTERO_ITEM CSL_CITATION {"citationID":"KD1Us9S0","properties":{"formattedCitation":"(Pareek et al. 2024)","plainCitation":"(Pareek et al. 2024)","noteIndex":0},"citationItems":[{"id":126,"uris":["http://zotero.org/users/local/emosa1lm/items/BYMXKHHG"],"itemData":{"id":126,"type":"article-journal","abstract":"Abstract Landslide susceptibility maps serve as the basis for hazard and risk assessment, as well as risk-informed land use planning at various spatial scales. Researchers create these maps aiming to fulfil a variety of purposes, including infrastructure planning and restrictive land use zoning. These applications require accurate and specific information to fulfil these purposes, as decisions based on these maps have the potential to cost lives and cause infrastructure damage. The usability of the maps depends on whether they provide the required information and their accuracy to be utilized for the intended purpose. Therefore, assessing the usability and predictive accuracy of landslide susceptibility maps is of paramount importance. Typically, the accuracy of the maps is evaluated using the same landslide inventory that was used to create the map, which does not actually test the predictive ability of the maps in future situations. In this study, we briefly reviewed the purposes of the map creation using literature and stakeholder interviews and assessed the accuracy of three landslide susceptibility maps in a posterior manner. We generated a multi-temporal landslide event inventory after the creation dates of these landslide susceptibility maps. We devised a method to evaluate classified maps by making use of Unique Conditions Units (UCUs) to compare the posteriorly predicted susceptibility classes and the new landslide occurrences. Interviews with stakeholders revealed a disconnection between the aims set forth by map producers and the specific needs of the end users. Our posterior assessment shows that overall predictions of the maps provide plausible results; however, their interpretations for different use cases make them less likely to be used. When comparing the maps using UCUs, landslide densities overlap between the different susceptibility classes, indicating low predictive performance of the maps. Direct comparison of all maps shows a low agreement between susceptibility classes, which pinpoints the uncertainties in data and methods used to create different maps. This study highlights the need for purpose-oriented landslide susceptibility mapping and posterior assessment of the predictive capabilities of these maps aiming to fulfil respective purposes.","container-title":"Landslides","DOI":"10.1007/s10346-024-02389-4","ISSN":"1612-510X, 1612-5118","issue":"3","page":"655-670","publisher":"Springer Science+Business Media","title":"Analyzing the posterior predictive capability and usability of landslide susceptibility maps: a case of Kerala, India","volume":"22","author":[{"family":"Pareek","given":"Tanuj"},{"family":"Bhuyan","given":"Kushanav"},{"family":"Westen","given":"C. J.","dropping-particle":"van"},{"family":"Rajaneesh","given":"A."},{"family":"Sajinkumar","given":"K. S."},{"family":"Lombardo","given":"Luigi"}],"issued":{"date-parts":[["2024",10]]}}}],"schema":"https://github.com/citation-style-language/schema/raw/master/csl-citation.json"} </w:instrText>
      </w:r>
      <w:r w:rsidR="005D0279" w:rsidRPr="00340959">
        <w:rPr>
          <w:rFonts w:ascii="Arial" w:hAnsi="Arial" w:cs="Arial"/>
          <w:color w:val="000000" w:themeColor="text1"/>
          <w:sz w:val="21"/>
          <w:szCs w:val="21"/>
        </w:rPr>
        <w:fldChar w:fldCharType="separate"/>
      </w:r>
      <w:r w:rsidR="0050478C" w:rsidRPr="0050478C">
        <w:rPr>
          <w:rFonts w:ascii="Arial" w:hAnsi="Arial" w:cs="Arial"/>
          <w:sz w:val="21"/>
        </w:rPr>
        <w:t>(Pareek et al. 2024)</w:t>
      </w:r>
      <w:r w:rsidR="005D0279" w:rsidRPr="00340959">
        <w:rPr>
          <w:rFonts w:ascii="Arial" w:hAnsi="Arial" w:cs="Arial"/>
          <w:color w:val="000000" w:themeColor="text1"/>
          <w:sz w:val="21"/>
          <w:szCs w:val="21"/>
        </w:rPr>
        <w:fldChar w:fldCharType="end"/>
      </w:r>
      <w:r w:rsidRPr="00340959">
        <w:rPr>
          <w:rFonts w:ascii="Arial" w:hAnsi="Arial" w:cs="Arial"/>
          <w:color w:val="000000" w:themeColor="text1"/>
          <w:sz w:val="21"/>
          <w:szCs w:val="21"/>
        </w:rPr>
        <w:t>.</w:t>
      </w:r>
    </w:p>
    <w:p w14:paraId="5C952753" w14:textId="587CF64E" w:rsidR="00F837DF" w:rsidRDefault="00F837DF" w:rsidP="00340959">
      <w:pPr>
        <w:pStyle w:val="Heading1"/>
        <w:spacing w:before="0" w:after="0" w:line="360" w:lineRule="auto"/>
        <w:jc w:val="both"/>
        <w:rPr>
          <w:rFonts w:ascii="Arial" w:hAnsi="Arial" w:cs="Arial"/>
          <w:color w:val="000000" w:themeColor="text1"/>
          <w:sz w:val="21"/>
          <w:szCs w:val="21"/>
        </w:rPr>
      </w:pPr>
      <w:r w:rsidRPr="00340959">
        <w:rPr>
          <w:rFonts w:ascii="Arial" w:hAnsi="Arial" w:cs="Arial"/>
          <w:color w:val="000000" w:themeColor="text1"/>
          <w:sz w:val="21"/>
          <w:szCs w:val="21"/>
        </w:rPr>
        <w:t>Addressing these methodological and practical gaps, this study proposes a reproducible</w:t>
      </w:r>
      <w:r w:rsidR="00023FB6">
        <w:rPr>
          <w:rFonts w:ascii="Arial" w:hAnsi="Arial" w:cs="Arial"/>
          <w:color w:val="000000" w:themeColor="text1"/>
          <w:sz w:val="21"/>
          <w:szCs w:val="21"/>
        </w:rPr>
        <w:t>, uncertainty-aware modeling framework for LSM on urban hillslopes in regions such as</w:t>
      </w:r>
      <w:r w:rsidRPr="00340959">
        <w:rPr>
          <w:rFonts w:ascii="Arial" w:hAnsi="Arial" w:cs="Arial"/>
          <w:color w:val="000000" w:themeColor="text1"/>
          <w:sz w:val="21"/>
          <w:szCs w:val="21"/>
        </w:rPr>
        <w:t xml:space="preserve"> </w:t>
      </w:r>
      <w:r w:rsidR="00023FB6">
        <w:rPr>
          <w:rFonts w:ascii="Arial" w:hAnsi="Arial" w:cs="Arial"/>
          <w:color w:val="000000" w:themeColor="text1"/>
          <w:sz w:val="21"/>
          <w:szCs w:val="21"/>
        </w:rPr>
        <w:t>Chattogram</w:t>
      </w:r>
      <w:r w:rsidRPr="00340959">
        <w:rPr>
          <w:rFonts w:ascii="Arial" w:hAnsi="Arial" w:cs="Arial"/>
          <w:color w:val="000000" w:themeColor="text1"/>
          <w:sz w:val="21"/>
          <w:szCs w:val="21"/>
        </w:rPr>
        <w:t xml:space="preserve">, Bangladesh. The framework incorporates spatial validation, probabilistic calibration assessment, and uncertainty quantification. </w:t>
      </w:r>
      <w:r w:rsidR="003C6790">
        <w:rPr>
          <w:rFonts w:ascii="Arial" w:hAnsi="Arial" w:cs="Arial"/>
          <w:color w:val="000000" w:themeColor="text1"/>
          <w:sz w:val="21"/>
          <w:szCs w:val="21"/>
        </w:rPr>
        <w:t>P</w:t>
      </w:r>
      <w:r w:rsidRPr="00340959">
        <w:rPr>
          <w:rFonts w:ascii="Arial" w:hAnsi="Arial" w:cs="Arial"/>
          <w:color w:val="000000" w:themeColor="text1"/>
          <w:sz w:val="21"/>
          <w:szCs w:val="21"/>
        </w:rPr>
        <w:t xml:space="preserve">erformance estimates (statistically robust and spatially realistic) </w:t>
      </w:r>
      <w:r w:rsidR="003C6790">
        <w:rPr>
          <w:rFonts w:ascii="Arial" w:hAnsi="Arial" w:cs="Arial"/>
          <w:color w:val="000000" w:themeColor="text1"/>
          <w:sz w:val="21"/>
          <w:szCs w:val="21"/>
        </w:rPr>
        <w:t xml:space="preserve">were compared </w:t>
      </w:r>
      <w:r w:rsidRPr="00340959">
        <w:rPr>
          <w:rFonts w:ascii="Arial" w:hAnsi="Arial" w:cs="Arial"/>
          <w:color w:val="000000" w:themeColor="text1"/>
          <w:sz w:val="21"/>
          <w:szCs w:val="21"/>
        </w:rPr>
        <w:t xml:space="preserve">under repeated stratified cross-validation, spatial block cross-validation, and independent holdout testing for both deterministic and Bayesian classifiers. Model evaluation goes beyond measures of </w:t>
      </w:r>
      <w:r w:rsidR="003C6790" w:rsidRPr="00340959">
        <w:rPr>
          <w:rFonts w:ascii="Arial" w:hAnsi="Arial" w:cs="Arial"/>
          <w:color w:val="000000" w:themeColor="text1"/>
          <w:sz w:val="21"/>
          <w:szCs w:val="21"/>
        </w:rPr>
        <w:t xml:space="preserve">discrimination </w:t>
      </w:r>
      <w:r w:rsidR="003C6790">
        <w:rPr>
          <w:rFonts w:ascii="Arial" w:hAnsi="Arial" w:cs="Arial"/>
          <w:color w:val="000000" w:themeColor="text1"/>
          <w:sz w:val="21"/>
          <w:szCs w:val="21"/>
        </w:rPr>
        <w:t>to include calibration metrics that assess how predicted probabilities relate to observed landslide occurrence rates</w:t>
      </w:r>
      <w:r w:rsidRPr="00340959">
        <w:rPr>
          <w:rFonts w:ascii="Arial" w:hAnsi="Arial" w:cs="Arial"/>
          <w:color w:val="000000" w:themeColor="text1"/>
          <w:sz w:val="21"/>
          <w:szCs w:val="21"/>
        </w:rPr>
        <w:t xml:space="preserve">. Although several algorithms are benchmarked under identical conditions, final deployment is limited to Bayesian classifiers that generate posterior predictive distributions and associated uncertainty surfaces.This study contributes to improving LSM practice for evidence-based intervention planning in data-scarce urban hill regions </w:t>
      </w:r>
      <w:r w:rsidR="003C6790">
        <w:rPr>
          <w:rFonts w:ascii="Arial" w:hAnsi="Arial" w:cs="Arial"/>
          <w:color w:val="000000" w:themeColor="text1"/>
          <w:sz w:val="21"/>
          <w:szCs w:val="21"/>
        </w:rPr>
        <w:t>by integrating predictive accuracy, robust</w:t>
      </w:r>
      <w:r w:rsidRPr="00340959">
        <w:rPr>
          <w:rFonts w:ascii="Arial" w:hAnsi="Arial" w:cs="Arial"/>
          <w:color w:val="000000" w:themeColor="text1"/>
          <w:sz w:val="21"/>
          <w:szCs w:val="21"/>
        </w:rPr>
        <w:t xml:space="preserve"> spatial validation, probabilistic classification, and explicit uncertainty representation.</w:t>
      </w:r>
    </w:p>
    <w:p w14:paraId="7ED189C0" w14:textId="77777777" w:rsidR="003C6790" w:rsidRPr="00340959" w:rsidRDefault="003C6790" w:rsidP="00340959">
      <w:pPr>
        <w:pStyle w:val="Heading1"/>
        <w:spacing w:before="0" w:after="0" w:line="360" w:lineRule="auto"/>
        <w:jc w:val="both"/>
        <w:rPr>
          <w:rFonts w:ascii="Arial" w:hAnsi="Arial" w:cs="Arial"/>
          <w:color w:val="000000" w:themeColor="text1"/>
          <w:sz w:val="21"/>
          <w:szCs w:val="21"/>
        </w:rPr>
      </w:pPr>
    </w:p>
    <w:p w14:paraId="64657884" w14:textId="6B2EEBE8" w:rsidR="005B28E8" w:rsidRPr="0025506D" w:rsidRDefault="00000000" w:rsidP="00340959">
      <w:pPr>
        <w:pStyle w:val="Heading1"/>
        <w:spacing w:before="0" w:after="0" w:line="360" w:lineRule="auto"/>
        <w:rPr>
          <w:rFonts w:ascii="Arial" w:hAnsi="Arial" w:cs="Arial"/>
          <w:b/>
          <w:bCs/>
          <w:color w:val="7030A0"/>
          <w:sz w:val="21"/>
          <w:szCs w:val="21"/>
        </w:rPr>
      </w:pPr>
      <w:r w:rsidRPr="0025506D">
        <w:rPr>
          <w:rFonts w:ascii="Arial" w:hAnsi="Arial" w:cs="Arial"/>
          <w:b/>
          <w:bCs/>
          <w:color w:val="7030A0"/>
          <w:sz w:val="21"/>
          <w:szCs w:val="21"/>
        </w:rPr>
        <w:t>Study Area</w:t>
      </w:r>
    </w:p>
    <w:p w14:paraId="6DE6148A" w14:textId="06DD0AEF" w:rsidR="00F837DF" w:rsidRPr="00340959" w:rsidRDefault="00F837DF"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The study area is situated in the Chattogram Metropolitan Area (CMA), Bangladesh. CMA is located roughly between (22°06′N–22°34′N) latitude and (91°40′E–92°02′E) longitude, covering an area of about 775 km² </w:t>
      </w:r>
      <w:r w:rsidR="00426A1F"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{"citationID":"EC2U1951","properties":{"formattedCitation":"(Chowdhury et al. 2023)","plainCitation":"(Chowdhury et al. 2023)","noteIndex":0},"citationItems":[{"id":112,"uris":["http://zotero.org/users/local/emosa1lm/items/XMLKD9BJ"],"itemData":{"id":112,"type":"article-journal","container-title":"Heliyon","DOI":"10.1016/j.heliyon.2023.e23424","ISSN":"2405-8440","issue":"1","PMID":"38163149","publisher":"Elsevier BV","title":"GIS-based landslide susceptibility mapping using logistic regression, random forest and decision and regression tree models in Chattogram District, Bangladesh","URL":"https://doi.org/10.1016/j.heliyon.2023.e23424","volume":"10","author":[{"family":"Chowdhury","given":"Md Sharafat"},{"family":"Rahman","given":"Md Naimur"},{"family":"Sheikh","given":"Md Sujon"},{"family":"Sayeid","given":"Md Abu"},{"family":"Mahmud","given":"Khandakar Hasan"},{"family":"Hafsa","given":"Bibi"}],"issued":{"date-parts":[["2023",12]]}}}],"schema":"https://github.com/citation-style-language/schema/raw/master/csl-citation.json"} </w:instrText>
      </w:r>
      <w:r w:rsidR="00426A1F" w:rsidRPr="00340959">
        <w:rPr>
          <w:rFonts w:ascii="Arial" w:hAnsi="Arial" w:cs="Arial"/>
          <w:color w:val="000000"/>
          <w:sz w:val="21"/>
          <w:szCs w:val="21"/>
        </w:rPr>
        <w:fldChar w:fldCharType="separate"/>
      </w:r>
      <w:r w:rsidR="0050478C" w:rsidRPr="0050478C">
        <w:rPr>
          <w:rFonts w:ascii="Arial" w:hAnsi="Arial" w:cs="Arial"/>
          <w:sz w:val="21"/>
        </w:rPr>
        <w:t>(Chowdhury et al. 2023)</w:t>
      </w:r>
      <w:r w:rsidR="00426A1F" w:rsidRPr="00340959">
        <w:rPr>
          <w:rFonts w:ascii="Arial" w:hAnsi="Arial" w:cs="Arial"/>
          <w:color w:val="000000"/>
          <w:sz w:val="21"/>
          <w:szCs w:val="21"/>
        </w:rPr>
        <w:fldChar w:fldCharType="end"/>
      </w:r>
      <w:r w:rsidRPr="00340959">
        <w:rPr>
          <w:rFonts w:ascii="Arial" w:hAnsi="Arial" w:cs="Arial"/>
          <w:color w:val="000000"/>
          <w:sz w:val="21"/>
          <w:szCs w:val="21"/>
        </w:rPr>
        <w:t xml:space="preserve">. Within CMA, the study area covers a spatially continuous terrain covering Fatehpur Union and parts of several wards under Chattogram City Corporation (CCC) jurisdiction, as well as adjacent administrative areas associated with Bayezid Bostami, Khulshi, Kotwali, and Panchlaish thanas </w:t>
      </w:r>
      <w:r w:rsidR="00426A1F"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{"citationID":"CAPXBPDO","properties":{"formattedCitation":"(Ahmed 2014)","plainCitation":"(Ahmed 2014)","noteIndex":0},"citationItems":[{"id":127,"uris":["http://zotero.org/users/local/emosa1lm/items/FTMSEJTB"],"itemData":{"id":127,"type":"article-journal","abstract":"Landslides are a common hazard in the highly urbanized hilly areas in Chittagong Metropolitan Area (CMA), Bangladesh. The main cause of the landslides is torrential rain in short period of time. This area experiences several landslides each year, resulting in casualties, property damage, and economic loss. Therefore, the primary objective of this research is to produce the Landslide Susceptibility Maps for CMA so that appropriate landslide disaster risk reduction strategies can be developed. In this research, three different Geographic Information System-based Multi-Criteria Decision Analysis methods—the Artificial Hierarchy Process (AHP), Weighted Linear Combination (WLC), and Ordered Weighted Average (OWA)—were applied to scientifically assess the landslide susceptible areas in CMA. Nine different thematic layers or landslide causative factors were considered. Then, seven different landslide susceptible scenarios were generated based on the three weighted overlay techniques. Later, the performances of the methods were validated using the area under the relative operating characteristic curves. The accuracies of the landslide susceptibility maps produced by the AHP, WLC_1, WLC_2, WLC_3, OWA_1, OWA_2, and OWA_3 methods were found as 89.80, 83.90, 91.10, 88.50, 90.40, 95.10, and 87.10 %, respectively. The verification results showed satisfactory agreement between the susceptibility maps produced and the existing data on the 20 historical landslide locations.","container-title":"Landslides","DOI":"10.1007/s10346-014-0521-x","ISSN":"1612-510X, 1612-5118","issue":"6","page":"1077-1095","publisher":"Springer Science+Business Media","title":"Landslide susceptibility mapping using multi-criteria evaluation techniques in Chittagong Metropolitan Area, Bangladesh","volume":"12","author":[{"family":"Ahmed","given":"Bayes"}],"issued":{"date-parts":[["2014",11]]}}}],"schema":"https://github.com/citation-style-language/schema/raw/master/csl-citation.json"} </w:instrText>
      </w:r>
      <w:r w:rsidR="00426A1F" w:rsidRPr="00340959">
        <w:rPr>
          <w:rFonts w:ascii="Arial" w:hAnsi="Arial" w:cs="Arial"/>
          <w:color w:val="000000"/>
          <w:sz w:val="21"/>
          <w:szCs w:val="21"/>
        </w:rPr>
        <w:fldChar w:fldCharType="separate"/>
      </w:r>
      <w:r w:rsidR="0050478C" w:rsidRPr="0050478C">
        <w:rPr>
          <w:rFonts w:ascii="Arial" w:hAnsi="Arial" w:cs="Arial"/>
          <w:sz w:val="21"/>
        </w:rPr>
        <w:t>(Ahmed 2014)</w:t>
      </w:r>
      <w:r w:rsidR="00426A1F" w:rsidRPr="00340959">
        <w:rPr>
          <w:rFonts w:ascii="Arial" w:hAnsi="Arial" w:cs="Arial"/>
          <w:color w:val="000000"/>
          <w:sz w:val="21"/>
          <w:szCs w:val="21"/>
        </w:rPr>
        <w:fldChar w:fldCharType="end"/>
      </w:r>
      <w:r w:rsidRPr="00340959">
        <w:rPr>
          <w:rFonts w:ascii="Arial" w:hAnsi="Arial" w:cs="Arial"/>
          <w:color w:val="000000"/>
          <w:sz w:val="21"/>
          <w:szCs w:val="21"/>
        </w:rPr>
        <w:t>.</w:t>
      </w:r>
    </w:p>
    <w:p w14:paraId="2EAEEC91" w14:textId="501B2091" w:rsidR="00F837DF" w:rsidRPr="00340959" w:rsidRDefault="00F837DF"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The studied region is characterized by a typical geomorphological feature of </w:t>
      </w:r>
      <w:r w:rsidR="00DA73E5">
        <w:rPr>
          <w:rFonts w:ascii="Arial" w:hAnsi="Arial" w:cs="Arial"/>
          <w:color w:val="000000"/>
          <w:sz w:val="21"/>
          <w:szCs w:val="21"/>
        </w:rPr>
        <w:t xml:space="preserve">the </w:t>
      </w:r>
      <w:r w:rsidRPr="00340959">
        <w:rPr>
          <w:rFonts w:ascii="Arial" w:hAnsi="Arial" w:cs="Arial"/>
          <w:color w:val="000000"/>
          <w:sz w:val="21"/>
          <w:szCs w:val="21"/>
        </w:rPr>
        <w:t>Chattogram metropolitan hill system, an amalgamated topography composed of varied elevations, moderate to steep slopes separated from each other by low-lying plains</w:t>
      </w:r>
      <w:r w:rsidR="00426A1F" w:rsidRPr="00340959">
        <w:rPr>
          <w:rFonts w:ascii="Arial" w:hAnsi="Arial" w:cs="Arial"/>
          <w:color w:val="000000"/>
          <w:sz w:val="21"/>
          <w:szCs w:val="21"/>
        </w:rPr>
        <w:t xml:space="preserve"> </w:t>
      </w:r>
      <w:r w:rsidR="00426A1F"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{"citationID":"F43ElVOq","properties":{"formattedCitation":"(Islam et al. 2021)","plainCitation":"(Islam et al. 2021)","noteIndex":0},"citationItems":[{"id":128,"uris":["http://zotero.org/users/local/emosa1lm/items/9R58KAEW"],"itemData":{"id":128,"type":"article-journal","abstract":"In this study, an attempt is made to uncover and discuss the geo-environmental characteristics, triggers, and consequences of a landslide disaster in the Chattogram Hill Tracts (CHT) region of Bangladesh. The hilly areas are composed of Tertiary and Quaternary sediments which have been folded, faulted, uplifted and, then deeply dissected by rivers and other water bodies. This paper presents a case study on the geotechnical investigation and numerical modeling of the landslides of 13 June 2017. A field visit and soil sample collection, followed by laboratory testing were conducted at the landslide-afflicted areas. The study revealed that the soil type was an important factor behind landslides, while high precipitation, hill cutting, deforestation, and unplanned human settlements act as contributing factors behind the landslide disaster. Extensive analysis of the geotechnical facts has been carried out, and an attempt is made to pinpoint the cause. A finite element modeling was conducted using PLAXIS 2D to investigate the failure mechanism. The numerical modeling results have suggested that most of the hill slopes were susceptible to failure after heavy rainfall. A conclusion is drawn that the landslides were triggered by incessant rainfall infiltrating into the subsoil, which led to a notable increase in its degree of saturation and a simultaneous reduction in suction and shear strength of the soil.","container-title":"Geosciences","DOI":"10.3390/geosciences11080337","ISSN":"2076-3263","issue":"8","page":"337-337","publisher":"Multidisciplinary Digital Publishing Institute","title":"A Geotechnical Investigation of 2017 Chattogram Landslides","volume":"11","author":[{"family":"Islam","given":"Md Azijul"},{"family":"Islam","given":"Mohammad Shariful"},{"family":"Jeet","given":"Abhijeet Acharjee"}],"issued":{"date-parts":[["2021",8]]}}}],"schema":"https://github.com/citation-style-language/schema/raw/master/csl-citation.json"} </w:instrText>
      </w:r>
      <w:r w:rsidR="00426A1F" w:rsidRPr="00340959">
        <w:rPr>
          <w:rFonts w:ascii="Arial" w:hAnsi="Arial" w:cs="Arial"/>
          <w:color w:val="000000"/>
          <w:sz w:val="21"/>
          <w:szCs w:val="21"/>
        </w:rPr>
        <w:fldChar w:fldCharType="separate"/>
      </w:r>
      <w:r w:rsidR="0050478C" w:rsidRPr="0050478C">
        <w:rPr>
          <w:rFonts w:ascii="Arial" w:hAnsi="Arial" w:cs="Arial"/>
          <w:sz w:val="21"/>
        </w:rPr>
        <w:t>(Islam et al. 2021)</w:t>
      </w:r>
      <w:r w:rsidR="00426A1F" w:rsidRPr="00340959">
        <w:rPr>
          <w:rFonts w:ascii="Arial" w:hAnsi="Arial" w:cs="Arial"/>
          <w:color w:val="000000"/>
          <w:sz w:val="21"/>
          <w:szCs w:val="21"/>
        </w:rPr>
        <w:fldChar w:fldCharType="end"/>
      </w:r>
      <w:r w:rsidRPr="00340959">
        <w:rPr>
          <w:rFonts w:ascii="Arial" w:hAnsi="Arial" w:cs="Arial"/>
          <w:color w:val="000000"/>
          <w:sz w:val="21"/>
          <w:szCs w:val="21"/>
        </w:rPr>
        <w:t>. Elevation can change significantly over short spatial distances, leading to localized areas of slope instability</w:t>
      </w:r>
      <w:r w:rsidR="00713DAE" w:rsidRPr="00340959">
        <w:rPr>
          <w:rFonts w:ascii="Arial" w:hAnsi="Arial" w:cs="Arial"/>
          <w:color w:val="000000"/>
          <w:sz w:val="21"/>
          <w:szCs w:val="21"/>
        </w:rPr>
        <w:t xml:space="preserve"> </w:t>
      </w:r>
      <w:r w:rsidR="00426A1F"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{"citationID":"FUd16RKh","properties":{"formattedCitation":"(Song et al. 2023)","plainCitation":"(Song et al. 2023)","noteIndex":0},"citationItems":[{"id":129,"uris":["http://zotero.org/users/local/emosa1lm/items/9FUQBHMC"],"itemData":{"id":129,"type":"article-journal","abstract":"The Himalayan alpine canyon area is characterized by complex engineering geological conditions and abnormal internal and external dynamic geological processes. Severe slope disturbance disasters can be caused by engineering disturbances. In this study, field investigations and theoretical analyses were performed to determine the formation mechanism, spatial distribution law, and controlling factors of engineering disturbance disasters in the Himalayan alpine and canyon areas. A total of 396 engineering disturbance disasters were identified within the scope of the 2,800-km survey line. A geographic information system and mathematical statistical analysis were used to analyze the correlation between engineering disturbance disasters and factors such as the slope, slope aspect, elevation, peak ground acceleration, distance from fault, distance from river, rainfall, lithological changes, and historical earthquake effects. The statistical analysis indicates a good power-law and exponential distribution between the engineering disturbance disaster concentration and the slope and distance from the river, respectively. The slope and distance from the river are the two most important factors in determining the spatial distribution of engineering disturbance disasters; the other factors also influence the distribution to some extent. These factors affect the quality of the slope rock and soil mass, affecting slope stability. The main form of engineering disturbance in the study area is slope cutting. The direct result (increase in slope) and secondary result (decrease in rock mass quality caused by unloading rebound) of slope cutting are the most important factors inducing engineering disturbance disasters. Based on previous research results, factors in engineering disturbance disasters in alpine and canyon areas were evaluated, and the distribution of disturbance disasters along the China–Nepal Railway was predicted. The study area was divided into extremely high-(13.6%), high-(30.4%), medium-(34.1%), and low-susceptibility (22.0%) areas. The research results can provide a theoretical basis for prevention and treatment of engineering disturbance disasters in Himalayan alpine valley areas.","container-title":"Frontiers in Earth Science","DOI":"10.3389/feart.2022.1098631","ISSN":"2296-6463","publisher":"Frontiers Media","title":"Spatial distribution analysis and application of engineering disturbance disasters in the Himalayan alpine valley","URL":"https://doi.org/10.3389/feart.2022.1098631","volume":"10","author":[{"family":"Song","given":"Yewei"},{"family":"Guo","given":"Jie"},{"family":"Ma","given":"Fengshan"},{"family":"Liu","given":"Jia"},{"family":"Li","given":"Guang"}],"issued":{"date-parts":[["2023",1]]}}}],"schema":"https://github.com/citation-style-language/schema/raw/master/csl-citation.json"} </w:instrText>
      </w:r>
      <w:r w:rsidR="00426A1F" w:rsidRPr="00340959">
        <w:rPr>
          <w:rFonts w:ascii="Arial" w:hAnsi="Arial" w:cs="Arial"/>
          <w:color w:val="000000"/>
          <w:sz w:val="21"/>
          <w:szCs w:val="21"/>
        </w:rPr>
        <w:fldChar w:fldCharType="separate"/>
      </w:r>
      <w:r w:rsidR="0050478C" w:rsidRPr="0050478C">
        <w:rPr>
          <w:rFonts w:ascii="Arial" w:hAnsi="Arial" w:cs="Arial"/>
          <w:sz w:val="21"/>
        </w:rPr>
        <w:t>(Song et al. 2023)</w:t>
      </w:r>
      <w:r w:rsidR="00426A1F" w:rsidRPr="00340959">
        <w:rPr>
          <w:rFonts w:ascii="Arial" w:hAnsi="Arial" w:cs="Arial"/>
          <w:color w:val="000000"/>
          <w:sz w:val="21"/>
          <w:szCs w:val="21"/>
        </w:rPr>
        <w:fldChar w:fldCharType="end"/>
      </w:r>
      <w:r w:rsidRPr="00340959">
        <w:rPr>
          <w:rFonts w:ascii="Arial" w:hAnsi="Arial" w:cs="Arial"/>
          <w:color w:val="000000"/>
          <w:sz w:val="21"/>
          <w:szCs w:val="21"/>
        </w:rPr>
        <w:t xml:space="preserve">. Natural relief has been modified due to rapid urban growth, hill cutting, road construction, and changing land use, which has increased landslide susceptibility </w:t>
      </w:r>
      <w:r w:rsidR="00426A1F"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{"citationID":"uBXPblmK","properties":{"formattedCitation":"(Hen-Jones et al. 2025)","plainCitation":"(Hen-Jones et al. 2025)","noteIndex":0},"citationItems":[{"id":130,"uris":["http://zotero.org/users/local/emosa1lm/items/PVA2CTCE"],"itemData":{"id":130,"type":"article-journal","container-title":"Landslides","DOI":"10.1007/s10346-025-02608-6","ISSN":"1612-510X, 1612-5118","publisher":"Springer Science+Business Media","title":"Community-scale slope stability assessment of urbanisation scenarios in North Quito, Ecuador","URL":"https://doi.org/10.1007/s10346-025-02608-6","author":[{"family":"Hen-Jones","given":"R."},{"family":"Zapata","given":"C."},{"family":"Jiménez","given":"E."},{"family":"Holcombe","given":"Elizabeth"},{"family":"Vardanega","given":"Paul J."}],"issued":{"date-parts":[["2025",9]]}}}],"schema":"https://github.com/citation-style-language/schema/raw/master/csl-citation.json"} </w:instrText>
      </w:r>
      <w:r w:rsidR="00426A1F" w:rsidRPr="00340959">
        <w:rPr>
          <w:rFonts w:ascii="Arial" w:hAnsi="Arial" w:cs="Arial"/>
          <w:color w:val="000000"/>
          <w:sz w:val="21"/>
          <w:szCs w:val="21"/>
        </w:rPr>
        <w:fldChar w:fldCharType="separate"/>
      </w:r>
      <w:r w:rsidR="0050478C" w:rsidRPr="0050478C">
        <w:rPr>
          <w:rFonts w:ascii="Arial" w:hAnsi="Arial" w:cs="Arial"/>
          <w:sz w:val="21"/>
        </w:rPr>
        <w:t>(Hen-Jones et al. 2025)</w:t>
      </w:r>
      <w:r w:rsidR="00426A1F" w:rsidRPr="00340959">
        <w:rPr>
          <w:rFonts w:ascii="Arial" w:hAnsi="Arial" w:cs="Arial"/>
          <w:color w:val="000000"/>
          <w:sz w:val="21"/>
          <w:szCs w:val="21"/>
        </w:rPr>
        <w:fldChar w:fldCharType="end"/>
      </w:r>
      <w:r w:rsidRPr="00340959">
        <w:rPr>
          <w:rFonts w:ascii="Arial" w:hAnsi="Arial" w:cs="Arial"/>
          <w:color w:val="000000"/>
          <w:sz w:val="21"/>
          <w:szCs w:val="21"/>
        </w:rPr>
        <w:t>.</w:t>
      </w:r>
    </w:p>
    <w:p w14:paraId="571AC9A2" w14:textId="240460D6" w:rsidR="005B28E8" w:rsidRPr="00340959" w:rsidRDefault="00F837DF"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Regarding climatic conditions, the region falls in a tropical monsoon zone with high seasonal rainfall during the monsoon period (June–September) </w:t>
      </w:r>
      <w:r w:rsidR="00DA4FC5">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{"citationID":"WcGC696a","properties":{"formattedCitation":"(Stacey et al. 2023)","plainCitation":"(Stacey et al. 2023)","noteIndex":0},"citationItems":[{"id":362,"uris":["http://zotero.org/users/local/emosa1lm/items/2AZ7KXUE"],"itemData":{"id":362,"type":"article-journal","abstract":"The South Asia Seasonal Climate Outlook Forum (SASCOF) issues seasonal tercile precipitation forecasts to provide advance warning of anomalously dry or wet monsoon seasons in South Asia. To increase objectivity of the SASCOF seasonal outlook, the World Meteorological Organisation recommends using a multi-model ensemble combining the most skilful dynamical seasonal models for the region. We assess the skill of 12 dynamical models at forecasting seasonal precipitation totals for 1993–2016 for the southwest (June–July–August–September) and northeast (October–November–December) monsoon seasons at regional and national levels for Afghanistan, Bangladesh, Nepal, and Pakistan, using identical forecast periods, hindcast initialisation months and domain used at the SASCOF. All models demonstrate positive skill when regionally-averaged, especially for the southwest monsoon season, noting considerable spatial differences. Models exhibit highest skill where correlation between observed precipitation and El Niño Southern Oscillation (ENSO) is highest, e.g., central/north India and Nepal during the southwest monsoon, and Afghanistan and north Pakistan during the northeast monsoon. Model skill is especially low in northwest India and northeast of South Asia during the southwest monsoon, e.g., Bangladesh (despite high precipitation totals) coinciding with a weak ENSO teleconnection. The Indian Ocean Dipole teleconnection is less pronounced in the southwest monsoon season, whereas the spatial pattern for the northeast monsoon closely resembles that of ENSO. Due to high variability in model skill, we recommend basing the SASCOF forecast on a multi-model ensemble of all models but discounting poorly performing models at the national level.","container-title":"Climate Dynamics","DOI":"10.1007/s00382-023-06770-2","ISSN":"1432-0894","issue":"7","journalAbbreviation":"Clim Dyn","language":"en","page":"3857-3874","source":"Springer Link","title":"Diverse skill of seasonal dynamical models in forecasting South Asian monsoon precipitation and the influence of ENSO and IOD","volume":"61","author":[{"family":"Stacey","given":"J."},{"family":"Salmon","given":"K."},{"family":"Janes","given":"T."},{"family":"Colman","given":"A."},{"family":"Colledge","given":"F."},{"family":"Bett","given":"P. E."},{"family":"Srinivasan","given":"G."},{"family":"Pai","given":"D. S."}],"issued":{"date-parts":[["2023",10,1]]}}}],"schema":"https://github.com/citation-style-language/schema/raw/master/csl-citation.json"} </w:instrText>
      </w:r>
      <w:r w:rsidR="00DA4FC5">
        <w:rPr>
          <w:rFonts w:ascii="Arial" w:hAnsi="Arial" w:cs="Arial"/>
          <w:color w:val="000000"/>
          <w:sz w:val="21"/>
          <w:szCs w:val="21"/>
        </w:rPr>
        <w:fldChar w:fldCharType="separate"/>
      </w:r>
      <w:r w:rsidR="0050478C" w:rsidRPr="0050478C">
        <w:rPr>
          <w:rFonts w:ascii="Arial" w:hAnsi="Arial" w:cs="Arial"/>
          <w:sz w:val="21"/>
        </w:rPr>
        <w:t>(Stacey et al. 2023)</w:t>
      </w:r>
      <w:r w:rsidR="00DA4FC5">
        <w:rPr>
          <w:rFonts w:ascii="Arial" w:hAnsi="Arial" w:cs="Arial"/>
          <w:color w:val="000000"/>
          <w:sz w:val="21"/>
          <w:szCs w:val="21"/>
        </w:rPr>
        <w:fldChar w:fldCharType="end"/>
      </w:r>
      <w:r w:rsidRPr="00340959">
        <w:rPr>
          <w:rFonts w:ascii="Arial" w:hAnsi="Arial" w:cs="Arial"/>
          <w:color w:val="000000"/>
          <w:sz w:val="21"/>
          <w:szCs w:val="21"/>
        </w:rPr>
        <w:t>. Heavy continuous rain increases soil moisture, decreases shear strength</w:t>
      </w:r>
      <w:r w:rsidR="00DA73E5">
        <w:rPr>
          <w:rFonts w:ascii="Arial" w:hAnsi="Arial" w:cs="Arial"/>
          <w:color w:val="000000"/>
          <w:sz w:val="21"/>
          <w:szCs w:val="21"/>
        </w:rPr>
        <w:t>,</w:t>
      </w:r>
      <w:r w:rsidRPr="00340959">
        <w:rPr>
          <w:rFonts w:ascii="Arial" w:hAnsi="Arial" w:cs="Arial"/>
          <w:color w:val="000000"/>
          <w:sz w:val="21"/>
          <w:szCs w:val="21"/>
        </w:rPr>
        <w:t xml:space="preserve"> and </w:t>
      </w:r>
      <w:r w:rsidR="00DA73E5">
        <w:rPr>
          <w:rFonts w:ascii="Arial" w:hAnsi="Arial" w:cs="Arial"/>
          <w:color w:val="000000"/>
          <w:sz w:val="21"/>
          <w:szCs w:val="21"/>
        </w:rPr>
        <w:t>raises</w:t>
      </w:r>
      <w:r w:rsidRPr="00340959">
        <w:rPr>
          <w:rFonts w:ascii="Arial" w:hAnsi="Arial" w:cs="Arial"/>
          <w:color w:val="000000"/>
          <w:sz w:val="21"/>
          <w:szCs w:val="21"/>
        </w:rPr>
        <w:t xml:space="preserve"> the risk of </w:t>
      </w:r>
      <w:r w:rsidR="00DA73E5">
        <w:rPr>
          <w:rFonts w:ascii="Arial" w:hAnsi="Arial" w:cs="Arial"/>
          <w:color w:val="000000"/>
          <w:sz w:val="21"/>
          <w:szCs w:val="21"/>
        </w:rPr>
        <w:t>landslides</w:t>
      </w:r>
      <w:r w:rsidRPr="00340959">
        <w:rPr>
          <w:rFonts w:ascii="Arial" w:hAnsi="Arial" w:cs="Arial"/>
          <w:color w:val="000000"/>
          <w:sz w:val="21"/>
          <w:szCs w:val="21"/>
        </w:rPr>
        <w:t xml:space="preserve"> </w:t>
      </w:r>
      <w:r w:rsidR="007E6071">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{"citationID":"HStWnlay","properties":{"formattedCitation":"(Biswas et al. 2026)","plainCitation":"(Biswas et al. 2026)","noteIndex":0},"citationItems":[{"id":120,"uris":["http://zotero.org/users/local/emosa1lm/items/UL5PCFR8"],"itemData":{"id":120,"type":"article-journal","abstract":"Landslides pose a persistent threat to life, livelihoods, and critical infrastructure in the Chittagong Hill Tracts (CHT) of Bangladesh, a region marked by steep slopes, intense monsoonal rainfall, and increasing anthropogenic pressure. This study presents a comprehensive landslide susceptibility assessment for the monsoon-dominated Chittagong Hill Tracts (CHT), addressing data scarcity challenges. An ensemble model integrating Convolutional Neural Networks, Deep Neural Networks, and Long Short-Term Memory networks was developed using ten standardized 30-meter resolution geo-environmental variables. A balanced dataset of 5,082 samples was generated through spatially stratified random sampling. Spatial-block 10-fold cross-validation demonstrated strong model performance with an F1-score of 0.8923 and an AUC of 0.9558, outperforming individual models. Key drivers identified include annual rainfall and proximity to fault lines, highlighting the role of hydro-tectonic factors. Additionally, a Road Vulnerability Index based on six physical parameters revealed that 13% of the regional road network is highly vulnerable to landslides. These findings offer high-resolution, interpretable susceptibility and infrastructure risk maps to support disaster risk reduction strategies, contributing to Sustainable Development Goals 11 and 13. This framework advances understanding of landslide hazards and infrastructure vulnerability in data-limited mountainous regions.","container-title":"Geomatics Natural Hazards and Risk","DOI":"10.1080/19475705.2026.2634207","ISSN":"1947-5705, 1947-5713","issue":"1","publisher":"Taylor &amp; Francis","title":"Ensemble deep learning framework for landslide susceptibility mapping and road vulnerability index development in the Chittagong Hill Tracts, Bangladesh","URL":"https://doi.org/10.1080/19475705.2026.2634207","volume":"17","author":[{"family":"Biswas","given":"Niloy"},{"family":"Islam","given":"K. M. Ashraful"},{"family":"Efty","given":"Eftekher Ahammed"},{"family":"Das","given":"S."},{"family":"Pathan","given":"Abrar Muhtasim"},{"family":"Ferdaus","given":"Md Rayhanul"}],"issued":{"date-parts":[["2026",2]]}}}],"schema":"https://github.com/citation-style-language/schema/raw/master/csl-citation.json"} </w:instrText>
      </w:r>
      <w:r w:rsidR="007E6071">
        <w:rPr>
          <w:rFonts w:ascii="Arial" w:hAnsi="Arial" w:cs="Arial"/>
          <w:color w:val="000000"/>
          <w:sz w:val="21"/>
          <w:szCs w:val="21"/>
        </w:rPr>
        <w:fldChar w:fldCharType="separate"/>
      </w:r>
      <w:r w:rsidR="0050478C" w:rsidRPr="0050478C">
        <w:rPr>
          <w:rFonts w:ascii="Arial" w:hAnsi="Arial" w:cs="Arial"/>
          <w:sz w:val="21"/>
        </w:rPr>
        <w:t>(Biswas et al. 2026)</w:t>
      </w:r>
      <w:r w:rsidR="007E6071">
        <w:rPr>
          <w:rFonts w:ascii="Arial" w:hAnsi="Arial" w:cs="Arial"/>
          <w:color w:val="000000"/>
          <w:sz w:val="21"/>
          <w:szCs w:val="21"/>
        </w:rPr>
        <w:fldChar w:fldCharType="end"/>
      </w:r>
      <w:r w:rsidRPr="00340959">
        <w:rPr>
          <w:rFonts w:ascii="Arial" w:hAnsi="Arial" w:cs="Arial"/>
          <w:color w:val="000000"/>
          <w:sz w:val="21"/>
          <w:szCs w:val="21"/>
        </w:rPr>
        <w:t>. The area studied was selected due to the documented occurrence of landslides</w:t>
      </w:r>
      <w:r w:rsidR="00DA73E5">
        <w:rPr>
          <w:rFonts w:ascii="Arial" w:hAnsi="Arial" w:cs="Arial"/>
          <w:color w:val="000000"/>
          <w:sz w:val="21"/>
          <w:szCs w:val="21"/>
        </w:rPr>
        <w:t>, heterogeneous terrain, and pressures from urban infrastructure and building construction development</w:t>
      </w:r>
      <w:r w:rsidRPr="00340959">
        <w:rPr>
          <w:rFonts w:ascii="Arial" w:hAnsi="Arial" w:cs="Arial"/>
          <w:color w:val="000000"/>
          <w:sz w:val="21"/>
          <w:szCs w:val="21"/>
        </w:rPr>
        <w:t xml:space="preserve">. These attributes render it an ideal case for probabilistic landslide-susceptibility modeling and subsequent infrastructure-vulnerability assessment, employing geospatial and Bayesian machine-learning </w:t>
      </w:r>
      <w:r w:rsidR="00DA73E5" w:rsidRPr="00340959">
        <w:rPr>
          <w:rFonts w:ascii="Arial" w:hAnsi="Arial" w:cs="Arial"/>
          <w:color w:val="000000"/>
          <w:sz w:val="21"/>
          <w:szCs w:val="21"/>
        </w:rPr>
        <w:t>techniques.</w:t>
      </w:r>
      <w:r w:rsidR="00DA73E5">
        <w:rPr>
          <w:rFonts w:ascii="Arial" w:hAnsi="Arial" w:cs="Arial"/>
          <w:color w:val="000000"/>
          <w:sz w:val="21"/>
          <w:szCs w:val="21"/>
        </w:rPr>
        <w:t xml:space="preserve"> The location map is shown in Figure 1. </w:t>
      </w:r>
    </w:p>
    <w:p w14:paraId="39B632A7" w14:textId="77777777" w:rsidR="005B28E8" w:rsidRPr="00340959" w:rsidRDefault="005B28E8" w:rsidP="00340959">
      <w:pPr>
        <w:spacing w:before="0" w:after="0" w:line="360" w:lineRule="auto"/>
        <w:jc w:val="both"/>
        <w:rPr>
          <w:rFonts w:ascii="Arial" w:hAnsi="Arial" w:cs="Arial"/>
          <w:sz w:val="21"/>
          <w:szCs w:val="21"/>
        </w:rPr>
      </w:pPr>
    </w:p>
    <w:p w14:paraId="1DC2129A" w14:textId="77777777" w:rsidR="005B28E8" w:rsidRPr="00340959" w:rsidRDefault="00000000" w:rsidP="00DA73E5">
      <w:pPr>
        <w:spacing w:before="0" w:after="0" w:line="360" w:lineRule="auto"/>
        <w:jc w:val="center"/>
        <w:rPr>
          <w:rFonts w:ascii="Arial" w:hAnsi="Arial" w:cs="Arial"/>
          <w:sz w:val="21"/>
          <w:szCs w:val="21"/>
        </w:rPr>
      </w:pPr>
      <w:r w:rsidRPr="00340959">
        <w:rPr>
          <w:rFonts w:ascii="Arial" w:hAnsi="Arial" w:cs="Arial"/>
          <w:noProof/>
          <w:sz w:val="21"/>
          <w:szCs w:val="21"/>
        </w:rPr>
        <w:lastRenderedPageBreak/>
        <w:drawing>
          <wp:inline distT="0" distB="0" distL="0" distR="0" wp14:anchorId="015EE3C8" wp14:editId="6AD7D742">
            <wp:extent cx="5694218" cy="4397766"/>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94728" cy="4398160"/>
                    </a:xfrm>
                    <a:prstGeom prst="rect">
                      <a:avLst/>
                    </a:prstGeom>
                  </pic:spPr>
                </pic:pic>
              </a:graphicData>
            </a:graphic>
          </wp:inline>
        </w:drawing>
      </w:r>
    </w:p>
    <w:p w14:paraId="0D3CCF6F" w14:textId="373B2EA1" w:rsidR="000152B3" w:rsidRPr="00340959" w:rsidRDefault="00000000" w:rsidP="00340959">
      <w:pPr>
        <w:spacing w:before="0" w:after="0" w:line="360" w:lineRule="auto"/>
        <w:jc w:val="center"/>
        <w:rPr>
          <w:rFonts w:ascii="Arial" w:hAnsi="Arial" w:cs="Arial"/>
          <w:i/>
          <w:iCs/>
          <w:color w:val="000000"/>
          <w:sz w:val="21"/>
          <w:szCs w:val="21"/>
        </w:rPr>
      </w:pPr>
      <w:r w:rsidRPr="00340959">
        <w:rPr>
          <w:rFonts w:ascii="Arial" w:hAnsi="Arial" w:cs="Arial"/>
          <w:i/>
          <w:iCs/>
          <w:color w:val="000000"/>
          <w:sz w:val="21"/>
          <w:szCs w:val="21"/>
        </w:rPr>
        <w:t>Figure 1</w:t>
      </w:r>
      <w:r w:rsidR="000152B3" w:rsidRPr="00340959">
        <w:rPr>
          <w:rFonts w:ascii="Arial" w:hAnsi="Arial" w:cs="Arial"/>
          <w:i/>
          <w:iCs/>
          <w:color w:val="000000"/>
          <w:sz w:val="21"/>
          <w:szCs w:val="21"/>
        </w:rPr>
        <w:t>:</w:t>
      </w:r>
      <w:r w:rsidRPr="00340959">
        <w:rPr>
          <w:rFonts w:ascii="Arial" w:hAnsi="Arial" w:cs="Arial"/>
          <w:i/>
          <w:iCs/>
          <w:color w:val="000000"/>
          <w:sz w:val="21"/>
          <w:szCs w:val="21"/>
        </w:rPr>
        <w:t xml:space="preserve"> Study Area with Landslide Inventory Points</w:t>
      </w:r>
    </w:p>
    <w:p w14:paraId="3A0DB604" w14:textId="77777777" w:rsidR="000152B3" w:rsidRPr="00340959" w:rsidRDefault="000152B3" w:rsidP="00340959">
      <w:pPr>
        <w:spacing w:before="0" w:after="0" w:line="360" w:lineRule="auto"/>
        <w:jc w:val="both"/>
        <w:rPr>
          <w:rFonts w:ascii="Arial" w:hAnsi="Arial" w:cs="Arial"/>
          <w:b/>
          <w:bCs/>
          <w:sz w:val="21"/>
          <w:szCs w:val="21"/>
        </w:rPr>
      </w:pPr>
    </w:p>
    <w:p w14:paraId="5BA37322" w14:textId="67740C15" w:rsidR="005B28E8" w:rsidRPr="004D3B85" w:rsidRDefault="00000000" w:rsidP="00340959">
      <w:pPr>
        <w:pStyle w:val="Heading2"/>
        <w:spacing w:before="0" w:after="0" w:line="360" w:lineRule="auto"/>
        <w:rPr>
          <w:rFonts w:ascii="Arial" w:hAnsi="Arial" w:cs="Arial"/>
          <w:b/>
          <w:bCs/>
          <w:color w:val="7030A0"/>
          <w:sz w:val="21"/>
          <w:szCs w:val="21"/>
        </w:rPr>
      </w:pPr>
      <w:r w:rsidRPr="004D3B85">
        <w:rPr>
          <w:rFonts w:ascii="Arial" w:hAnsi="Arial" w:cs="Arial"/>
          <w:b/>
          <w:bCs/>
          <w:color w:val="7030A0"/>
          <w:sz w:val="21"/>
          <w:szCs w:val="21"/>
        </w:rPr>
        <w:t xml:space="preserve">Landslide </w:t>
      </w:r>
      <w:r w:rsidR="004A2710" w:rsidRPr="004D3B85">
        <w:rPr>
          <w:rFonts w:ascii="Arial" w:hAnsi="Arial" w:cs="Arial"/>
          <w:b/>
          <w:bCs/>
          <w:color w:val="7030A0"/>
          <w:sz w:val="21"/>
          <w:szCs w:val="21"/>
        </w:rPr>
        <w:t>Inventory &amp; Conditioning Factors</w:t>
      </w:r>
    </w:p>
    <w:p w14:paraId="617A651B" w14:textId="6F3573E3" w:rsidR="000152B3" w:rsidRPr="00340959" w:rsidRDefault="00F837DF"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The landslide inventory map is the primary step of this research. The historical landslide locations were collected from several credible datasets</w:t>
      </w:r>
      <w:r w:rsidR="00DA73E5">
        <w:rPr>
          <w:rFonts w:ascii="Arial" w:hAnsi="Arial" w:cs="Arial"/>
          <w:color w:val="000000"/>
          <w:sz w:val="21"/>
          <w:szCs w:val="21"/>
        </w:rPr>
        <w:t>,</w:t>
      </w:r>
      <w:r w:rsidRPr="00340959">
        <w:rPr>
          <w:rFonts w:ascii="Arial" w:hAnsi="Arial" w:cs="Arial"/>
          <w:color w:val="000000"/>
          <w:sz w:val="21"/>
          <w:szCs w:val="21"/>
        </w:rPr>
        <w:t xml:space="preserve"> such as NASA’s global landslide </w:t>
      </w:r>
      <w:r w:rsidR="002E64C8">
        <w:rPr>
          <w:rFonts w:ascii="Arial" w:hAnsi="Arial" w:cs="Arial"/>
          <w:color w:val="000000"/>
          <w:sz w:val="21"/>
          <w:szCs w:val="21"/>
        </w:rPr>
        <w:t>catalogue</w:t>
      </w:r>
      <w:r w:rsidR="002E64C8" w:rsidRPr="00340959">
        <w:rPr>
          <w:rFonts w:ascii="Arial" w:hAnsi="Arial" w:cs="Arial"/>
          <w:color w:val="000000"/>
          <w:sz w:val="21"/>
          <w:szCs w:val="21"/>
        </w:rPr>
        <w:t xml:space="preserve"> </w:t>
      </w:r>
      <w:r w:rsidRPr="00340959">
        <w:rPr>
          <w:rFonts w:ascii="Arial" w:hAnsi="Arial" w:cs="Arial"/>
          <w:color w:val="000000"/>
          <w:sz w:val="21"/>
          <w:szCs w:val="21"/>
        </w:rPr>
        <w:t xml:space="preserve">dataset, the </w:t>
      </w:r>
      <w:r w:rsidR="00C10773">
        <w:rPr>
          <w:rFonts w:ascii="Arial" w:hAnsi="Arial" w:cs="Arial"/>
          <w:color w:val="000000"/>
          <w:sz w:val="21"/>
          <w:szCs w:val="21"/>
        </w:rPr>
        <w:t>Center</w:t>
      </w:r>
      <w:r w:rsidR="002E64C8" w:rsidRPr="00340959">
        <w:rPr>
          <w:rFonts w:ascii="Arial" w:hAnsi="Arial" w:cs="Arial"/>
          <w:color w:val="000000"/>
          <w:sz w:val="21"/>
          <w:szCs w:val="21"/>
        </w:rPr>
        <w:t xml:space="preserve"> </w:t>
      </w:r>
      <w:r w:rsidRPr="00340959">
        <w:rPr>
          <w:rFonts w:ascii="Arial" w:hAnsi="Arial" w:cs="Arial"/>
          <w:color w:val="000000"/>
          <w:sz w:val="21"/>
          <w:szCs w:val="21"/>
        </w:rPr>
        <w:t xml:space="preserve">for Environmental and Geographic Information Services (CEGIS), the Bangladesh Army, and some related literature records </w:t>
      </w:r>
      <w:r w:rsidR="00426A1F"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{"citationID":"Pff71eMs","properties":{"formattedCitation":"(Rabby and Li 2019)","plainCitation":"(Rabby and Li 2019)","noteIndex":0},"citationItems":[{"id":132,"uris":["http://zotero.org/users/local/emosa1lm/items/CF7RY2CF"],"itemData":{"id":132,"type":"article-journal","abstract":"Landslides are a frequent natural hazard in Chittagong Hilly Areas (CHA), Bangladesh, which causes the loss of lives and damage to the economy. Despite this, an official landslide inventory is still lacking in this area. In this paper, we present a landslide inventory of this area prepared using the visual interpretation of Google Earth images (Google Earth Mapping), field mapping, and a literature search. We mapped 730 landslides that occurred from January 2001 to March 2017. Different landslide attributes including type, size, distribution, state, water content, and triggers are presented in the dataset. In this area, slide and flow were the two dominant types of landslides. Out of the five districts (Bandarban, Chittagong, Cox’s Bazar, Khagrachari, and Rangamati), most (55%) of the landslides occurred in the Chittagong and Rangamati districts. About 45% of the landslides were small (&amp;lt;100 m2) in size, while the maximum size of the detected landslides was 85202 m2. This dataset will help to understand the characteristics of landslides in CHA and provide useful guidance for policy implementation.","container-title":"Data","DOI":"10.3390/data5010004","ISSN":"2306-5729","issue":"1","page":"4-4","publisher":"Multidisciplinary Digital Publishing Institute","title":"Landslide Inventory (2001–2017) of Chittagong Hilly Areas, Bangladesh","volume":"5","author":[{"family":"Rabby","given":"Yasin Wahid"},{"family":"Li","given":"Yingkui"}],"issued":{"date-parts":[["2019",12]]}}}],"schema":"https://github.com/citation-style-language/schema/raw/master/csl-citation.json"} </w:instrText>
      </w:r>
      <w:r w:rsidR="00426A1F" w:rsidRPr="00340959">
        <w:rPr>
          <w:rFonts w:ascii="Arial" w:hAnsi="Arial" w:cs="Arial"/>
          <w:color w:val="000000"/>
          <w:sz w:val="21"/>
          <w:szCs w:val="21"/>
        </w:rPr>
        <w:fldChar w:fldCharType="separate"/>
      </w:r>
      <w:r w:rsidR="0050478C" w:rsidRPr="0050478C">
        <w:rPr>
          <w:rFonts w:ascii="Arial" w:hAnsi="Arial" w:cs="Arial"/>
          <w:sz w:val="21"/>
        </w:rPr>
        <w:t>(Rabby and Li 2019)</w:t>
      </w:r>
      <w:r w:rsidR="00426A1F" w:rsidRPr="00340959">
        <w:rPr>
          <w:rFonts w:ascii="Arial" w:hAnsi="Arial" w:cs="Arial"/>
          <w:color w:val="000000"/>
          <w:sz w:val="21"/>
          <w:szCs w:val="21"/>
        </w:rPr>
        <w:fldChar w:fldCharType="end"/>
      </w:r>
      <w:r w:rsidRPr="00340959">
        <w:rPr>
          <w:rFonts w:ascii="Arial" w:hAnsi="Arial" w:cs="Arial"/>
          <w:color w:val="000000"/>
          <w:sz w:val="21"/>
          <w:szCs w:val="21"/>
        </w:rPr>
        <w:t>. Overall, 155 validated landslide points</w:t>
      </w:r>
      <w:r w:rsidR="002E64C8">
        <w:rPr>
          <w:rFonts w:ascii="Arial" w:hAnsi="Arial" w:cs="Arial"/>
          <w:color w:val="000000"/>
          <w:sz w:val="21"/>
          <w:szCs w:val="21"/>
        </w:rPr>
        <w:t xml:space="preserve"> </w:t>
      </w:r>
      <w:r w:rsidR="002E64C8" w:rsidRPr="002E64C8">
        <w:rPr>
          <w:rFonts w:ascii="Arial" w:hAnsi="Arial" w:cs="Arial"/>
          <w:color w:val="000000"/>
          <w:sz w:val="21"/>
          <w:szCs w:val="21"/>
        </w:rPr>
        <w:t>from 2001 to 2022</w:t>
      </w:r>
      <w:r w:rsidRPr="00340959">
        <w:rPr>
          <w:rFonts w:ascii="Arial" w:hAnsi="Arial" w:cs="Arial"/>
          <w:color w:val="000000"/>
          <w:sz w:val="21"/>
          <w:szCs w:val="21"/>
        </w:rPr>
        <w:t xml:space="preserve"> were </w:t>
      </w:r>
      <w:r w:rsidR="00DA73E5">
        <w:rPr>
          <w:rFonts w:ascii="Arial" w:hAnsi="Arial" w:cs="Arial"/>
          <w:color w:val="000000"/>
          <w:sz w:val="21"/>
          <w:szCs w:val="21"/>
        </w:rPr>
        <w:t>identified in the study area, spanning a range of</w:t>
      </w:r>
      <w:r w:rsidRPr="00340959">
        <w:rPr>
          <w:rFonts w:ascii="Arial" w:hAnsi="Arial" w:cs="Arial"/>
          <w:color w:val="000000"/>
          <w:sz w:val="21"/>
          <w:szCs w:val="21"/>
        </w:rPr>
        <w:t xml:space="preserve"> topographical and geomorphological conditions. These sites were treated as point features in a GIS environment to create an overall landslide inventory map </w:t>
      </w:r>
      <w:r w:rsidR="00DA73E5">
        <w:rPr>
          <w:rFonts w:ascii="Arial" w:hAnsi="Arial" w:cs="Arial"/>
          <w:color w:val="000000"/>
          <w:sz w:val="21"/>
          <w:szCs w:val="21"/>
        </w:rPr>
        <w:t xml:space="preserve">for susceptibility </w:t>
      </w:r>
      <w:r w:rsidR="00C10773">
        <w:rPr>
          <w:rFonts w:ascii="Arial" w:hAnsi="Arial" w:cs="Arial"/>
          <w:color w:val="000000"/>
          <w:sz w:val="21"/>
          <w:szCs w:val="21"/>
        </w:rPr>
        <w:t>modeling</w:t>
      </w:r>
      <w:r w:rsidRPr="00340959">
        <w:rPr>
          <w:rFonts w:ascii="Arial" w:hAnsi="Arial" w:cs="Arial"/>
          <w:color w:val="000000"/>
          <w:sz w:val="21"/>
          <w:szCs w:val="21"/>
        </w:rPr>
        <w:t>.</w:t>
      </w:r>
      <w:r w:rsidR="00DA73E5">
        <w:rPr>
          <w:rFonts w:ascii="Arial" w:hAnsi="Arial" w:cs="Arial"/>
          <w:color w:val="000000"/>
          <w:sz w:val="21"/>
          <w:szCs w:val="21"/>
        </w:rPr>
        <w:t xml:space="preserve"> The landslide points are marked in Figure 1. </w:t>
      </w:r>
      <w:r w:rsidRPr="00340959">
        <w:rPr>
          <w:rFonts w:ascii="Arial" w:hAnsi="Arial" w:cs="Arial"/>
          <w:color w:val="000000"/>
          <w:sz w:val="21"/>
          <w:szCs w:val="21"/>
        </w:rPr>
        <w:t xml:space="preserve"> In addition to those recorded at the landslide points, around 200 non-landslide alternatives were randomly </w:t>
      </w:r>
      <w:r w:rsidR="00C10773">
        <w:rPr>
          <w:rFonts w:ascii="Arial" w:hAnsi="Arial" w:cs="Arial"/>
          <w:color w:val="000000"/>
          <w:sz w:val="21"/>
          <w:szCs w:val="21"/>
        </w:rPr>
        <w:t>synthesized</w:t>
      </w:r>
      <w:r w:rsidR="002E64C8" w:rsidRPr="00340959">
        <w:rPr>
          <w:rFonts w:ascii="Arial" w:hAnsi="Arial" w:cs="Arial"/>
          <w:color w:val="000000"/>
          <w:sz w:val="21"/>
          <w:szCs w:val="21"/>
        </w:rPr>
        <w:t xml:space="preserve"> </w:t>
      </w:r>
      <w:r w:rsidRPr="00340959">
        <w:rPr>
          <w:rFonts w:ascii="Arial" w:hAnsi="Arial" w:cs="Arial"/>
          <w:color w:val="000000"/>
          <w:sz w:val="21"/>
          <w:szCs w:val="21"/>
        </w:rPr>
        <w:t xml:space="preserve">from stable places devoid of any historical landslide incidents </w:t>
      </w:r>
      <w:r w:rsidR="00426A1F"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{"citationID":"EBUXfjJX","properties":{"formattedCitation":"(Xia et al. 2023)","plainCitation":"(Xia et al. 2023)","noteIndex":0},"citationItems":[{"id":133,"uris":["http://zotero.org/users/local/emosa1lm/items/RTDFKI57"],"itemData":{"id":133,"type":"article-journal","abstract":"Introduction: Landslide is one of the most widespread geohazards around the world. Therefore, it is necessary and meaningful to map regional landslide susceptibility for landslide mitigation. In this research, landslide susceptibility maps were produced by four models, namely, certainty factors (CF), naive Bayes (NB), J48 decision tree (J48), and multilayer perceptron (MLP) models. Methods: In the first step, 328 landslides were identified via historical data, interpretation of remote sensing images, and field investigation, and they were divided into two subsets that were assigned different uses: 70% subset for training and 30% subset for validating. Then, twelve conditioning factors were employed, namely, altitude, slope angle, slope aspect, plan curvature, profile curvature, TWI, NDVI, distance to rivers, distance to roads, land use, soil, and lithology. Later, the importance of each conditioning factor was analyzed by average merit (AM) values, and the relationship between landslide occurrence and various factors was evaluated using the certainty factor (CF) approach. In the next step, the landslide susceptibility maps were produced based on four models, and the effect of the four models were quantitatively compared by receiver operating characteristic (ROC) curves, area under curve (AUC) values, and non-parametric tests. Results: The results demonstrated that all the four models can reasonably assess landslide susceptibility. Of these four models, the CF model has the best predictive performance for the training (AUC=0.901) and validating data (AUC=0.892). Discussion: The proposed approach is an innovative method that may also help other scientists to develop landslide susceptibility maps in other areas and that could be used for geo-environmental problems besides natural hazard assessments.","container-title":"Frontiers in Earth Science","DOI":"10.3389/feart.2023.1187384","ISSN":"2296-6463","publisher":"Frontiers Media","title":"GIS-based landslide susceptibility modeling using data mining techniques","URL":"https://doi.org/10.3389/feart.2023.1187384","volume":"11","author":[{"family":"Xia","given":"Liheng"},{"family":"Shen","given":"Jianglong"},{"family":"Zhang","given":"Tingyu"},{"family":"Dang","given":"Guangpu"},{"family":"Wang","given":"Tao"}],"issued":{"date-parts":[["2023",6]]}}}],"schema":"https://github.com/citation-style-language/schema/raw/master/csl-citation.json"} </w:instrText>
      </w:r>
      <w:r w:rsidR="00426A1F" w:rsidRPr="00340959">
        <w:rPr>
          <w:rFonts w:ascii="Arial" w:hAnsi="Arial" w:cs="Arial"/>
          <w:color w:val="000000"/>
          <w:sz w:val="21"/>
          <w:szCs w:val="21"/>
        </w:rPr>
        <w:fldChar w:fldCharType="separate"/>
      </w:r>
      <w:r w:rsidR="0050478C" w:rsidRPr="0050478C">
        <w:rPr>
          <w:rFonts w:ascii="Arial" w:hAnsi="Arial" w:cs="Arial"/>
          <w:sz w:val="21"/>
        </w:rPr>
        <w:t>(Xia et al. 2023)</w:t>
      </w:r>
      <w:r w:rsidR="00426A1F" w:rsidRPr="00340959">
        <w:rPr>
          <w:rFonts w:ascii="Arial" w:hAnsi="Arial" w:cs="Arial"/>
          <w:color w:val="000000"/>
          <w:sz w:val="21"/>
          <w:szCs w:val="21"/>
        </w:rPr>
        <w:fldChar w:fldCharType="end"/>
      </w:r>
      <w:r w:rsidRPr="00340959">
        <w:rPr>
          <w:rFonts w:ascii="Arial" w:hAnsi="Arial" w:cs="Arial"/>
          <w:color w:val="000000"/>
          <w:sz w:val="21"/>
          <w:szCs w:val="21"/>
        </w:rPr>
        <w:t>.</w:t>
      </w:r>
    </w:p>
    <w:p w14:paraId="19AA1DB1" w14:textId="2700996E" w:rsidR="004976F9" w:rsidRPr="00340959" w:rsidRDefault="00F837DF"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Based on </w:t>
      </w:r>
      <w:r w:rsidR="00F5320B" w:rsidRPr="00340959">
        <w:rPr>
          <w:rFonts w:ascii="Arial" w:hAnsi="Arial" w:cs="Arial"/>
          <w:color w:val="000000"/>
          <w:sz w:val="21"/>
          <w:szCs w:val="21"/>
        </w:rPr>
        <w:t>literature</w:t>
      </w:r>
      <w:r w:rsidRPr="00340959">
        <w:rPr>
          <w:rFonts w:ascii="Arial" w:hAnsi="Arial" w:cs="Arial"/>
          <w:color w:val="000000"/>
          <w:sz w:val="21"/>
          <w:szCs w:val="21"/>
        </w:rPr>
        <w:t xml:space="preserve"> review and </w:t>
      </w:r>
      <w:r w:rsidR="004A2710">
        <w:rPr>
          <w:rFonts w:ascii="Arial" w:hAnsi="Arial" w:cs="Arial"/>
          <w:color w:val="000000"/>
          <w:sz w:val="21"/>
          <w:szCs w:val="21"/>
        </w:rPr>
        <w:t>data availability, fourteen conditioning factors representing topographic (slope, aspect, elevation), hydrological (drainage density), environmental (land use/</w:t>
      </w:r>
      <w:r w:rsidR="000F36B7" w:rsidRPr="00340959">
        <w:rPr>
          <w:rFonts w:ascii="Arial" w:hAnsi="Arial" w:cs="Arial"/>
          <w:color w:val="000000"/>
          <w:sz w:val="21"/>
          <w:szCs w:val="21"/>
        </w:rPr>
        <w:t>land cover), proximity (distance to road, distance to river),</w:t>
      </w:r>
      <w:r w:rsidRPr="00340959">
        <w:rPr>
          <w:rFonts w:ascii="Arial" w:hAnsi="Arial" w:cs="Arial"/>
          <w:color w:val="000000"/>
          <w:sz w:val="21"/>
          <w:szCs w:val="21"/>
        </w:rPr>
        <w:t xml:space="preserve"> and soil-related factors were selected</w:t>
      </w:r>
      <w:r w:rsidR="004A2710">
        <w:rPr>
          <w:rFonts w:ascii="Arial" w:hAnsi="Arial" w:cs="Arial"/>
          <w:color w:val="000000"/>
          <w:sz w:val="21"/>
          <w:szCs w:val="21"/>
        </w:rPr>
        <w:t>, as given in Table-1</w:t>
      </w:r>
      <w:r w:rsidRPr="00340959">
        <w:rPr>
          <w:rFonts w:ascii="Arial" w:hAnsi="Arial" w:cs="Arial"/>
          <w:color w:val="000000"/>
          <w:sz w:val="21"/>
          <w:szCs w:val="21"/>
        </w:rPr>
        <w:t xml:space="preserve">. All raster layers were resampled to a consistent 30-m spatial resolution for data analysis </w:t>
      </w:r>
      <w:r w:rsidR="00426A1F"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{"citationID":"zY4Zk0PW","properties":{"formattedCitation":"(Adnan et al. 2020)","plainCitation":"(Adnan et al. 2020)","noteIndex":0},"citationItems":[{"id":115,"uris":["http://zotero.org/users/local/emosa1lm/items/MRDN5S6U"],"itemData":{"id":115,"type":"article-journal","abstract":"Despite yielding considerable degrees of accuracy in landslide predictions, the outcomes of different landslide susceptibility models are prone to spatial disagreement; and therefore, uncertainties. Uncertainties in the results of various landslide susceptibility models create challenges in selecting the most suitable method to manage this complex natural phenomenon. This study aimed to propose an approach to reduce uncertainties in landslide prediction, diagnosing spatial agreement in machine learning-based landslide susceptibility maps. It first developed landslide susceptibility maps of Cox’s Bazar district of Bangladesh, applying four machine learning algorithms: K-Nearest Neighbor (KNN), Multi-Layer Perceptron (MLP), Random Forest (RF), and Support Vector Machine (SVM), featuring hyperparameter optimization of 12 landslide conditioning factors. The results of all the four models yielded very high prediction accuracy, with the area under the curve (AUC) values range between 0.93 to 0.96. The assessment of spatial agreement of landslide predictions showed that the pixel-wise correlation coefficients of landslide probability between various models range from 0.69 to 0.85, indicating the uncertainty in predicted landslides by various models, despite their considerable prediction accuracy. The uncertainty was addressed by establishing a Logistic Regression (LR) model, incorporating the binary landslide inventory data as the dependent variable and the results of the four landslide susceptibility models as independent variables. The outcomes indicated that the RF model had the highest influence in predicting the observed landslide locations, followed by the MLP, SVM, and KNN models. Finally, a combined landslide susceptibility map was developed by integrating the results of the four machine learning-based landslide predictions. The combined map resulted in better spatial agreement (correlation coefficients range between 0.88 and 0.92) and greater prediction accuracy (0.97) compared to the individual models. The modelling approach followed in this study would be useful in minimizing uncertainties of various methods and improving landslide predictions.","container-title":"Remote Sensing","DOI":"10.3390/rs12203347","ISSN":"2072-4292","issue":"20","page":"3347-3347","publisher":"Multidisciplinary Digital Publishing Institute","title":"Improving Spatial Agreement in Machine Learning-Based Landslide Susceptibility Mapping","volume":"12","author":[{"family":"Adnan","given":"Mohammed Sarfaraz Gani"},{"family":"Rahman","given":"Md Salman"},{"family":"Ahmed","given":"Nahian"},{"family":"Ahmed","given":"Bayes"},{"family":"Rabbi","given":"Md Fazleh"},{"family":"Rahman","given":"Rashedur M."}],"issued":{"date-parts":[["2020",10]]}}}],"schema":"https://github.com/citation-style-language/schema/raw/master/csl-citation.json"} </w:instrText>
      </w:r>
      <w:r w:rsidR="00426A1F" w:rsidRPr="00340959">
        <w:rPr>
          <w:rFonts w:ascii="Arial" w:hAnsi="Arial" w:cs="Arial"/>
          <w:color w:val="000000"/>
          <w:sz w:val="21"/>
          <w:szCs w:val="21"/>
        </w:rPr>
        <w:fldChar w:fldCharType="separate"/>
      </w:r>
      <w:r w:rsidR="0050478C" w:rsidRPr="0050478C">
        <w:rPr>
          <w:rFonts w:ascii="Arial" w:hAnsi="Arial" w:cs="Arial"/>
          <w:sz w:val="21"/>
        </w:rPr>
        <w:t>(Adnan et al. 2020)</w:t>
      </w:r>
      <w:r w:rsidR="00426A1F" w:rsidRPr="00340959">
        <w:rPr>
          <w:rFonts w:ascii="Arial" w:hAnsi="Arial" w:cs="Arial"/>
          <w:color w:val="000000"/>
          <w:sz w:val="21"/>
          <w:szCs w:val="21"/>
        </w:rPr>
        <w:fldChar w:fldCharType="end"/>
      </w:r>
      <w:r w:rsidRPr="00340959">
        <w:rPr>
          <w:rFonts w:ascii="Arial" w:hAnsi="Arial" w:cs="Arial"/>
          <w:color w:val="000000"/>
          <w:sz w:val="21"/>
          <w:szCs w:val="21"/>
        </w:rPr>
        <w:t>.</w:t>
      </w:r>
      <w:r w:rsidR="004A2710">
        <w:rPr>
          <w:rFonts w:ascii="Arial" w:hAnsi="Arial" w:cs="Arial"/>
          <w:color w:val="000000"/>
          <w:sz w:val="21"/>
          <w:szCs w:val="21"/>
        </w:rPr>
        <w:t xml:space="preserve"> </w:t>
      </w:r>
      <w:r w:rsidRPr="00340959">
        <w:rPr>
          <w:rFonts w:ascii="Arial" w:hAnsi="Arial" w:cs="Arial"/>
          <w:color w:val="000000"/>
          <w:sz w:val="21"/>
          <w:szCs w:val="21"/>
        </w:rPr>
        <w:t>Topographic derivatives</w:t>
      </w:r>
      <w:r w:rsidR="000F36B7" w:rsidRPr="00340959">
        <w:rPr>
          <w:rFonts w:ascii="Arial" w:hAnsi="Arial" w:cs="Arial"/>
          <w:color w:val="000000"/>
          <w:sz w:val="21"/>
          <w:szCs w:val="21"/>
        </w:rPr>
        <w:t xml:space="preserve">, </w:t>
      </w:r>
      <w:r w:rsidRPr="00340959">
        <w:rPr>
          <w:rFonts w:ascii="Arial" w:hAnsi="Arial" w:cs="Arial"/>
          <w:color w:val="000000"/>
          <w:sz w:val="21"/>
          <w:szCs w:val="21"/>
        </w:rPr>
        <w:t>including slope, aspect, curvature, SPI, TWI, and TRI</w:t>
      </w:r>
      <w:r w:rsidR="000F36B7" w:rsidRPr="00340959">
        <w:rPr>
          <w:rFonts w:ascii="Arial" w:hAnsi="Arial" w:cs="Arial"/>
          <w:color w:val="000000"/>
          <w:sz w:val="21"/>
          <w:szCs w:val="21"/>
        </w:rPr>
        <w:t xml:space="preserve">, </w:t>
      </w:r>
      <w:r w:rsidRPr="00340959">
        <w:rPr>
          <w:rFonts w:ascii="Arial" w:hAnsi="Arial" w:cs="Arial"/>
          <w:color w:val="000000"/>
          <w:sz w:val="21"/>
          <w:szCs w:val="21"/>
        </w:rPr>
        <w:t>were extracted from the 30 m SRTM DEM</w:t>
      </w:r>
      <w:r w:rsidR="00D4784A" w:rsidRPr="00340959">
        <w:rPr>
          <w:rFonts w:ascii="Arial" w:hAnsi="Arial" w:cs="Arial"/>
          <w:color w:val="000000"/>
          <w:sz w:val="21"/>
          <w:szCs w:val="21"/>
        </w:rPr>
        <w:t xml:space="preserve"> </w:t>
      </w:r>
      <w:r w:rsidR="00A97A2D">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{"citationID":"1oIy7X58","properties":{"formattedCitation":"(Murad et al. 2025)","plainCitation":"(Murad et al. 2025)","noteIndex":0},"citationItems":[{"id":382,"uris":["http://zotero.org/users/local/emosa1lm/items/AV42XUJ8"],"itemData":{"id":382,"type":"paper-conference","abstract":"The Chittagong Hill Tracts of southeastern Bangladesh, including the districts of Chittagong, Rangamati, Bandarban, Cox’s Bazar, and Khagrachari, are acutely vulnerable to landslides due to their rugged topography, intense precipitation, and anthropogenic disturbances such as deforestation and unregulated hill cutting. To address the pressing need for accurate geospatial data in risk mitigation and urban planning, this study develops a comprehensive landslide inventory map encompassing 1,005 documented landslide occurrences. The dataset integrates inputs from NASA’s global landslide inventory, peer-reviewed literature, field reports, and UAV drone surveys. Employing Getis-Ord Gi* within a GIS environment, the analysis delineates landslide hotspots and cold spots, thereby revealing critical spatial heterogeneity in landslide distribution. These results show the visual distribution of landslide inventory data and which area to focus on for the field survey to collect more landslide inventory points. These outputs are essential for enhancing disaster risk reduction strategies, informing land-use regulations, and fostering resilient infrastructure planning in this high-risk region of Bangladesh. While the study underscores the value of multi-source data aggregation, it also acknowledges inherent limitations such as discrepancies in data resolution and challenges associated with dynamic urban land use. Despite these constraints, the research contributes to the geohazard knowledge base. It serves as a pivotal resource for stakeholders involved in disaster risk reduction and sustainable land management in the CHT.","container-title":"Proceedings of International Conference on Civil Engineering Research &amp; Innovations","event-title":"International Conference on Civil Engineering Research &amp; Innovations (ICCEI 2025)","language":"en","source":"Zotero","title":"Comprehensive Landslide Inventory and Hotspot Analysis in the Chittagong Hill Tracts of Southeastern Bangladesh","author":[{"family":"Murad","given":"Golam"},{"family":"Nawar","given":"Nawrin"},{"family":"Ashrafi","given":"Hamim"},{"family":"Gupta","given":"Debajit Das"},{"family":"Banu","given":"Mukta"},{"family":"Rahman","given":"Aftabur"}],"issued":{"date-parts":[["2025"]]}}}],"schema":"https://github.com/citation-style-language/schema/raw/master/csl-citation.json"} </w:instrText>
      </w:r>
      <w:r w:rsidR="00A97A2D">
        <w:rPr>
          <w:rFonts w:ascii="Arial" w:hAnsi="Arial" w:cs="Arial"/>
          <w:color w:val="000000"/>
          <w:sz w:val="21"/>
          <w:szCs w:val="21"/>
        </w:rPr>
        <w:fldChar w:fldCharType="separate"/>
      </w:r>
      <w:r w:rsidR="0050478C" w:rsidRPr="0050478C">
        <w:rPr>
          <w:rFonts w:ascii="Arial" w:hAnsi="Arial" w:cs="Arial"/>
          <w:sz w:val="21"/>
        </w:rPr>
        <w:t>(Murad et al. 2025)</w:t>
      </w:r>
      <w:r w:rsidR="00A97A2D">
        <w:rPr>
          <w:rFonts w:ascii="Arial" w:hAnsi="Arial" w:cs="Arial"/>
          <w:color w:val="000000"/>
          <w:sz w:val="21"/>
          <w:szCs w:val="21"/>
        </w:rPr>
        <w:fldChar w:fldCharType="end"/>
      </w:r>
      <w:r w:rsidRPr="00340959">
        <w:rPr>
          <w:rFonts w:ascii="Arial" w:hAnsi="Arial" w:cs="Arial"/>
          <w:color w:val="000000"/>
          <w:sz w:val="21"/>
          <w:szCs w:val="21"/>
        </w:rPr>
        <w:t>. Hydrological and proximity-related variables were generated from DEM-based drainage networks and OpenStreetMap road data</w:t>
      </w:r>
      <w:r w:rsidR="00D4784A" w:rsidRPr="00340959">
        <w:rPr>
          <w:rFonts w:ascii="Arial" w:hAnsi="Arial" w:cs="Arial"/>
          <w:color w:val="000000"/>
          <w:sz w:val="21"/>
          <w:szCs w:val="21"/>
        </w:rPr>
        <w:t xml:space="preserve"> </w:t>
      </w:r>
      <w:r w:rsidR="00D4784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{"citationID":"mkVoCWK2","properties":{"formattedCitation":"(Tai et al. 2020)","plainCitation":"(Tai et al. 2020)","noteIndex":0},"citationItems":[{"id":135,"uris":["http://zotero.org/users/local/emosa1lm/items/69JFK8YG"],"itemData":{"id":135,"type":"article-journal","abstract":"Abstract Prediction of ecosystem responses to a changing climate is challenging at the landscape to regional scale, in part because topography creates various habitats and influences ecosystem productivity in complex ways. However, the effects of topography on ecosystem function remain poorly characterized and quantified. To address this knowledge gap, we developed a framework to systematically quantify and evaluate the effects of topographic conver</w:instrText>
      </w:r>
      <w:r w:rsidR="0050478C">
        <w:rPr>
          <w:rFonts w:ascii="Arial" w:hAnsi="Arial" w:cs="Arial" w:hint="eastAsia"/>
          <w:color w:val="000000"/>
          <w:sz w:val="21"/>
          <w:szCs w:val="21"/>
        </w:rPr>
        <w:instrText>gence, elevation, aspect, and forest type on the long</w:instrText>
      </w:r>
      <w:r w:rsidR="0050478C">
        <w:rPr>
          <w:rFonts w:ascii="Cambria Math" w:hAnsi="Cambria Math" w:cs="Cambria Math"/>
          <w:color w:val="000000"/>
          <w:sz w:val="21"/>
          <w:szCs w:val="21"/>
        </w:rPr>
        <w:instrText>‐</w:instrText>
      </w:r>
      <w:r w:rsidR="0050478C">
        <w:rPr>
          <w:rFonts w:ascii="Arial" w:hAnsi="Arial" w:cs="Arial" w:hint="eastAsia"/>
          <w:color w:val="000000"/>
          <w:sz w:val="21"/>
          <w:szCs w:val="21"/>
        </w:rPr>
        <w:instrText>term (1986</w:instrText>
      </w:r>
      <w:r w:rsidR="0050478C">
        <w:rPr>
          <w:rFonts w:ascii="Arial" w:hAnsi="Arial" w:cs="Arial" w:hint="eastAsia"/>
          <w:color w:val="000000"/>
          <w:sz w:val="21"/>
          <w:szCs w:val="21"/>
        </w:rPr>
        <w:instrText>–</w:instrText>
      </w:r>
      <w:r w:rsidR="0050478C">
        <w:rPr>
          <w:rFonts w:ascii="Arial" w:hAnsi="Arial" w:cs="Arial" w:hint="eastAsia"/>
          <w:color w:val="000000"/>
          <w:sz w:val="21"/>
          <w:szCs w:val="21"/>
        </w:rPr>
        <w:instrText>2011) average and interannual variability of remotely sensed ecosystem productivity. In a forested watershed in the Rocky Mountains, spanning elevations from 1,800 to 4,000 m, we found a prevalent and positive influence of topographic convergence on long</w:instrText>
      </w:r>
      <w:r w:rsidR="0050478C">
        <w:rPr>
          <w:rFonts w:ascii="Cambria Math" w:hAnsi="Cambria Math" w:cs="Cambria Math"/>
          <w:color w:val="000000"/>
          <w:sz w:val="21"/>
          <w:szCs w:val="21"/>
        </w:rPr>
        <w:instrText>‐</w:instrText>
      </w:r>
      <w:r w:rsidR="0050478C">
        <w:rPr>
          <w:rFonts w:ascii="Arial" w:hAnsi="Arial" w:cs="Arial" w:hint="eastAsia"/>
          <w:color w:val="000000"/>
          <w:sz w:val="21"/>
          <w:szCs w:val="21"/>
        </w:rPr>
        <w:instrText>term productivity. Interannual growing season productivity was positively related to precipitation, with higher sensitivity in low elevation and highly productive areas and lower sensitivity in convergent areas. Our findings highlight the influence of topographic complexity on both long</w:instrText>
      </w:r>
      <w:r w:rsidR="0050478C">
        <w:rPr>
          <w:rFonts w:ascii="Cambria Math" w:hAnsi="Cambria Math" w:cs="Cambria Math"/>
          <w:color w:val="000000"/>
          <w:sz w:val="21"/>
          <w:szCs w:val="21"/>
        </w:rPr>
        <w:instrText>‐</w:instrText>
      </w:r>
      <w:r w:rsidR="0050478C">
        <w:rPr>
          <w:rFonts w:ascii="Arial" w:hAnsi="Arial" w:cs="Arial" w:hint="eastAsia"/>
          <w:color w:val="000000"/>
          <w:sz w:val="21"/>
          <w:szCs w:val="21"/>
        </w:rPr>
        <w:instrText>term and interannual variations of ecosystem productivity and have implications for understanding and prediction of ecosystem dynamics at hillslope to region</w:instrText>
      </w:r>
      <w:r w:rsidR="0050478C">
        <w:rPr>
          <w:rFonts w:ascii="Arial" w:hAnsi="Arial" w:cs="Arial"/>
          <w:color w:val="000000"/>
          <w:sz w:val="21"/>
          <w:szCs w:val="21"/>
        </w:rPr>
        <w:instrText xml:space="preserve">al scales.","container-title":"Water Resources Research","DOI":"10.1029/2020wr027630","ISSN":"0043-1397, 1944-7973","issue":"11","publisher":"Wiley","title":"Hillslope Hydrology Influences the Spatial and Temporal Patterns of Remotely Sensed Ecosystem Productivity","URL":"https://doi.org/10.1029/2020wr027630","volume":"56","author":[{"family":"Tai","given":"Xiaonan"},{"family":"Anderegg","given":"William R. L."},{"family":"Blanken","given":"Peter D."},{"family":"Burns","given":"Sean P."},{"family":"Christensen","given":"Lindsey"},{"family":"Brooks","given":"P. D."}],"issued":{"date-parts":[["2020",10]]}}}],"schema":"https://github.com/citation-style-language/schema/raw/master/csl-citation.json"} </w:instrText>
      </w:r>
      <w:r w:rsidR="00D4784A" w:rsidRPr="00340959">
        <w:rPr>
          <w:rFonts w:ascii="Arial" w:hAnsi="Arial" w:cs="Arial"/>
          <w:color w:val="000000"/>
          <w:sz w:val="21"/>
          <w:szCs w:val="21"/>
        </w:rPr>
        <w:fldChar w:fldCharType="separate"/>
      </w:r>
      <w:r w:rsidR="0050478C" w:rsidRPr="0050478C">
        <w:rPr>
          <w:rFonts w:ascii="Arial" w:hAnsi="Arial" w:cs="Arial"/>
          <w:sz w:val="21"/>
        </w:rPr>
        <w:t>(Tai et al. 2020)</w:t>
      </w:r>
      <w:r w:rsidR="00D4784A" w:rsidRPr="00340959">
        <w:rPr>
          <w:rFonts w:ascii="Arial" w:hAnsi="Arial" w:cs="Arial"/>
          <w:color w:val="000000"/>
          <w:sz w:val="21"/>
          <w:szCs w:val="21"/>
        </w:rPr>
        <w:fldChar w:fldCharType="end"/>
      </w:r>
      <w:r w:rsidRPr="00340959">
        <w:rPr>
          <w:rFonts w:ascii="Arial" w:hAnsi="Arial" w:cs="Arial"/>
          <w:color w:val="000000"/>
          <w:sz w:val="21"/>
          <w:szCs w:val="21"/>
        </w:rPr>
        <w:t xml:space="preserve">. Vegetation and land cover information </w:t>
      </w:r>
      <w:r w:rsidR="000F36B7" w:rsidRPr="00340959">
        <w:rPr>
          <w:rFonts w:ascii="Arial" w:hAnsi="Arial" w:cs="Arial"/>
          <w:color w:val="000000"/>
          <w:sz w:val="21"/>
          <w:szCs w:val="21"/>
        </w:rPr>
        <w:t>were</w:t>
      </w:r>
      <w:r w:rsidRPr="00340959">
        <w:rPr>
          <w:rFonts w:ascii="Arial" w:hAnsi="Arial" w:cs="Arial"/>
          <w:color w:val="000000"/>
          <w:sz w:val="21"/>
          <w:szCs w:val="21"/>
        </w:rPr>
        <w:t xml:space="preserve"> derived from Landsat 8 Level-2 surface reflectance imagery (NDVI) and Esri Sentinel-2 Land Cover data (10 m, resampled to 30 m) </w:t>
      </w:r>
      <w:r w:rsidR="00CC311D">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{"citationID":"UH7hkeoe","properties":{"formattedCitation":"(Arrogante-Funes et al. 2024a)","plainCitation":"(Arrogante-Funes et al. 2024a)","noteIndex":0},"citationItems":[{"id":338,"uris":["http://zotero.org/users/local/emosa1lm/items/L7SBV97X"],"itemData":{"id":338,"type":"article-journal","abstract":"Regeneration after landslides is how an ecosystem recovers itself following a landslide event. Natural systems can recover and regenerate over time. The main objective of the current work is to identify and characterise the regeneration pattern after a great landslide event in 2013 in the Guerrero state (Mexico) using remote sensing, geographic information system (GIS), and machine learning techniques. Remarkably, the authors consider normalised difference vegetation index (NDVI) as a proxy of part of this “regeneration” in the present work. A first methodology attempt presented here was to monitor and characterise the “regeneration” after severe landslide events. First, the authors calculated and identified the (1) losses, (2) speed and (3) recovery time through a continuous change detection and classification algorithm (CCDC) in Google Earth Engine (GEE) from a NDVI-Landsat time series (from 1984 to 2021). Second, these three factors were introduced as variables in a not supervised machine-learning model to get 5 clusters that characterise the different regeneration patterns followed from 2013 to 2021 in the landslide zones. Finally, we studied 16 variables like elevation, slope, or soil pH. The authors included those variables in a supervised machine learning classification to find the most important main drivers related to the NDVI regeneration of the landslide areas. The results showed that the cluster called Group 0 had a low loss of NDVI value, speed and medium recovery time. Group 1 showed a medium–high loss, high speed and low recovery time. Group 2 reached a high loss, a low speed, and an increased recovery time. Group 3 with a medium loss, a medium speed, and a low recovery time. Finally, Group 4 with a high loss of NDVI, a medium speed, and a medium recovery time. Distance to the edge of the landslide, precipitation, land cover type and lithology are highlighted as the main drivers in landslide regeneration.","container-title":"Landslides","DOI":"10.1007/s10346-023-02154-z","ISSN":"1612-5118","issue":"2","journalAbbreviation":"Landslides","language":"en","page":"275-290","source":"Springer Link","title":"Assessment of the regeneration of landslides areas using unsupervised and supervised methods and explainable machine learning models","volume":"21","author":[{"family":"Arrogante-Funes","given":"Patricia"},{"family":"Bruzón","given":"Adrián G."},{"family":"Álvarez-Ripado","given":"Ariadna"},{"family":"Arrogante-Funes","given":"Fátima"},{"family":"Martín-González","given":"Fidel"},{"family":"Novillo","given":"Carlos J."}],"issued":{"date-parts":[["2024",2,1]]}}}],"schema":"https://github.com/citation-style-language/schema/raw/master/csl-citation.json"} </w:instrText>
      </w:r>
      <w:r w:rsidR="00CC311D">
        <w:rPr>
          <w:rFonts w:ascii="Arial" w:hAnsi="Arial" w:cs="Arial"/>
          <w:color w:val="000000"/>
          <w:sz w:val="21"/>
          <w:szCs w:val="21"/>
        </w:rPr>
        <w:fldChar w:fldCharType="separate"/>
      </w:r>
      <w:r w:rsidR="0050478C" w:rsidRPr="0050478C">
        <w:rPr>
          <w:rFonts w:ascii="Arial" w:hAnsi="Arial" w:cs="Arial"/>
          <w:sz w:val="21"/>
        </w:rPr>
        <w:t>(Arrogante-Funes et al. 2024a)</w:t>
      </w:r>
      <w:r w:rsidR="00CC311D">
        <w:rPr>
          <w:rFonts w:ascii="Arial" w:hAnsi="Arial" w:cs="Arial"/>
          <w:color w:val="000000"/>
          <w:sz w:val="21"/>
          <w:szCs w:val="21"/>
        </w:rPr>
        <w:fldChar w:fldCharType="end"/>
      </w:r>
      <w:r w:rsidRPr="00340959">
        <w:rPr>
          <w:rFonts w:ascii="Arial" w:hAnsi="Arial" w:cs="Arial"/>
          <w:color w:val="000000"/>
          <w:sz w:val="21"/>
          <w:szCs w:val="21"/>
        </w:rPr>
        <w:t xml:space="preserve">. Precipitation data were obtained from the CHIRPS dataset (5 km resolution), and soil texture data were sourced from the ISRIC SoilGrids </w:t>
      </w:r>
      <w:r w:rsidRPr="00340959">
        <w:rPr>
          <w:rFonts w:ascii="Arial" w:hAnsi="Arial" w:cs="Arial"/>
          <w:color w:val="000000"/>
          <w:sz w:val="21"/>
          <w:szCs w:val="21"/>
        </w:rPr>
        <w:lastRenderedPageBreak/>
        <w:t xml:space="preserve">(250 m resolution) </w:t>
      </w:r>
      <w:r w:rsidR="00D4784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{"citationID":"9HmJOZag","properties":{"formattedCitation":"(Cunha et al. 2018)","plainCitation":"(Cunha et al. 2018)","noteIndex":0},"citationItems":[{"id":137,"uris":["http://zotero.org/users/local/emosa1lm/items/U5NRDZBX"],"itemData":{"id":137,"type":"article-journal","abstract":"Yield forecast is essential to agriculture stakeholders and can be obtained with the use of machine learning models and data coming from multiple sources. Most solutions for yield forecast rely on NDVI (Normalized Difference Vegetation Index) data which, besides being time-consuming to acquire and process, only allows forecasting once crop season has already started. To bring scalability for yield forecast, in the present paper we describe a system that incorporates satellite-derived precipitation and soil properties datasets, seasonal climate forecasting data from physical models and other sources to produce a pre-season prediction of soybean/maize yield-with no need of NDVI data. This system provides significantly useful results by the exempting the need for high-resolution remote-sensing data and allowing farmers to prepare for adverse climate influence on the crop cycle. In our studies, we forecast the soybean and maize yields for Brazil and USA, which corresponded to 44% of the world's grain production in 2016. Results show the error metrics for soybean and maize yield forecasts are comparable to similar systems that only provide yield forecast information in the first weeks to months of the crop cycle.","DOI":"10.1109/escience.2018.00131","page":"423-430","title":"A Scalable Machine Learning System for Pre-Season Agriculture Yield Forecast","author":[{"family":"Cunha","given":"Renato L. F."},{"family":"Silva","given":"Bruno"},{"family":"Netto","given":"Marco A. S."}],"issued":{"date-parts":[["2018",10]]}}}],"schema":"https://github.com/citation-style-language/schema/raw/master/csl-citation.json"} </w:instrText>
      </w:r>
      <w:r w:rsidR="00D4784A" w:rsidRPr="00340959">
        <w:rPr>
          <w:rFonts w:ascii="Arial" w:hAnsi="Arial" w:cs="Arial"/>
          <w:color w:val="000000"/>
          <w:sz w:val="21"/>
          <w:szCs w:val="21"/>
        </w:rPr>
        <w:fldChar w:fldCharType="separate"/>
      </w:r>
      <w:r w:rsidR="0050478C" w:rsidRPr="0050478C">
        <w:rPr>
          <w:rFonts w:ascii="Arial" w:hAnsi="Arial" w:cs="Arial"/>
          <w:sz w:val="21"/>
        </w:rPr>
        <w:t>(Cunha et al. 2018)</w:t>
      </w:r>
      <w:r w:rsidR="00D4784A" w:rsidRPr="00340959">
        <w:rPr>
          <w:rFonts w:ascii="Arial" w:hAnsi="Arial" w:cs="Arial"/>
          <w:color w:val="000000"/>
          <w:sz w:val="21"/>
          <w:szCs w:val="21"/>
        </w:rPr>
        <w:fldChar w:fldCharType="end"/>
      </w:r>
      <w:r w:rsidRPr="00340959">
        <w:rPr>
          <w:rFonts w:ascii="Arial" w:hAnsi="Arial" w:cs="Arial"/>
          <w:color w:val="000000"/>
          <w:sz w:val="21"/>
          <w:szCs w:val="21"/>
        </w:rPr>
        <w:t>.</w:t>
      </w:r>
      <w:r w:rsidR="004A2710">
        <w:rPr>
          <w:rFonts w:ascii="Arial" w:hAnsi="Arial" w:cs="Arial"/>
          <w:color w:val="000000"/>
          <w:sz w:val="21"/>
          <w:szCs w:val="21"/>
        </w:rPr>
        <w:t xml:space="preserve"> </w:t>
      </w:r>
      <w:r w:rsidRPr="00340959">
        <w:rPr>
          <w:rFonts w:ascii="Arial" w:hAnsi="Arial" w:cs="Arial"/>
          <w:color w:val="000000"/>
          <w:sz w:val="21"/>
          <w:szCs w:val="21"/>
        </w:rPr>
        <w:t xml:space="preserve">Categorical variables (aspect, LULC, and soil texture) were transformed using one-hot encoding to avoid artificial ordinality in machine learning models </w:t>
      </w:r>
      <w:r w:rsidR="00D4784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{"citationID":"1j1xN72H","properties":{"formattedCitation":"(Hengl et al. 2017)","plainCitation":"(Hengl et al. 2017)","noteIndex":0},"citationItems":[{"id":138,"uris":["http://zotero.org/users/local/emosa1lm/items/92WDB5P8"],"itemData":{"id":138,"type":"article-journal","abstract":"This paper describes the technical development and accuracy assessment of the most recent and improved version of the SoilGrids system at 250m resolution (June 2016 update). SoilGrids provides global predictions for standard numeric soil properties (organic carbon, bulk density, Cation Exchange Capacity (CEC), pH, soil texture fractions and coarse fragments) at seven standard depths (0, 5, 15, 30, 60, 100 and 200 cm), in addition to predictions of depth to bedrock and distribution of soil classes based on the World Reference Base (WRB) and USDA classification systems (ca. 280 raster layers in total). Predictions were based on ca. 150,000 soil profiles used for training and a stack of 158 remote sensing-based soil covariates (primarily derived from MODIS land products, SRTM DEM derivatives, climatic images and global landform and lithology maps), which were used to fit an ensemble of machine learning methods-random forest and gradient boosting and/or multinomial logistic regression-as implemented in the R packages ranger, xgboost, nnet and caret. The results of 10-fold cross-validation show that the ensemble models explain between 56% (coarse fragments) and 83% (pH) of variation with an overall average of 61%. Improvements in the relative accuracy considering the amount of variation explained, in comparison to the previous version of SoilGrids at 1 km spatial resolution, range from 60 to 230%. Improvements can be attributed to: (1) the use of machine learning instead of linear regression, (2) to considerable investments in preparing finer resolution covariate layers and (3) to insertion of additional soil profiles. Further development of SoilGrids could include refinement of methods to incorporate input uncertainties and derivation of posterior probability distributions (per pixel), and further automation of spatial modeling so that soil maps can be generated for potentially hundreds of soil variables. Another area of future research is the development of methods for multiscale merging of SoilGrids predictions with local and/or national gridded soil products (e.g. up to 50 m spatial resolution) so that increasingly more accurate, complete and consistent global soil information can be produced. SoilGrids are available under the Open Data Base License.","container-title":"PLoS ONE","DOI":"10.1371/journal.pone.0169748","ISSN":"1932-6203","issue":"2","PMID":"28207752","publisher":"Public Library of Science","title":"SoilGrids250m: Global gridded soil information based on machine learning","URL":"https://doi.org/10.1371/journal.pone.0169748","volume":"12","author":[{"family":"Hengl","given":"Tomislav"},{"family":"Jesus","given":"Jorge Mendes","dropping-particle":"de"},{"family":"Heuvelink","given":"G. B. M."},{"family":"González","given":"M. Ruiperez"},{"family":"Kilibarda","given":"Milan"},{"family":"Blagotić","given":"Aleksandar"},{"family":"Shangguan","given":"Wei"},{"family":"Wright","given":"Marvin N."},{"family":"Geng","given":"Xiaoyuan"},{"family":"Bauer-Marschallinger","given":"Bernhard"},{"family":"Guevara","given":"Mário"},{"family":"Vargas","given":"Rodrigo"},{"family":"MacMillan","given":"R. A."},{"family":"Batjes","given":"N. H."},{"family":"Leenaars","given":"J. G. B."},{"family":"Ribeiro","given":"Eloi"},{"family":"Wheeler","given":"Ichsani"},{"family":"Mantel","given":"S."},{"family":"Kempen","given":"Bas"}],"issued":{"date-parts":[["2017",2]]}}}],"schema":"https://github.com/citation-style-language/schema/raw/master/csl-citation.json"} </w:instrText>
      </w:r>
      <w:r w:rsidR="00D4784A" w:rsidRPr="00340959">
        <w:rPr>
          <w:rFonts w:ascii="Arial" w:hAnsi="Arial" w:cs="Arial"/>
          <w:color w:val="000000"/>
          <w:sz w:val="21"/>
          <w:szCs w:val="21"/>
        </w:rPr>
        <w:fldChar w:fldCharType="separate"/>
      </w:r>
      <w:r w:rsidR="0050478C" w:rsidRPr="0050478C">
        <w:rPr>
          <w:rFonts w:ascii="Arial" w:hAnsi="Arial" w:cs="Arial"/>
          <w:sz w:val="21"/>
        </w:rPr>
        <w:t>(Hengl et al. 2017)</w:t>
      </w:r>
      <w:r w:rsidR="00D4784A" w:rsidRPr="00340959">
        <w:rPr>
          <w:rFonts w:ascii="Arial" w:hAnsi="Arial" w:cs="Arial"/>
          <w:color w:val="000000"/>
          <w:sz w:val="21"/>
          <w:szCs w:val="21"/>
        </w:rPr>
        <w:fldChar w:fldCharType="end"/>
      </w:r>
      <w:r w:rsidRPr="00340959">
        <w:rPr>
          <w:rFonts w:ascii="Arial" w:hAnsi="Arial" w:cs="Arial"/>
          <w:color w:val="000000"/>
          <w:sz w:val="21"/>
          <w:szCs w:val="21"/>
        </w:rPr>
        <w:t>.</w:t>
      </w:r>
    </w:p>
    <w:p w14:paraId="1EC749B6" w14:textId="77777777" w:rsidR="004A2710" w:rsidRDefault="004A2710" w:rsidP="00340959">
      <w:pPr>
        <w:spacing w:before="0" w:after="0" w:line="360" w:lineRule="auto"/>
        <w:jc w:val="both"/>
        <w:rPr>
          <w:rFonts w:ascii="Arial" w:hAnsi="Arial" w:cs="Arial"/>
          <w:color w:val="000000"/>
          <w:sz w:val="21"/>
          <w:szCs w:val="21"/>
        </w:rPr>
      </w:pPr>
    </w:p>
    <w:p w14:paraId="53EAE97F" w14:textId="36B6D2F1" w:rsidR="005B28E8" w:rsidRPr="00340959" w:rsidRDefault="00000000" w:rsidP="004A2710">
      <w:pPr>
        <w:spacing w:before="0" w:after="0" w:line="360" w:lineRule="auto"/>
        <w:jc w:val="center"/>
        <w:rPr>
          <w:rFonts w:ascii="Arial" w:hAnsi="Arial" w:cs="Arial"/>
          <w:i/>
          <w:iCs/>
          <w:sz w:val="21"/>
          <w:szCs w:val="21"/>
        </w:rPr>
      </w:pPr>
      <w:r w:rsidRPr="00340959">
        <w:rPr>
          <w:rFonts w:ascii="Arial" w:hAnsi="Arial" w:cs="Arial"/>
          <w:i/>
          <w:iCs/>
          <w:color w:val="000000"/>
          <w:sz w:val="21"/>
          <w:szCs w:val="21"/>
        </w:rPr>
        <w:t>Table 1</w:t>
      </w:r>
      <w:r w:rsidR="009F1E39" w:rsidRPr="00340959">
        <w:rPr>
          <w:rFonts w:ascii="Arial" w:hAnsi="Arial" w:cs="Arial"/>
          <w:i/>
          <w:iCs/>
          <w:color w:val="000000"/>
          <w:sz w:val="21"/>
          <w:szCs w:val="21"/>
        </w:rPr>
        <w:t>:</w:t>
      </w:r>
      <w:r w:rsidRPr="00340959">
        <w:rPr>
          <w:rFonts w:ascii="Arial" w:hAnsi="Arial" w:cs="Arial"/>
          <w:i/>
          <w:iCs/>
          <w:color w:val="000000"/>
          <w:sz w:val="21"/>
          <w:szCs w:val="21"/>
        </w:rPr>
        <w:t xml:space="preserve"> Landslide Conditioning Factors</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4747"/>
        <w:gridCol w:w="2171"/>
      </w:tblGrid>
      <w:tr w:rsidR="005B28E8" w:rsidRPr="00340959" w14:paraId="672D9E4C" w14:textId="77777777" w:rsidTr="004A2710">
        <w:trPr>
          <w:trHeight w:val="20"/>
          <w:jc w:val="center"/>
        </w:trPr>
        <w:tc>
          <w:tcPr>
            <w:tcW w:w="0" w:type="auto"/>
            <w:vAlign w:val="center"/>
          </w:tcPr>
          <w:p w14:paraId="760C8CD1"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Factor</w:t>
            </w:r>
          </w:p>
        </w:tc>
        <w:tc>
          <w:tcPr>
            <w:tcW w:w="0" w:type="auto"/>
            <w:vAlign w:val="center"/>
          </w:tcPr>
          <w:p w14:paraId="5A832C67"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Source of Data</w:t>
            </w:r>
          </w:p>
        </w:tc>
        <w:tc>
          <w:tcPr>
            <w:tcW w:w="0" w:type="auto"/>
            <w:vAlign w:val="center"/>
          </w:tcPr>
          <w:p w14:paraId="754B5CA2"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Spatial Resolution (m)</w:t>
            </w:r>
          </w:p>
        </w:tc>
      </w:tr>
      <w:tr w:rsidR="005B28E8" w:rsidRPr="00340959" w14:paraId="6A484A9E" w14:textId="77777777" w:rsidTr="004A2710">
        <w:trPr>
          <w:trHeight w:val="20"/>
          <w:jc w:val="center"/>
        </w:trPr>
        <w:tc>
          <w:tcPr>
            <w:tcW w:w="0" w:type="auto"/>
            <w:vAlign w:val="center"/>
          </w:tcPr>
          <w:p w14:paraId="5C1EB5BB"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Elevation</w:t>
            </w:r>
          </w:p>
        </w:tc>
        <w:tc>
          <w:tcPr>
            <w:tcW w:w="0" w:type="auto"/>
            <w:vAlign w:val="center"/>
          </w:tcPr>
          <w:p w14:paraId="212EA4E5"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1578B67E"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SRTM DEM</w:t>
            </w:r>
          </w:p>
        </w:tc>
        <w:tc>
          <w:tcPr>
            <w:tcW w:w="0" w:type="auto"/>
            <w:vAlign w:val="center"/>
          </w:tcPr>
          <w:p w14:paraId="52FDB652"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2D199997" w14:textId="77777777" w:rsidTr="004A2710">
        <w:trPr>
          <w:trHeight w:val="20"/>
          <w:jc w:val="center"/>
        </w:trPr>
        <w:tc>
          <w:tcPr>
            <w:tcW w:w="0" w:type="auto"/>
            <w:vAlign w:val="center"/>
          </w:tcPr>
          <w:p w14:paraId="72637FA3"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Slope</w:t>
            </w:r>
          </w:p>
        </w:tc>
        <w:tc>
          <w:tcPr>
            <w:tcW w:w="0" w:type="auto"/>
            <w:vAlign w:val="center"/>
          </w:tcPr>
          <w:p w14:paraId="6E249429"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0C54E428"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Derived from SRTM DEM</w:t>
            </w:r>
          </w:p>
        </w:tc>
        <w:tc>
          <w:tcPr>
            <w:tcW w:w="0" w:type="auto"/>
            <w:vAlign w:val="center"/>
          </w:tcPr>
          <w:p w14:paraId="2FC17E5E"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3F602EB0" w14:textId="77777777" w:rsidTr="004A2710">
        <w:trPr>
          <w:trHeight w:val="20"/>
          <w:jc w:val="center"/>
        </w:trPr>
        <w:tc>
          <w:tcPr>
            <w:tcW w:w="0" w:type="auto"/>
            <w:vAlign w:val="center"/>
          </w:tcPr>
          <w:p w14:paraId="4A260D99"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Aspect</w:t>
            </w:r>
          </w:p>
        </w:tc>
        <w:tc>
          <w:tcPr>
            <w:tcW w:w="0" w:type="auto"/>
            <w:vAlign w:val="center"/>
          </w:tcPr>
          <w:p w14:paraId="30E474F5"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4767B4B1"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Derived from SRTM DEM</w:t>
            </w:r>
          </w:p>
        </w:tc>
        <w:tc>
          <w:tcPr>
            <w:tcW w:w="0" w:type="auto"/>
            <w:vAlign w:val="center"/>
          </w:tcPr>
          <w:p w14:paraId="708BD466"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2AC228A6" w14:textId="77777777" w:rsidTr="004A2710">
        <w:trPr>
          <w:trHeight w:val="20"/>
          <w:jc w:val="center"/>
        </w:trPr>
        <w:tc>
          <w:tcPr>
            <w:tcW w:w="0" w:type="auto"/>
            <w:vAlign w:val="center"/>
          </w:tcPr>
          <w:p w14:paraId="67EBE37C"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Curvature</w:t>
            </w:r>
          </w:p>
        </w:tc>
        <w:tc>
          <w:tcPr>
            <w:tcW w:w="0" w:type="auto"/>
            <w:vAlign w:val="center"/>
          </w:tcPr>
          <w:p w14:paraId="5F830C2C"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4176E50D"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Derived from SRTM DEM</w:t>
            </w:r>
          </w:p>
        </w:tc>
        <w:tc>
          <w:tcPr>
            <w:tcW w:w="0" w:type="auto"/>
            <w:vAlign w:val="center"/>
          </w:tcPr>
          <w:p w14:paraId="093E013D"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69F4FCC4" w14:textId="77777777" w:rsidTr="004A2710">
        <w:trPr>
          <w:trHeight w:val="20"/>
          <w:jc w:val="center"/>
        </w:trPr>
        <w:tc>
          <w:tcPr>
            <w:tcW w:w="0" w:type="auto"/>
            <w:vAlign w:val="center"/>
          </w:tcPr>
          <w:p w14:paraId="759E3793"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SPI</w:t>
            </w:r>
          </w:p>
        </w:tc>
        <w:tc>
          <w:tcPr>
            <w:tcW w:w="0" w:type="auto"/>
            <w:vAlign w:val="center"/>
          </w:tcPr>
          <w:p w14:paraId="51C70959"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5BBE7A6A"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Derived from SRTM DEM</w:t>
            </w:r>
          </w:p>
        </w:tc>
        <w:tc>
          <w:tcPr>
            <w:tcW w:w="0" w:type="auto"/>
            <w:vAlign w:val="center"/>
          </w:tcPr>
          <w:p w14:paraId="356B219B"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3D481086" w14:textId="77777777" w:rsidTr="004A2710">
        <w:trPr>
          <w:trHeight w:val="20"/>
          <w:jc w:val="center"/>
        </w:trPr>
        <w:tc>
          <w:tcPr>
            <w:tcW w:w="0" w:type="auto"/>
            <w:vAlign w:val="center"/>
          </w:tcPr>
          <w:p w14:paraId="7691D3A6"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TWI</w:t>
            </w:r>
          </w:p>
        </w:tc>
        <w:tc>
          <w:tcPr>
            <w:tcW w:w="0" w:type="auto"/>
            <w:vAlign w:val="center"/>
          </w:tcPr>
          <w:p w14:paraId="53718F73"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46990A44"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Derived from SRTM DEM</w:t>
            </w:r>
          </w:p>
        </w:tc>
        <w:tc>
          <w:tcPr>
            <w:tcW w:w="0" w:type="auto"/>
            <w:vAlign w:val="center"/>
          </w:tcPr>
          <w:p w14:paraId="782BA439"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7520580B" w14:textId="77777777" w:rsidTr="004A2710">
        <w:trPr>
          <w:trHeight w:val="20"/>
          <w:jc w:val="center"/>
        </w:trPr>
        <w:tc>
          <w:tcPr>
            <w:tcW w:w="0" w:type="auto"/>
            <w:vAlign w:val="center"/>
          </w:tcPr>
          <w:p w14:paraId="10AEBB3A"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TRI</w:t>
            </w:r>
          </w:p>
        </w:tc>
        <w:tc>
          <w:tcPr>
            <w:tcW w:w="0" w:type="auto"/>
            <w:vAlign w:val="center"/>
          </w:tcPr>
          <w:p w14:paraId="1A514BAE"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3BD1211C"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Derived from SRTM DEM</w:t>
            </w:r>
          </w:p>
        </w:tc>
        <w:tc>
          <w:tcPr>
            <w:tcW w:w="0" w:type="auto"/>
            <w:vAlign w:val="center"/>
          </w:tcPr>
          <w:p w14:paraId="60F01346"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101F3900" w14:textId="77777777" w:rsidTr="004A2710">
        <w:trPr>
          <w:trHeight w:val="20"/>
          <w:jc w:val="center"/>
        </w:trPr>
        <w:tc>
          <w:tcPr>
            <w:tcW w:w="0" w:type="auto"/>
            <w:vAlign w:val="center"/>
          </w:tcPr>
          <w:p w14:paraId="74DE823F"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NDVI</w:t>
            </w:r>
          </w:p>
        </w:tc>
        <w:tc>
          <w:tcPr>
            <w:tcW w:w="0" w:type="auto"/>
            <w:vAlign w:val="center"/>
          </w:tcPr>
          <w:p w14:paraId="1737AC97"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4DE4E084"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Landsat 8 Level-2 Surface Reflectance</w:t>
            </w:r>
          </w:p>
        </w:tc>
        <w:tc>
          <w:tcPr>
            <w:tcW w:w="0" w:type="auto"/>
            <w:vAlign w:val="center"/>
          </w:tcPr>
          <w:p w14:paraId="6086029D"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76B966C4" w14:textId="77777777" w:rsidTr="004A2710">
        <w:trPr>
          <w:trHeight w:val="20"/>
          <w:jc w:val="center"/>
        </w:trPr>
        <w:tc>
          <w:tcPr>
            <w:tcW w:w="0" w:type="auto"/>
            <w:vAlign w:val="center"/>
          </w:tcPr>
          <w:p w14:paraId="18DA6110"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LULC</w:t>
            </w:r>
          </w:p>
        </w:tc>
        <w:tc>
          <w:tcPr>
            <w:tcW w:w="0" w:type="auto"/>
            <w:vAlign w:val="center"/>
          </w:tcPr>
          <w:p w14:paraId="0CCA4ECD"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https://livingatlas.arcgis.com/landcover/</w:t>
            </w:r>
          </w:p>
          <w:p w14:paraId="483DB37D"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Esri Sentinel-2 Land Cover</w:t>
            </w:r>
          </w:p>
        </w:tc>
        <w:tc>
          <w:tcPr>
            <w:tcW w:w="0" w:type="auto"/>
            <w:vAlign w:val="center"/>
          </w:tcPr>
          <w:p w14:paraId="021B91EA"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10 m × 10 m</w:t>
            </w:r>
          </w:p>
        </w:tc>
      </w:tr>
      <w:tr w:rsidR="005B28E8" w:rsidRPr="00340959" w14:paraId="180DE36F" w14:textId="77777777" w:rsidTr="004A2710">
        <w:trPr>
          <w:trHeight w:val="20"/>
          <w:jc w:val="center"/>
        </w:trPr>
        <w:tc>
          <w:tcPr>
            <w:tcW w:w="0" w:type="auto"/>
            <w:vAlign w:val="center"/>
          </w:tcPr>
          <w:p w14:paraId="41A86637"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Rainfall</w:t>
            </w:r>
          </w:p>
        </w:tc>
        <w:tc>
          <w:tcPr>
            <w:tcW w:w="0" w:type="auto"/>
            <w:vAlign w:val="center"/>
          </w:tcPr>
          <w:p w14:paraId="746623DE"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https://www.chc.ucsb.edu/data/chirps</w:t>
            </w:r>
          </w:p>
          <w:p w14:paraId="0D7AFE54"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CHIRPS Precipitation Dataset</w:t>
            </w:r>
          </w:p>
        </w:tc>
        <w:tc>
          <w:tcPr>
            <w:tcW w:w="0" w:type="auto"/>
            <w:vAlign w:val="center"/>
          </w:tcPr>
          <w:p w14:paraId="427B8799"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5000 m × 5000 m</w:t>
            </w:r>
          </w:p>
        </w:tc>
      </w:tr>
      <w:tr w:rsidR="005B28E8" w:rsidRPr="00340959" w14:paraId="6CC466C0" w14:textId="77777777" w:rsidTr="004A2710">
        <w:trPr>
          <w:trHeight w:val="20"/>
          <w:jc w:val="center"/>
        </w:trPr>
        <w:tc>
          <w:tcPr>
            <w:tcW w:w="0" w:type="auto"/>
            <w:vAlign w:val="center"/>
          </w:tcPr>
          <w:p w14:paraId="67DACD8C"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Drainage Density</w:t>
            </w:r>
          </w:p>
        </w:tc>
        <w:tc>
          <w:tcPr>
            <w:tcW w:w="0" w:type="auto"/>
            <w:vAlign w:val="center"/>
          </w:tcPr>
          <w:p w14:paraId="500C64DA"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0685D5BE"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Derived from SRTM DEM</w:t>
            </w:r>
          </w:p>
        </w:tc>
        <w:tc>
          <w:tcPr>
            <w:tcW w:w="0" w:type="auto"/>
            <w:vAlign w:val="center"/>
          </w:tcPr>
          <w:p w14:paraId="576585A1"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3FB30987" w14:textId="77777777" w:rsidTr="004A2710">
        <w:trPr>
          <w:trHeight w:val="20"/>
          <w:jc w:val="center"/>
        </w:trPr>
        <w:tc>
          <w:tcPr>
            <w:tcW w:w="0" w:type="auto"/>
            <w:vAlign w:val="center"/>
          </w:tcPr>
          <w:p w14:paraId="45A6B7DB"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Distance to River</w:t>
            </w:r>
          </w:p>
        </w:tc>
        <w:tc>
          <w:tcPr>
            <w:tcW w:w="0" w:type="auto"/>
            <w:vAlign w:val="center"/>
          </w:tcPr>
          <w:p w14:paraId="27E819D0"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https://earthexplorer.usgs.gov/</w:t>
            </w:r>
          </w:p>
          <w:p w14:paraId="0E32FE75" w14:textId="5DE58AE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 xml:space="preserve">Derived from </w:t>
            </w:r>
            <w:r w:rsidR="00162937">
              <w:rPr>
                <w:rFonts w:ascii="Arial" w:hAnsi="Arial" w:cs="Arial"/>
                <w:color w:val="000000"/>
                <w:sz w:val="21"/>
                <w:szCs w:val="21"/>
              </w:rPr>
              <w:t xml:space="preserve">the </w:t>
            </w:r>
            <w:r w:rsidRPr="00340959">
              <w:rPr>
                <w:rFonts w:ascii="Arial" w:hAnsi="Arial" w:cs="Arial"/>
                <w:color w:val="000000"/>
                <w:sz w:val="21"/>
                <w:szCs w:val="21"/>
              </w:rPr>
              <w:t>drainage network (SRTM DEM)</w:t>
            </w:r>
          </w:p>
        </w:tc>
        <w:tc>
          <w:tcPr>
            <w:tcW w:w="0" w:type="auto"/>
            <w:vAlign w:val="center"/>
          </w:tcPr>
          <w:p w14:paraId="55588354"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1DF02C8A" w14:textId="77777777" w:rsidTr="004A2710">
        <w:trPr>
          <w:trHeight w:val="20"/>
          <w:jc w:val="center"/>
        </w:trPr>
        <w:tc>
          <w:tcPr>
            <w:tcW w:w="0" w:type="auto"/>
            <w:vAlign w:val="center"/>
          </w:tcPr>
          <w:p w14:paraId="52815BFB"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Distance to Road</w:t>
            </w:r>
          </w:p>
        </w:tc>
        <w:tc>
          <w:tcPr>
            <w:tcW w:w="0" w:type="auto"/>
            <w:vAlign w:val="center"/>
          </w:tcPr>
          <w:p w14:paraId="47B28127" w14:textId="3E190D6A"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https://www.openstreetmap.org/</w:t>
            </w:r>
          </w:p>
          <w:p w14:paraId="26118E42"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OpenStreetMap Road Network</w:t>
            </w:r>
          </w:p>
        </w:tc>
        <w:tc>
          <w:tcPr>
            <w:tcW w:w="0" w:type="auto"/>
            <w:vAlign w:val="center"/>
          </w:tcPr>
          <w:p w14:paraId="0A8B52B2"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30 m × 30 m</w:t>
            </w:r>
          </w:p>
        </w:tc>
      </w:tr>
      <w:tr w:rsidR="005B28E8" w:rsidRPr="00340959" w14:paraId="48E5C557" w14:textId="77777777" w:rsidTr="004A2710">
        <w:trPr>
          <w:trHeight w:val="20"/>
          <w:jc w:val="center"/>
        </w:trPr>
        <w:tc>
          <w:tcPr>
            <w:tcW w:w="0" w:type="auto"/>
            <w:vAlign w:val="center"/>
          </w:tcPr>
          <w:p w14:paraId="21E9749D"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Soil Texture</w:t>
            </w:r>
          </w:p>
        </w:tc>
        <w:tc>
          <w:tcPr>
            <w:tcW w:w="0" w:type="auto"/>
            <w:vAlign w:val="center"/>
          </w:tcPr>
          <w:p w14:paraId="142B73A5"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https://soilgrids.org/</w:t>
            </w:r>
          </w:p>
          <w:p w14:paraId="620034CA"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ISRIC SoilGrids</w:t>
            </w:r>
          </w:p>
        </w:tc>
        <w:tc>
          <w:tcPr>
            <w:tcW w:w="0" w:type="auto"/>
            <w:vAlign w:val="center"/>
          </w:tcPr>
          <w:p w14:paraId="3CF61DE6" w14:textId="77777777" w:rsidR="005B28E8" w:rsidRPr="00340959" w:rsidRDefault="00000000" w:rsidP="00162937">
            <w:pPr>
              <w:spacing w:before="0" w:after="0" w:line="276" w:lineRule="auto"/>
              <w:jc w:val="center"/>
              <w:rPr>
                <w:rFonts w:ascii="Arial" w:hAnsi="Arial" w:cs="Arial"/>
                <w:sz w:val="21"/>
                <w:szCs w:val="21"/>
              </w:rPr>
            </w:pPr>
            <w:r w:rsidRPr="00340959">
              <w:rPr>
                <w:rFonts w:ascii="Arial" w:hAnsi="Arial" w:cs="Arial"/>
                <w:color w:val="000000"/>
                <w:sz w:val="21"/>
                <w:szCs w:val="21"/>
              </w:rPr>
              <w:t>250 m × 250 m</w:t>
            </w:r>
          </w:p>
        </w:tc>
      </w:tr>
    </w:tbl>
    <w:p w14:paraId="69C89B89" w14:textId="77777777" w:rsidR="004A2710" w:rsidRDefault="004A2710" w:rsidP="00340959">
      <w:pPr>
        <w:spacing w:before="0" w:after="0" w:line="360" w:lineRule="auto"/>
        <w:jc w:val="both"/>
        <w:rPr>
          <w:rFonts w:ascii="Arial" w:hAnsi="Arial" w:cs="Arial"/>
          <w:color w:val="000000"/>
          <w:sz w:val="21"/>
          <w:szCs w:val="21"/>
        </w:rPr>
      </w:pPr>
    </w:p>
    <w:p w14:paraId="1138C8B3" w14:textId="77777777" w:rsidR="00C10773" w:rsidRDefault="00C10773">
      <w:pPr>
        <w:rPr>
          <w:rFonts w:ascii="Arial" w:hAnsi="Arial" w:cs="Arial"/>
          <w:color w:val="000000"/>
          <w:sz w:val="21"/>
          <w:szCs w:val="21"/>
        </w:rPr>
      </w:pPr>
      <w:r>
        <w:rPr>
          <w:rFonts w:ascii="Arial" w:hAnsi="Arial" w:cs="Arial"/>
          <w:color w:val="000000"/>
          <w:sz w:val="21"/>
          <w:szCs w:val="21"/>
        </w:rPr>
        <w:br w:type="page"/>
      </w:r>
    </w:p>
    <w:p w14:paraId="3CC3C6F3" w14:textId="086E7986" w:rsidR="004A2710" w:rsidRDefault="00F837DF"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lastRenderedPageBreak/>
        <w:t xml:space="preserve">The spatial patterns of the fourteen conditioning factors are presented in </w:t>
      </w:r>
      <w:r w:rsidR="004A2710">
        <w:rPr>
          <w:rFonts w:ascii="Arial" w:hAnsi="Arial" w:cs="Arial"/>
          <w:color w:val="000000"/>
          <w:sz w:val="21"/>
          <w:szCs w:val="21"/>
        </w:rPr>
        <w:t>Figure 2</w:t>
      </w:r>
      <w:r w:rsidRPr="00340959">
        <w:rPr>
          <w:rFonts w:ascii="Arial" w:hAnsi="Arial" w:cs="Arial"/>
          <w:color w:val="000000"/>
          <w:sz w:val="21"/>
          <w:szCs w:val="21"/>
        </w:rPr>
        <w:t>.</w:t>
      </w:r>
    </w:p>
    <w:p w14:paraId="397E40BC" w14:textId="1B9B339B" w:rsidR="008B39EC" w:rsidRDefault="008B39EC" w:rsidP="00C10773">
      <w:pPr>
        <w:spacing w:before="0" w:after="0" w:line="360" w:lineRule="auto"/>
        <w:jc w:val="center"/>
        <w:rPr>
          <w:rFonts w:ascii="Arial" w:hAnsi="Arial" w:cs="Arial"/>
          <w:color w:val="000000"/>
          <w:sz w:val="21"/>
          <w:szCs w:val="21"/>
        </w:rPr>
      </w:pPr>
      <w:r>
        <w:rPr>
          <w:rFonts w:ascii="Arial" w:hAnsi="Arial" w:cs="Arial"/>
          <w:noProof/>
          <w:color w:val="000000"/>
          <w:sz w:val="21"/>
          <w:szCs w:val="21"/>
        </w:rPr>
        <w:drawing>
          <wp:inline distT="0" distB="0" distL="0" distR="0" wp14:anchorId="2C177D07" wp14:editId="345C8499">
            <wp:extent cx="6280150" cy="8062595"/>
            <wp:effectExtent l="0" t="0" r="6350" b="0"/>
            <wp:docPr id="2163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68652" name="Picture 2163686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80150" cy="8062595"/>
                    </a:xfrm>
                    <a:prstGeom prst="rect">
                      <a:avLst/>
                    </a:prstGeom>
                  </pic:spPr>
                </pic:pic>
              </a:graphicData>
            </a:graphic>
          </wp:inline>
        </w:drawing>
      </w:r>
    </w:p>
    <w:p w14:paraId="1DCA35D2" w14:textId="758D7641" w:rsidR="00F837DF" w:rsidRDefault="004A2710" w:rsidP="004A2710">
      <w:pPr>
        <w:spacing w:before="0" w:after="0" w:line="276" w:lineRule="auto"/>
        <w:jc w:val="center"/>
        <w:rPr>
          <w:rFonts w:ascii="Arial" w:hAnsi="Arial" w:cs="Arial"/>
          <w:i/>
          <w:iCs/>
          <w:sz w:val="21"/>
          <w:szCs w:val="21"/>
        </w:rPr>
      </w:pPr>
      <w:r w:rsidRPr="00340959">
        <w:rPr>
          <w:rFonts w:ascii="Arial" w:hAnsi="Arial" w:cs="Arial"/>
          <w:i/>
          <w:iCs/>
          <w:color w:val="000000"/>
          <w:sz w:val="21"/>
          <w:szCs w:val="21"/>
        </w:rPr>
        <w:t>Figure 2: (a)Elevation, (b)Slope, (c)Aspect, (d)Curvature, ISPI, (f)TWI, (g)TRI, (h)LULC, (i)</w:t>
      </w:r>
      <w:commentRangeStart w:id="2"/>
      <w:r w:rsidRPr="00340959">
        <w:rPr>
          <w:rFonts w:ascii="Arial" w:hAnsi="Arial" w:cs="Arial"/>
          <w:i/>
          <w:iCs/>
          <w:color w:val="000000"/>
          <w:sz w:val="21"/>
          <w:szCs w:val="21"/>
        </w:rPr>
        <w:t>NDVI</w:t>
      </w:r>
      <w:commentRangeEnd w:id="2"/>
      <w:r w:rsidR="00C10773" w:rsidRPr="00340959">
        <w:rPr>
          <w:rStyle w:val="CommentReference"/>
          <w:rFonts w:ascii="Arial" w:hAnsi="Arial" w:cs="Arial"/>
          <w:i/>
          <w:iCs/>
          <w:color w:val="000000"/>
          <w:sz w:val="21"/>
          <w:szCs w:val="21"/>
        </w:rPr>
        <w:commentReference w:id="2"/>
      </w:r>
      <w:r w:rsidRPr="00340959">
        <w:rPr>
          <w:rFonts w:ascii="Arial" w:hAnsi="Arial" w:cs="Arial"/>
          <w:i/>
          <w:iCs/>
          <w:color w:val="000000"/>
          <w:sz w:val="21"/>
          <w:szCs w:val="21"/>
        </w:rPr>
        <w:t>, (j)Precipitation, (k)Drainage Density, (l)Distance to River, (m)Distance to Road, (n)Soil Texture.</w:t>
      </w:r>
    </w:p>
    <w:p w14:paraId="2E54D16D" w14:textId="77777777" w:rsidR="004A2710" w:rsidRPr="004A2710" w:rsidRDefault="004A2710" w:rsidP="004A2710">
      <w:pPr>
        <w:spacing w:before="0" w:after="0" w:line="276" w:lineRule="auto"/>
        <w:jc w:val="center"/>
        <w:rPr>
          <w:rFonts w:ascii="Arial" w:hAnsi="Arial" w:cs="Arial"/>
          <w:i/>
          <w:iCs/>
          <w:sz w:val="21"/>
          <w:szCs w:val="21"/>
        </w:rPr>
      </w:pPr>
    </w:p>
    <w:p w14:paraId="43EFDFF3" w14:textId="0797F0A0" w:rsidR="005B28E8" w:rsidRPr="00340959" w:rsidRDefault="004A2710"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Elevation </w:t>
      </w:r>
      <w:r w:rsidR="00F837DF" w:rsidRPr="00340959">
        <w:rPr>
          <w:rFonts w:ascii="Arial" w:hAnsi="Arial" w:cs="Arial"/>
          <w:color w:val="000000"/>
          <w:sz w:val="21"/>
          <w:szCs w:val="21"/>
        </w:rPr>
        <w:t>ranges from −0.9 m to 88 m</w:t>
      </w:r>
      <w:r>
        <w:rPr>
          <w:rFonts w:ascii="Arial" w:hAnsi="Arial" w:cs="Arial"/>
          <w:color w:val="000000"/>
          <w:sz w:val="21"/>
          <w:szCs w:val="21"/>
        </w:rPr>
        <w:t xml:space="preserve"> in the study area</w:t>
      </w:r>
      <w:r w:rsidR="00F837DF" w:rsidRPr="00340959">
        <w:rPr>
          <w:rFonts w:ascii="Arial" w:hAnsi="Arial" w:cs="Arial"/>
          <w:color w:val="000000"/>
          <w:sz w:val="21"/>
          <w:szCs w:val="21"/>
        </w:rPr>
        <w:t xml:space="preserve"> and is classified into five altitudinal intervals. Slope values were grouped into six classes (0–5°, 5–10°, 10–15°, 15–20°, 20–25°, and 25–35°), </w:t>
      </w:r>
      <w:r w:rsidR="00625A89">
        <w:rPr>
          <w:rFonts w:ascii="Arial" w:hAnsi="Arial" w:cs="Arial"/>
          <w:color w:val="000000"/>
          <w:sz w:val="21"/>
          <w:szCs w:val="21"/>
        </w:rPr>
        <w:t xml:space="preserve">representing </w:t>
      </w:r>
      <w:r w:rsidR="00625A89">
        <w:rPr>
          <w:rFonts w:ascii="Arial" w:hAnsi="Arial" w:cs="Arial"/>
          <w:color w:val="000000"/>
          <w:sz w:val="21"/>
          <w:szCs w:val="21"/>
        </w:rPr>
        <w:lastRenderedPageBreak/>
        <w:t>terrain ranging from gentle to moderately steep</w:t>
      </w:r>
      <w:r w:rsidR="00F837DF" w:rsidRPr="00340959">
        <w:rPr>
          <w:rFonts w:ascii="Arial" w:hAnsi="Arial" w:cs="Arial"/>
          <w:color w:val="000000"/>
          <w:sz w:val="21"/>
          <w:szCs w:val="21"/>
        </w:rPr>
        <w:t xml:space="preserve">. Aspect was </w:t>
      </w:r>
      <w:r w:rsidR="00162937">
        <w:rPr>
          <w:rFonts w:ascii="Arial" w:hAnsi="Arial" w:cs="Arial"/>
          <w:color w:val="000000"/>
          <w:sz w:val="21"/>
          <w:szCs w:val="21"/>
        </w:rPr>
        <w:t>categorized</w:t>
      </w:r>
      <w:r w:rsidR="00625A89" w:rsidRPr="00340959">
        <w:rPr>
          <w:rFonts w:ascii="Arial" w:hAnsi="Arial" w:cs="Arial"/>
          <w:color w:val="000000"/>
          <w:sz w:val="21"/>
          <w:szCs w:val="21"/>
        </w:rPr>
        <w:t xml:space="preserve"> </w:t>
      </w:r>
      <w:r w:rsidR="00F837DF" w:rsidRPr="00340959">
        <w:rPr>
          <w:rFonts w:ascii="Arial" w:hAnsi="Arial" w:cs="Arial"/>
          <w:color w:val="000000"/>
          <w:sz w:val="21"/>
          <w:szCs w:val="21"/>
        </w:rPr>
        <w:t>into eight cardinal directions.</w:t>
      </w:r>
      <w:r>
        <w:rPr>
          <w:rFonts w:ascii="Arial" w:hAnsi="Arial" w:cs="Arial"/>
          <w:color w:val="000000"/>
          <w:sz w:val="21"/>
          <w:szCs w:val="21"/>
        </w:rPr>
        <w:t xml:space="preserve"> </w:t>
      </w:r>
      <w:r w:rsidR="00F837DF" w:rsidRPr="00340959">
        <w:rPr>
          <w:rFonts w:ascii="Arial" w:hAnsi="Arial" w:cs="Arial"/>
          <w:color w:val="000000"/>
          <w:sz w:val="21"/>
          <w:szCs w:val="21"/>
        </w:rPr>
        <w:t>Curvature values were divided into five classes representing concave to convex terrain forms. SPI and TWI were derived from hydrological analysis of the DEM and categorized into five classes each, representing increasing flow accumulation and soil moisture potential, respectively. TRI was grouped into five classes to represent increasing terrain ruggedness.</w:t>
      </w:r>
      <w:r>
        <w:rPr>
          <w:rFonts w:ascii="Arial" w:hAnsi="Arial" w:cs="Arial"/>
          <w:color w:val="000000"/>
          <w:sz w:val="21"/>
          <w:szCs w:val="21"/>
        </w:rPr>
        <w:t xml:space="preserve"> </w:t>
      </w:r>
      <w:r w:rsidR="00F837DF" w:rsidRPr="00340959">
        <w:rPr>
          <w:rFonts w:ascii="Arial" w:hAnsi="Arial" w:cs="Arial"/>
          <w:color w:val="000000"/>
          <w:sz w:val="21"/>
          <w:szCs w:val="21"/>
        </w:rPr>
        <w:t>The LULC layer was classified into seven categories: water bodies, trees, flooded vegetation, cropland, built-up areas, barren land, and rangeland. NDVI values were reclassified into five vegetation-density levels.</w:t>
      </w:r>
      <w:r>
        <w:rPr>
          <w:rFonts w:ascii="Arial" w:hAnsi="Arial" w:cs="Arial"/>
          <w:color w:val="000000"/>
          <w:sz w:val="21"/>
          <w:szCs w:val="21"/>
        </w:rPr>
        <w:t xml:space="preserve"> </w:t>
      </w:r>
      <w:r w:rsidR="00F837DF" w:rsidRPr="00340959">
        <w:rPr>
          <w:rFonts w:ascii="Arial" w:hAnsi="Arial" w:cs="Arial"/>
          <w:color w:val="000000"/>
          <w:sz w:val="21"/>
          <w:szCs w:val="21"/>
        </w:rPr>
        <w:t>Mean annual precipitation ranges between approximately 2,983 mm and 3,150 mm and was grouped into seven intensity classes. Drainage density was categorized into seven classes reflecting increasing channel concentration. Euclidean distances to rivers and roads were classified into seven proximity intervals to represent the influence of fluvial erosion and the intensity of anthropogenic disturbance. Soil texture was categorized into three dominant classes: sandy loam, loam, and clay loam.</w:t>
      </w:r>
    </w:p>
    <w:p w14:paraId="36A0F58A" w14:textId="77777777" w:rsidR="000152B3" w:rsidRPr="00340959" w:rsidRDefault="000152B3" w:rsidP="00340959">
      <w:pPr>
        <w:pStyle w:val="Heading1"/>
        <w:spacing w:before="0" w:after="0" w:line="360" w:lineRule="auto"/>
        <w:jc w:val="both"/>
        <w:rPr>
          <w:rFonts w:ascii="Arial" w:hAnsi="Arial" w:cs="Arial"/>
          <w:color w:val="000000"/>
          <w:sz w:val="21"/>
          <w:szCs w:val="21"/>
        </w:rPr>
      </w:pPr>
    </w:p>
    <w:p w14:paraId="1C1B2D24" w14:textId="4D5E52F2" w:rsidR="005B28E8" w:rsidRPr="004D3B85" w:rsidRDefault="00000000" w:rsidP="00340959">
      <w:pPr>
        <w:pStyle w:val="Heading1"/>
        <w:spacing w:before="0" w:after="0" w:line="360" w:lineRule="auto"/>
        <w:rPr>
          <w:rFonts w:ascii="Arial" w:hAnsi="Arial" w:cs="Arial"/>
          <w:b/>
          <w:bCs/>
          <w:sz w:val="21"/>
          <w:szCs w:val="21"/>
        </w:rPr>
      </w:pPr>
      <w:r w:rsidRPr="004D3B85">
        <w:rPr>
          <w:rFonts w:ascii="Arial" w:hAnsi="Arial" w:cs="Arial"/>
          <w:b/>
          <w:bCs/>
          <w:color w:val="7030A0"/>
          <w:sz w:val="21"/>
          <w:szCs w:val="21"/>
        </w:rPr>
        <w:t>Methodology</w:t>
      </w:r>
    </w:p>
    <w:p w14:paraId="5971911B" w14:textId="40636802" w:rsidR="005B28E8" w:rsidRPr="00340959" w:rsidRDefault="00F837DF"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This study presents an integrated Bayesian machine-learning framework for landslide susceptibility mapping (LSM), which incorporates flexibility-revealed preposing, probabilistic modeling, multilevel testing</w:t>
      </w:r>
      <w:r w:rsidR="00567FB5" w:rsidRPr="00340959">
        <w:rPr>
          <w:rFonts w:ascii="Arial" w:hAnsi="Arial" w:cs="Arial"/>
          <w:color w:val="000000"/>
          <w:sz w:val="21"/>
          <w:szCs w:val="21"/>
        </w:rPr>
        <w:t>,</w:t>
      </w:r>
      <w:r w:rsidRPr="00340959">
        <w:rPr>
          <w:rFonts w:ascii="Arial" w:hAnsi="Arial" w:cs="Arial"/>
          <w:color w:val="000000"/>
          <w:sz w:val="21"/>
          <w:szCs w:val="21"/>
        </w:rPr>
        <w:t xml:space="preserve"> and uncertainty-aware spatial deployment. The workflow </w:t>
      </w:r>
      <w:r w:rsidR="0029321A">
        <w:rPr>
          <w:rFonts w:ascii="Arial" w:hAnsi="Arial" w:cs="Arial"/>
          <w:color w:val="000000"/>
          <w:sz w:val="21"/>
          <w:szCs w:val="21"/>
        </w:rPr>
        <w:t>began</w:t>
      </w:r>
      <w:r w:rsidRPr="00340959">
        <w:rPr>
          <w:rFonts w:ascii="Arial" w:hAnsi="Arial" w:cs="Arial"/>
          <w:color w:val="000000"/>
          <w:sz w:val="21"/>
          <w:szCs w:val="21"/>
        </w:rPr>
        <w:t xml:space="preserve"> with </w:t>
      </w:r>
      <w:r w:rsidR="00855B1E">
        <w:rPr>
          <w:rFonts w:ascii="Arial" w:hAnsi="Arial" w:cs="Arial"/>
          <w:color w:val="000000"/>
          <w:sz w:val="21"/>
          <w:szCs w:val="21"/>
        </w:rPr>
        <w:t>compiling historical landslide records and their</w:t>
      </w:r>
      <w:r w:rsidR="00567FB5" w:rsidRPr="00340959">
        <w:rPr>
          <w:rFonts w:ascii="Arial" w:hAnsi="Arial" w:cs="Arial"/>
          <w:color w:val="000000"/>
          <w:sz w:val="21"/>
          <w:szCs w:val="21"/>
        </w:rPr>
        <w:t xml:space="preserve"> associated </w:t>
      </w:r>
      <w:r w:rsidRPr="00340959">
        <w:rPr>
          <w:rFonts w:ascii="Arial" w:hAnsi="Arial" w:cs="Arial"/>
          <w:color w:val="000000"/>
          <w:sz w:val="21"/>
          <w:szCs w:val="21"/>
        </w:rPr>
        <w:t>conditioning factors, followed by standard preprocessing operations. Multivariate analysis, assessment, imputation</w:t>
      </w:r>
      <w:r w:rsidR="00567FB5" w:rsidRPr="00340959">
        <w:rPr>
          <w:rFonts w:ascii="Arial" w:hAnsi="Arial" w:cs="Arial"/>
          <w:color w:val="000000"/>
          <w:sz w:val="21"/>
          <w:szCs w:val="21"/>
        </w:rPr>
        <w:t>,</w:t>
      </w:r>
      <w:r w:rsidRPr="00340959">
        <w:rPr>
          <w:rFonts w:ascii="Arial" w:hAnsi="Arial" w:cs="Arial"/>
          <w:color w:val="000000"/>
          <w:sz w:val="21"/>
          <w:szCs w:val="21"/>
        </w:rPr>
        <w:t xml:space="preserve"> and feature scaling were conducted only on the training data set </w:t>
      </w:r>
      <w:r w:rsidR="00B52F0B">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{"citationID":"3YwIFtEW","properties":{"formattedCitation":"(Achu et al. 2023)","plainCitation":"(Achu et al. 2023)","noteIndex":0},"citationItems":[{"id":332,"uris":["http://zotero.org/users/local/emosa1lm/items/EAEBALG2"],"itemData":{"id":332,"type":"article-journal","abstract":"Landslide susceptibility maps are vital tools used by decision-makers to adopt mitigation strategies for future calamities. In this context, research on landslide susceptibility modelling has become a topic of relevance and is in constant evolution. Though various machine-learning techniques (MLTs) have been identified for landslide susceptibility modelling, the uncertainty inherent in the models is rarely considered. The present study attempts to quantify the uncertainty associated with landslide prediction models by developing a new methodological framework based on the ensembles of the eight MLTs. This methodology has been tested at the highlands of the southern Western Ghats region (Kerala, India), where landslides have frequently been occurring. Fourteen landslide conditioning factors have been identified as part of this study, and their association was correlated with 671 historic landslides in the study area. The study used four ensemble models such as the mean of probabilities, the median of probabilities, the weighted mean of probabilities, and the committee average. The weighted mean of probability was proved to be the best model based on the average of 800 standalone MLTs, viz., receiver operating characteristics, true skill statistics, and area under curve with corresponding validation scores. Thereafter, an uncertainty analysis was carried out on the coefficient of variation. A confident map was generated to represent the distinct zonation of landslide susceptibility areas with definite uncertainty scales. Nearly 74% of the past landslides fall in the higher susceptibility-low uncertainty category. It is also inferred that such micro-level zonation based on MLTs may improve the efficiency of landslide susceptibility maps and may help in accurately identifying landslide-prone areas in the future. The confident maps thus generated can be used as a ready reference to the planners for the formulation of landslide adaptation strategies at micro-scales.","container-title":"Geoscience Frontiers","DOI":"10.1016/j.gsf.2023.101657","ISSN":"1674-9871","issue":"6","journalAbbreviation":"Geoscience Frontiers","page":"101657","source":"ScienceDirect","title":"Machine-learning based landslide susceptibility modelling with emphasis on uncertainty analysis","volume":"14","author":[{"family":"Achu","given":"A. L."},{"family":"Aju","given":"C. D."},{"family":"Di Napoli","given":"Mariano"},{"family":"Prakash","given":"Pranav"},{"family":"Gopinath","given":"Girish"},{"family":"Shaji","given":"E."},{"family":"Chandra","given":"Vinod"}],"issued":{"date-parts":[["2023",11,1]]}}}],"schema":"https://github.com/citation-style-language/schema/raw/master/csl-citation.json"} </w:instrText>
      </w:r>
      <w:r w:rsidR="00B52F0B">
        <w:rPr>
          <w:rFonts w:ascii="Arial" w:hAnsi="Arial" w:cs="Arial"/>
          <w:color w:val="000000"/>
          <w:sz w:val="21"/>
          <w:szCs w:val="21"/>
        </w:rPr>
        <w:fldChar w:fldCharType="separate"/>
      </w:r>
      <w:r w:rsidR="0050478C" w:rsidRPr="0050478C">
        <w:rPr>
          <w:rFonts w:ascii="Arial" w:hAnsi="Arial" w:cs="Arial"/>
          <w:sz w:val="21"/>
        </w:rPr>
        <w:t>(Achu et al. 2023)</w:t>
      </w:r>
      <w:r w:rsidR="00B52F0B">
        <w:rPr>
          <w:rFonts w:ascii="Arial" w:hAnsi="Arial" w:cs="Arial"/>
          <w:color w:val="000000"/>
          <w:sz w:val="21"/>
          <w:szCs w:val="21"/>
        </w:rPr>
        <w:fldChar w:fldCharType="end"/>
      </w:r>
      <w:r w:rsidR="00B52F0B">
        <w:rPr>
          <w:rFonts w:ascii="Arial" w:hAnsi="Arial" w:cs="Arial"/>
          <w:color w:val="000000"/>
          <w:sz w:val="21"/>
          <w:szCs w:val="21"/>
        </w:rPr>
        <w:t xml:space="preserve"> </w:t>
      </w:r>
      <w:r w:rsidRPr="00340959">
        <w:rPr>
          <w:rFonts w:ascii="Arial" w:hAnsi="Arial" w:cs="Arial"/>
          <w:color w:val="000000"/>
          <w:sz w:val="21"/>
          <w:szCs w:val="21"/>
        </w:rPr>
        <w:t xml:space="preserve">beginning with an exploratory data analysis (EDA). All steps were performed carefully to prevent data leakage. Both classes of </w:t>
      </w:r>
      <w:r w:rsidR="00567FB5" w:rsidRPr="00340959">
        <w:rPr>
          <w:rFonts w:ascii="Arial" w:hAnsi="Arial" w:cs="Arial"/>
          <w:color w:val="000000"/>
          <w:sz w:val="21"/>
          <w:szCs w:val="21"/>
        </w:rPr>
        <w:t>models</w:t>
      </w:r>
      <w:r w:rsidRPr="00340959">
        <w:rPr>
          <w:rFonts w:ascii="Arial" w:hAnsi="Arial" w:cs="Arial"/>
          <w:color w:val="000000"/>
          <w:sz w:val="21"/>
          <w:szCs w:val="21"/>
        </w:rPr>
        <w:t xml:space="preserve"> (Bayesian: Bayesian Logistic Regression, Gaussian Process Classifier; conventional benchmark) </w:t>
      </w:r>
      <w:r w:rsidR="0029321A">
        <w:rPr>
          <w:rFonts w:ascii="Arial" w:hAnsi="Arial" w:cs="Arial"/>
          <w:color w:val="000000"/>
          <w:sz w:val="21"/>
          <w:szCs w:val="21"/>
        </w:rPr>
        <w:t>were</w:t>
      </w:r>
      <w:r w:rsidRPr="00340959">
        <w:rPr>
          <w:rFonts w:ascii="Arial" w:hAnsi="Arial" w:cs="Arial"/>
          <w:color w:val="000000"/>
          <w:sz w:val="21"/>
          <w:szCs w:val="21"/>
        </w:rPr>
        <w:t xml:space="preserve"> trained </w:t>
      </w:r>
      <w:r w:rsidR="0029321A">
        <w:rPr>
          <w:rFonts w:ascii="Arial" w:hAnsi="Arial" w:cs="Arial"/>
          <w:color w:val="000000"/>
          <w:sz w:val="21"/>
          <w:szCs w:val="21"/>
        </w:rPr>
        <w:t>using the same pipeline configurations to ensure</w:t>
      </w:r>
      <w:r w:rsidRPr="00340959">
        <w:rPr>
          <w:rFonts w:ascii="Arial" w:hAnsi="Arial" w:cs="Arial"/>
          <w:color w:val="000000"/>
          <w:sz w:val="21"/>
          <w:szCs w:val="21"/>
        </w:rPr>
        <w:t xml:space="preserve"> a fair comparison. The proposed model performance </w:t>
      </w:r>
      <w:r w:rsidR="0029321A">
        <w:rPr>
          <w:rFonts w:ascii="Arial" w:hAnsi="Arial" w:cs="Arial"/>
          <w:color w:val="000000"/>
          <w:sz w:val="21"/>
          <w:szCs w:val="21"/>
        </w:rPr>
        <w:t xml:space="preserve">was </w:t>
      </w:r>
      <w:r w:rsidRPr="00340959">
        <w:rPr>
          <w:rFonts w:ascii="Arial" w:hAnsi="Arial" w:cs="Arial"/>
          <w:color w:val="000000"/>
          <w:sz w:val="21"/>
          <w:szCs w:val="21"/>
        </w:rPr>
        <w:t>evaluated using a comprehensive validation strategy</w:t>
      </w:r>
      <w:r w:rsidR="00567FB5" w:rsidRPr="00340959">
        <w:rPr>
          <w:rFonts w:ascii="Arial" w:hAnsi="Arial" w:cs="Arial"/>
          <w:color w:val="000000"/>
          <w:sz w:val="21"/>
          <w:szCs w:val="21"/>
        </w:rPr>
        <w:t>,</w:t>
      </w:r>
      <w:r w:rsidRPr="00340959">
        <w:rPr>
          <w:rFonts w:ascii="Arial" w:hAnsi="Arial" w:cs="Arial"/>
          <w:color w:val="000000"/>
          <w:sz w:val="21"/>
          <w:szCs w:val="21"/>
        </w:rPr>
        <w:t xml:space="preserve"> along with repeated stratified cross-validation, spatial block cross-validation to assess the geographic generalization of results</w:t>
      </w:r>
      <w:r w:rsidR="00567FB5" w:rsidRPr="00340959">
        <w:rPr>
          <w:rFonts w:ascii="Arial" w:hAnsi="Arial" w:cs="Arial"/>
          <w:color w:val="000000"/>
          <w:sz w:val="21"/>
          <w:szCs w:val="21"/>
        </w:rPr>
        <w:t>,</w:t>
      </w:r>
      <w:r w:rsidRPr="00340959">
        <w:rPr>
          <w:rFonts w:ascii="Arial" w:hAnsi="Arial" w:cs="Arial"/>
          <w:color w:val="000000"/>
          <w:sz w:val="21"/>
          <w:szCs w:val="21"/>
        </w:rPr>
        <w:t xml:space="preserve"> and an independent holdout test for external evaluation</w:t>
      </w:r>
      <w:r w:rsidR="00D4784A" w:rsidRPr="00340959">
        <w:rPr>
          <w:rFonts w:ascii="Arial" w:hAnsi="Arial" w:cs="Arial"/>
          <w:color w:val="000000"/>
          <w:sz w:val="21"/>
          <w:szCs w:val="21"/>
        </w:rPr>
        <w:t xml:space="preserve"> </w:t>
      </w:r>
      <w:r w:rsidR="00043F51">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{"citationID":"bvczH05M","properties":{"formattedCitation":"(Afzal et al. 2025)","plainCitation":"(Afzal et al. 2025)","noteIndex":0},"citationItems":[{"id":334,"uris":["http://zotero.org/users/local/emosa1lm/items/AK4VFGDS"],"itemData":{"id":334,"type":"article-journal","abstract":"The agriculture field is the basis of a country’s change and financial system. Crops are the main source of revenue for the people. One of the farmer’s most challenging problems is choosing the right crops for their land. This critical decision has a direct impact on productivity and profit. Wrong crop selection not only reduces yields but also causes food shortages, creating more problems for farmers. The best crop depends on many parameters such as illustration humidity, N, K, P, pH, rainfall, and temperature of the soil. Getting advice from experts is not an easy task. This requires intelligent models in crop recommendations that use machine-learning models to suggest suitable crops for soil and other environmental conditions. Temperature, humidity, and pH are important data for growing crops in agriculture. In this study, we gather and preprocess relevant data. To recommend the most suitable crop, we propose a novel ensemble learning approach called RFXG based on random forest (RF) and extreme gradient boosting (XGB) to suggest the best crop out of the twenty-two major crops. To measure the capability of the proposed approach, various machine learning models are utilized including extra tree classifier, multilayer perceptron, RF, decision trees, logistic regression, and XGB classifiers. To get the best performance, optimization of hyperparameter, and K-fold cross-validation procedures are performed. Experimental outcomes show that the proposed RFXG technique achieves a recommendation accuracy is 98%. Specifically, the proposed solution provides immediate recommendations to help farmers make timely decisions.","container-title":"Scientific Reports","DOI":"10.1038/s41598-025-88676-z","ISSN":"2045-2322","issue":"1","journalAbbreviation":"Sci Rep","language":"en","license":"2025 The Author(s)","page":"8560","publisher":"Nature Publishing Group","source":"www.nature.com","title":"Incorporating soil information with machine learning for crop recommendation to improve agricultural output","volume":"15","author":[{"family":"Afzal","given":"Hadeeqa"},{"family":"Amjad","given":"Madiha"},{"family":"Raza","given":"Ali"},{"family":"Munir","given":"Kashif"},{"family":"Villar","given":"Santos Gracia"},{"family":"Lopez","given":"Luis Alonso Dzul"},{"family":"Ashraf","given":"Imran"}],"issued":{"date-parts":[["2025",3,12]]}}}],"schema":"https://github.com/citation-style-language/schema/raw/master/csl-citation.json"} </w:instrText>
      </w:r>
      <w:r w:rsidR="00043F51">
        <w:rPr>
          <w:rFonts w:ascii="Arial" w:hAnsi="Arial" w:cs="Arial"/>
          <w:color w:val="000000"/>
          <w:sz w:val="21"/>
          <w:szCs w:val="21"/>
        </w:rPr>
        <w:fldChar w:fldCharType="separate"/>
      </w:r>
      <w:r w:rsidR="0050478C" w:rsidRPr="0050478C">
        <w:rPr>
          <w:rFonts w:ascii="Arial" w:hAnsi="Arial" w:cs="Arial"/>
          <w:sz w:val="21"/>
        </w:rPr>
        <w:t>(Afzal et al. 2025)</w:t>
      </w:r>
      <w:r w:rsidR="00043F51">
        <w:rPr>
          <w:rFonts w:ascii="Arial" w:hAnsi="Arial" w:cs="Arial"/>
          <w:color w:val="000000"/>
          <w:sz w:val="21"/>
          <w:szCs w:val="21"/>
        </w:rPr>
        <w:fldChar w:fldCharType="end"/>
      </w:r>
      <w:r w:rsidRPr="00340959">
        <w:rPr>
          <w:rFonts w:ascii="Arial" w:hAnsi="Arial" w:cs="Arial"/>
          <w:color w:val="000000"/>
          <w:sz w:val="21"/>
          <w:szCs w:val="21"/>
        </w:rPr>
        <w:t xml:space="preserve">. Discrimination, calibration, and probabilistic error metrics </w:t>
      </w:r>
      <w:r w:rsidR="0029321A">
        <w:rPr>
          <w:rFonts w:ascii="Arial" w:hAnsi="Arial" w:cs="Arial"/>
          <w:color w:val="000000"/>
          <w:sz w:val="21"/>
          <w:szCs w:val="21"/>
        </w:rPr>
        <w:t>were</w:t>
      </w:r>
      <w:r w:rsidRPr="00340959">
        <w:rPr>
          <w:rFonts w:ascii="Arial" w:hAnsi="Arial" w:cs="Arial"/>
          <w:color w:val="000000"/>
          <w:sz w:val="21"/>
          <w:szCs w:val="21"/>
        </w:rPr>
        <w:t xml:space="preserve"> jointly analyzed</w:t>
      </w:r>
      <w:r w:rsidR="00567FB5" w:rsidRPr="00340959">
        <w:rPr>
          <w:rFonts w:ascii="Arial" w:hAnsi="Arial" w:cs="Arial"/>
          <w:color w:val="000000"/>
          <w:sz w:val="21"/>
          <w:szCs w:val="21"/>
        </w:rPr>
        <w:t xml:space="preserve">, and formal statistical tests </w:t>
      </w:r>
      <w:r w:rsidR="0029321A">
        <w:rPr>
          <w:rFonts w:ascii="Arial" w:hAnsi="Arial" w:cs="Arial"/>
          <w:color w:val="000000"/>
          <w:sz w:val="21"/>
          <w:szCs w:val="21"/>
        </w:rPr>
        <w:t>were</w:t>
      </w:r>
      <w:r w:rsidR="00567FB5" w:rsidRPr="00340959">
        <w:rPr>
          <w:rFonts w:ascii="Arial" w:hAnsi="Arial" w:cs="Arial"/>
          <w:color w:val="000000"/>
          <w:sz w:val="21"/>
          <w:szCs w:val="21"/>
        </w:rPr>
        <w:t xml:space="preserve"> applied to identify</w:t>
      </w:r>
      <w:r w:rsidRPr="00340959">
        <w:rPr>
          <w:rFonts w:ascii="Arial" w:hAnsi="Arial" w:cs="Arial"/>
          <w:color w:val="000000"/>
          <w:sz w:val="21"/>
          <w:szCs w:val="21"/>
        </w:rPr>
        <w:t xml:space="preserve"> groups that differ significantly. Final model selection </w:t>
      </w:r>
      <w:r w:rsidR="0029321A">
        <w:rPr>
          <w:rFonts w:ascii="Arial" w:hAnsi="Arial" w:cs="Arial"/>
          <w:color w:val="000000"/>
          <w:sz w:val="21"/>
          <w:szCs w:val="21"/>
        </w:rPr>
        <w:t>was</w:t>
      </w:r>
      <w:r w:rsidRPr="00340959">
        <w:rPr>
          <w:rFonts w:ascii="Arial" w:hAnsi="Arial" w:cs="Arial"/>
          <w:color w:val="000000"/>
          <w:sz w:val="21"/>
          <w:szCs w:val="21"/>
        </w:rPr>
        <w:t xml:space="preserve"> also based on performance assessments </w:t>
      </w:r>
      <w:r w:rsidR="00567FB5" w:rsidRPr="00340959">
        <w:rPr>
          <w:rFonts w:ascii="Arial" w:hAnsi="Arial" w:cs="Arial"/>
          <w:color w:val="000000"/>
          <w:sz w:val="21"/>
          <w:szCs w:val="21"/>
        </w:rPr>
        <w:t>within a weighted multi-criteria rank-based framework that balances</w:t>
      </w:r>
      <w:r w:rsidRPr="00340959">
        <w:rPr>
          <w:rFonts w:ascii="Arial" w:hAnsi="Arial" w:cs="Arial"/>
          <w:color w:val="000000"/>
          <w:sz w:val="21"/>
          <w:szCs w:val="21"/>
        </w:rPr>
        <w:t xml:space="preserve"> predictive power, spatial stability, and calibration fit. The chosen Bayesian model was then retrained on the entire dataset to produce a bivariate map of landslide susceptibility and uncertainty.</w:t>
      </w:r>
      <w:r w:rsidR="0029321A">
        <w:rPr>
          <w:rFonts w:ascii="Arial" w:hAnsi="Arial" w:cs="Arial"/>
          <w:color w:val="000000"/>
          <w:sz w:val="21"/>
          <w:szCs w:val="21"/>
        </w:rPr>
        <w:t xml:space="preserve"> The methodological flow chart is shown in Figure </w:t>
      </w:r>
      <w:commentRangeStart w:id="3"/>
      <w:commentRangeStart w:id="4"/>
      <w:r w:rsidR="0029321A">
        <w:rPr>
          <w:rFonts w:ascii="Arial" w:hAnsi="Arial" w:cs="Arial"/>
          <w:color w:val="000000"/>
          <w:sz w:val="21"/>
          <w:szCs w:val="21"/>
        </w:rPr>
        <w:t>3</w:t>
      </w:r>
      <w:commentRangeEnd w:id="3"/>
      <w:r w:rsidR="006171B6">
        <w:rPr>
          <w:rStyle w:val="CommentReference"/>
          <w:rFonts w:ascii="Arial" w:hAnsi="Arial" w:cs="Arial"/>
          <w:color w:val="000000"/>
          <w:sz w:val="21"/>
          <w:szCs w:val="21"/>
        </w:rPr>
        <w:commentReference w:id="3"/>
      </w:r>
      <w:commentRangeEnd w:id="4"/>
      <w:r w:rsidR="00C10773">
        <w:rPr>
          <w:rStyle w:val="CommentReference"/>
          <w:rFonts w:ascii="Arial" w:hAnsi="Arial" w:cs="Arial"/>
          <w:color w:val="000000"/>
          <w:sz w:val="21"/>
          <w:szCs w:val="21"/>
        </w:rPr>
        <w:commentReference w:id="4"/>
      </w:r>
      <w:r w:rsidR="0029321A">
        <w:rPr>
          <w:rFonts w:ascii="Arial" w:hAnsi="Arial" w:cs="Arial"/>
          <w:color w:val="000000"/>
          <w:sz w:val="21"/>
          <w:szCs w:val="21"/>
        </w:rPr>
        <w:t xml:space="preserve">. </w:t>
      </w:r>
    </w:p>
    <w:p w14:paraId="0343773B" w14:textId="263167F8" w:rsidR="000152B3" w:rsidRPr="00340959" w:rsidRDefault="00E47337" w:rsidP="00340959">
      <w:pPr>
        <w:spacing w:before="0" w:after="0" w:line="360" w:lineRule="auto"/>
        <w:jc w:val="center"/>
        <w:rPr>
          <w:rFonts w:ascii="Arial" w:hAnsi="Arial" w:cs="Arial"/>
          <w:sz w:val="21"/>
          <w:szCs w:val="21"/>
        </w:rPr>
      </w:pPr>
      <w:r>
        <w:rPr>
          <w:rFonts w:ascii="Arial" w:hAnsi="Arial" w:cs="Arial"/>
          <w:noProof/>
          <w:sz w:val="21"/>
          <w:szCs w:val="21"/>
        </w:rPr>
        <w:lastRenderedPageBreak/>
        <w:drawing>
          <wp:inline distT="0" distB="0" distL="0" distR="0" wp14:anchorId="61B38948" wp14:editId="506E6F28">
            <wp:extent cx="9045022" cy="5894354"/>
            <wp:effectExtent l="0" t="5715" r="0" b="0"/>
            <wp:docPr id="648832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2382" name="Picture 648832382"/>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9046454" cy="5895287"/>
                    </a:xfrm>
                    <a:prstGeom prst="rect">
                      <a:avLst/>
                    </a:prstGeom>
                  </pic:spPr>
                </pic:pic>
              </a:graphicData>
            </a:graphic>
          </wp:inline>
        </w:drawing>
      </w:r>
    </w:p>
    <w:p w14:paraId="5F29EA5C" w14:textId="595C632E" w:rsidR="005B28E8" w:rsidRPr="00340959" w:rsidRDefault="00000000" w:rsidP="00340959">
      <w:pPr>
        <w:spacing w:before="0" w:after="0" w:line="360" w:lineRule="auto"/>
        <w:jc w:val="center"/>
        <w:rPr>
          <w:rFonts w:ascii="Arial" w:hAnsi="Arial" w:cs="Arial"/>
          <w:i/>
          <w:iCs/>
          <w:sz w:val="21"/>
          <w:szCs w:val="21"/>
        </w:rPr>
      </w:pPr>
      <w:r w:rsidRPr="00340959">
        <w:rPr>
          <w:rFonts w:ascii="Arial" w:hAnsi="Arial" w:cs="Arial"/>
          <w:i/>
          <w:iCs/>
          <w:color w:val="000000"/>
          <w:sz w:val="21"/>
          <w:szCs w:val="21"/>
        </w:rPr>
        <w:t>Figure 3</w:t>
      </w:r>
      <w:r w:rsidR="009F1E39" w:rsidRPr="00340959">
        <w:rPr>
          <w:rFonts w:ascii="Arial" w:hAnsi="Arial" w:cs="Arial"/>
          <w:i/>
          <w:iCs/>
          <w:color w:val="000000"/>
          <w:sz w:val="21"/>
          <w:szCs w:val="21"/>
        </w:rPr>
        <w:t>:</w:t>
      </w:r>
      <w:r w:rsidRPr="00340959">
        <w:rPr>
          <w:rFonts w:ascii="Arial" w:hAnsi="Arial" w:cs="Arial"/>
          <w:i/>
          <w:iCs/>
          <w:color w:val="000000"/>
          <w:sz w:val="21"/>
          <w:szCs w:val="21"/>
        </w:rPr>
        <w:t xml:space="preserve"> Methodological workflow for Bayesian deployment with benchmark comparison.</w:t>
      </w:r>
    </w:p>
    <w:p w14:paraId="4FD3B319" w14:textId="77777777" w:rsidR="00D53A16" w:rsidRPr="00340959" w:rsidRDefault="00D53A16" w:rsidP="00340959">
      <w:pPr>
        <w:pStyle w:val="Heading2"/>
        <w:spacing w:before="0" w:after="0" w:line="360" w:lineRule="auto"/>
        <w:jc w:val="both"/>
        <w:rPr>
          <w:rFonts w:ascii="Arial" w:hAnsi="Arial" w:cs="Arial"/>
          <w:b/>
          <w:bCs/>
          <w:color w:val="000000"/>
          <w:sz w:val="21"/>
          <w:szCs w:val="21"/>
        </w:rPr>
      </w:pPr>
    </w:p>
    <w:p w14:paraId="6610A7E2" w14:textId="24C5B594" w:rsidR="005B28E8" w:rsidRPr="0029321A" w:rsidRDefault="00000000" w:rsidP="00340959">
      <w:pPr>
        <w:pStyle w:val="Heading2"/>
        <w:spacing w:before="0" w:after="0" w:line="360" w:lineRule="auto"/>
        <w:jc w:val="both"/>
        <w:rPr>
          <w:rFonts w:ascii="Arial" w:hAnsi="Arial" w:cs="Arial"/>
          <w:b/>
          <w:bCs/>
          <w:sz w:val="21"/>
          <w:szCs w:val="21"/>
        </w:rPr>
      </w:pPr>
      <w:r w:rsidRPr="0029321A">
        <w:rPr>
          <w:rFonts w:ascii="Arial" w:hAnsi="Arial" w:cs="Arial"/>
          <w:b/>
          <w:bCs/>
          <w:color w:val="000000"/>
          <w:sz w:val="21"/>
          <w:szCs w:val="21"/>
        </w:rPr>
        <w:t>Multicollinearity screening</w:t>
      </w:r>
    </w:p>
    <w:p w14:paraId="7C1AEFEE" w14:textId="4C2BECFD" w:rsidR="00904121" w:rsidRPr="00340959" w:rsidRDefault="0029321A" w:rsidP="00340959">
      <w:pPr>
        <w:spacing w:before="0" w:after="0" w:line="360" w:lineRule="auto"/>
        <w:jc w:val="both"/>
        <w:rPr>
          <w:rFonts w:ascii="Arial" w:hAnsi="Arial" w:cs="Arial"/>
          <w:color w:val="000000"/>
          <w:sz w:val="21"/>
          <w:szCs w:val="21"/>
        </w:rPr>
      </w:pPr>
      <w:r>
        <w:rPr>
          <w:rFonts w:ascii="Arial" w:hAnsi="Arial" w:cs="Arial"/>
          <w:color w:val="000000"/>
          <w:sz w:val="21"/>
          <w:szCs w:val="21"/>
        </w:rPr>
        <w:t>M</w:t>
      </w:r>
      <w:r w:rsidR="00904121" w:rsidRPr="00340959">
        <w:rPr>
          <w:rFonts w:ascii="Arial" w:hAnsi="Arial" w:cs="Arial"/>
          <w:color w:val="000000"/>
          <w:sz w:val="21"/>
          <w:szCs w:val="21"/>
        </w:rPr>
        <w:t xml:space="preserve">ulticollinearity </w:t>
      </w:r>
      <w:r>
        <w:rPr>
          <w:rFonts w:ascii="Arial" w:hAnsi="Arial" w:cs="Arial"/>
          <w:color w:val="000000"/>
          <w:sz w:val="21"/>
          <w:szCs w:val="21"/>
        </w:rPr>
        <w:t xml:space="preserve">was evaluated </w:t>
      </w:r>
      <w:r w:rsidR="00904121" w:rsidRPr="00340959">
        <w:rPr>
          <w:rFonts w:ascii="Arial" w:hAnsi="Arial" w:cs="Arial"/>
          <w:color w:val="000000"/>
          <w:sz w:val="21"/>
          <w:szCs w:val="21"/>
        </w:rPr>
        <w:t>among the conditioning factors prior to model development to ensure that regression-based and kernel-based models would be statistically stable and interpretable</w:t>
      </w:r>
      <w:r w:rsidR="00D4784A" w:rsidRPr="00340959">
        <w:rPr>
          <w:rFonts w:ascii="Arial" w:hAnsi="Arial" w:cs="Arial"/>
          <w:color w:val="000000"/>
          <w:sz w:val="21"/>
          <w:szCs w:val="21"/>
        </w:rPr>
        <w:t xml:space="preserve"> </w:t>
      </w:r>
      <w:r w:rsidR="00D4784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{"citationID":"sr29ygaA","properties":{"formattedCitation":"(Bobb et al. 2018)","plainCitation":"(Bobb et al. 2018)","noteIndex":0},"citationItems":[{"id":141,"uris":["http://zotero.org/users/local/emosa1lm/items/XCZVTZMR"],"itemData":{"id":141,"type":"article-journal","abstract":"Estimating the health effects of multi-pollutant mixtures is of increasing interest in environmental epidemiology. Recently, a new approach for estimating the health effects of mixtures, Bayesian kernel machine regression (BKMR), has been developed. This method estimates the multivariable exposure-response function in a flexible and parsimonious way, conducts variable selection on the (potentially high-dimensional) vector of exposures, and allows for a grouped variable selection approach that can accommodate highly correlated exposures. However, the application of this novel method has been limited by a lack of available software, the need to derive interpretable output in a computationally efficient manner, and the inability to apply the method to non-continuous outcome variables. This paper addresses these limitations by (i) introducing an open-source software package in the R programming language, the bkmr R package, (ii) demonstrating methods for visualizing high-dimensional exposure-response functions, and for estimating scientifically relevant summaries, (iii) illustrating a probit regression implementation of BKMR for binary outcomes, and (iv) describing a fast version of BKMR that utilizes a Gaussian predictive process approach. All of the methods are illustrated using fully reproducible examples with the provided R code. Applying the methods to a continuous outcome example illustrated the ability of the BKMR implementation to estimate the health effects of multi-pollutant mixtures in the context of a highly nonlinear, biologically-based dose-response function, and to estimate overall, single-exposure, and interactive health effects. The Gaussian predictive process method led to a substantial reduction in the runtime, without a major decrease in accuracy. In the setting of a larger number of exposures and a dichotomous outcome, the probit BKMR implementation was able to correctly identify the variables included in the exposure-response function and yielded interpretable quantities on the scale of a latent continuous outcome or on the scale of the outcome probability. This newly developed software, integrated suite of tools, and extended methodology makes BKMR accessible for use across a broad range of epidemiological applications in which multiple risk factors have complex effects on health.","container-title":"Environmental Health","DOI":"10.1186/s12940-018-0413-y","ISSN":"1476-069X","issue":"1","PMID":"30126431","publisher":"BioMed Central","title":"Statistical software for analyzing the health effects of multiple concurrent exposures via Bayesian kernel machine regression","URL":"https://doi.org/10.1186/s12940-018-0413-y","volume":"17","author":[{"family":"Bobb","given":"Jennifer F."},{"family":"Henn","given":"Birgit Claus"},{"family":"Valeri","given":"Linda"},{"family":"Coull","given":"Brent A."}],"issued":{"date-parts":[["2018",8]]}}}],"schema":"https://github.com/citation-style-language/schema/raw/master/csl-citation.json"} </w:instrText>
      </w:r>
      <w:r w:rsidR="00D4784A" w:rsidRPr="00340959">
        <w:rPr>
          <w:rFonts w:ascii="Arial" w:hAnsi="Arial" w:cs="Arial"/>
          <w:color w:val="000000"/>
          <w:sz w:val="21"/>
          <w:szCs w:val="21"/>
        </w:rPr>
        <w:fldChar w:fldCharType="separate"/>
      </w:r>
      <w:r w:rsidR="0050478C" w:rsidRPr="0050478C">
        <w:rPr>
          <w:rFonts w:ascii="Arial" w:hAnsi="Arial" w:cs="Arial"/>
          <w:sz w:val="21"/>
        </w:rPr>
        <w:t>(Bobb et al. 2018)</w:t>
      </w:r>
      <w:r w:rsidR="00D4784A" w:rsidRPr="00340959">
        <w:rPr>
          <w:rFonts w:ascii="Arial" w:hAnsi="Arial" w:cs="Arial"/>
          <w:color w:val="000000"/>
          <w:sz w:val="21"/>
          <w:szCs w:val="21"/>
        </w:rPr>
        <w:fldChar w:fldCharType="end"/>
      </w:r>
      <w:r w:rsidR="00904121" w:rsidRPr="00340959">
        <w:rPr>
          <w:rFonts w:ascii="Arial" w:hAnsi="Arial" w:cs="Arial"/>
          <w:color w:val="000000"/>
          <w:sz w:val="21"/>
          <w:szCs w:val="21"/>
        </w:rPr>
        <w:t xml:space="preserve">. Predictor intercorrelation induces inflation in variance estimates, destabilizes coefficient estimation, and distorts posterior uncertainty of inference based on Bayesian frameworks </w:t>
      </w:r>
      <w:r w:rsidR="00D4784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{"citationID":"XjpeAIO5","properties":{"formattedCitation":"(Gregorich et al. 2021)","plainCitation":"(Gregorich et al. 2021)","noteIndex":0},"citationItems":[{"id":142,"uris":["http://zotero.org/users/local/emosa1lm/items/6YTBFZEY"],"itemData":{"id":142,"type":"article-journal","abstract":"Regression models have been in use for decades to explore and quantify the association between a dependent response and several independent variables in environmental sciences, epidemiology and public health. However, researchers often encounter situations in which some independent variables exhibit high bivariate correlation, or may even be collinear. Improper statistical handling of this situation will most certainly generate models of little or no practical use and misleading interpretations. By means of two example studies, we demonstrate how diagnostic tools for collinearity or near-collinearity may fail in guiding the analyst. Instead, the most appropriate way of handling collinearity should be driven by the research question at hand and, in particular, by the distinction between predictive or explanatory aims.","container-title":"International Journal of Environmental Research and Public Health","DOI":"10.3390/ijerph18084259","ISSN":"1660-4601, 1661-7827","issue":"8","page":"4259-4259","PMID":"33920501","publisher":"Multidisciplinary Digital Publishing Institute","title":"Regression with Highly Correlated Predictors: Variable Omission Is Not the Solution","volume":"18","author":[{"family":"Gregorich","given":"Mariella"},{"family":"Strohmaier","given":"Susanne"},{"family":"Dunkler","given":"Daniela"},{"family":"Heinze","given":"Georg"}],"issued":{"date-parts":[["2021",4]]}}}],"schema":"https://github.com/citation-style-language/schema/raw/master/csl-citation.json"} </w:instrText>
      </w:r>
      <w:r w:rsidR="00D4784A" w:rsidRPr="00340959">
        <w:rPr>
          <w:rFonts w:ascii="Arial" w:hAnsi="Arial" w:cs="Arial"/>
          <w:color w:val="000000"/>
          <w:sz w:val="21"/>
          <w:szCs w:val="21"/>
        </w:rPr>
        <w:fldChar w:fldCharType="separate"/>
      </w:r>
      <w:r w:rsidR="0050478C" w:rsidRPr="0050478C">
        <w:rPr>
          <w:rFonts w:ascii="Arial" w:hAnsi="Arial" w:cs="Arial"/>
          <w:sz w:val="21"/>
        </w:rPr>
        <w:t>(Gregorich et al. 2021)</w:t>
      </w:r>
      <w:r w:rsidR="00D4784A" w:rsidRPr="00340959">
        <w:rPr>
          <w:rFonts w:ascii="Arial" w:hAnsi="Arial" w:cs="Arial"/>
          <w:color w:val="000000"/>
          <w:sz w:val="21"/>
          <w:szCs w:val="21"/>
        </w:rPr>
        <w:fldChar w:fldCharType="end"/>
      </w:r>
      <w:r w:rsidR="00904121" w:rsidRPr="00340959">
        <w:rPr>
          <w:rFonts w:ascii="Arial" w:hAnsi="Arial" w:cs="Arial"/>
          <w:color w:val="000000"/>
          <w:sz w:val="21"/>
          <w:szCs w:val="21"/>
        </w:rPr>
        <w:t xml:space="preserve">. Hence, the multicollinearity diagnostics were carried out only on the training subset to avoid any information leakage into </w:t>
      </w:r>
      <w:r w:rsidR="00567FB5" w:rsidRPr="00340959">
        <w:rPr>
          <w:rFonts w:ascii="Arial" w:hAnsi="Arial" w:cs="Arial"/>
          <w:color w:val="000000"/>
          <w:sz w:val="21"/>
          <w:szCs w:val="21"/>
        </w:rPr>
        <w:t xml:space="preserve">the </w:t>
      </w:r>
      <w:r w:rsidR="00904121" w:rsidRPr="00340959">
        <w:rPr>
          <w:rFonts w:ascii="Arial" w:hAnsi="Arial" w:cs="Arial"/>
          <w:color w:val="000000"/>
          <w:sz w:val="21"/>
          <w:szCs w:val="21"/>
        </w:rPr>
        <w:t>validation stages</w:t>
      </w:r>
      <w:r w:rsidR="00713DAE" w:rsidRPr="00340959">
        <w:rPr>
          <w:rFonts w:ascii="Arial" w:hAnsi="Arial" w:cs="Arial"/>
          <w:color w:val="000000"/>
          <w:sz w:val="21"/>
          <w:szCs w:val="21"/>
        </w:rPr>
        <w:t xml:space="preserve"> </w:t>
      </w:r>
      <w:r w:rsidR="00CC311D">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{"citationID":"T9HaBExx","properties":{"formattedCitation":"(Rahaman and Abdul 2024)","plainCitation":"(Rahaman and Abdul 2024)","noteIndex":0},"citationItems":[{"id":336,"uris":["http://zotero.org/users/local/emosa1lm/items/X8GASUYC"],"itemData":{"id":336,"type":"article","abstract":"Economic policy uncertainty relates to the unpredictability in government policies that can impact economic decision-making. High policy uncertainty can lead to less investment, slower economic growth, and increased volatility in financial markets. This study aims to quantify the uncertainty by employing a data-driven approach based on Bayesian Hierarchical Modeling (BHM) and Markov Chain Monte Carlo simulations. This research focuses essentially on key policy domains such as monetary policy, fiscal policy, and trade policy where uncertainty underlies crucial influences upon economic decisions. The methodology integrates data collection, feature scaling, normalization, Bayesian inference using MCMC simulations, uncertainty quantification and policy prediction to produce predictive insights under various economic scenarios. The Bayesian Hierarchical Model was employed to estimate the relationships between macroeconomic variables and policy outcomes. The posterior distribution results revealed significant predictors, with certain factors like monetary policy uncertainty exerting a substantial negative impact, while others such as equity market-related uncertainty showed positive influence. &amp;amp;nbsp;A rigorous uncertainty quantification step provided credible intervals for predicted outcomes with a 95% credible interval ranging between 0.276 - 0.359. This enabled an assessment of the potential variability in predictions based on differing levels of economic uncertainty. The study concluded with policy predictions generated under two distinct economic scenarios. Under conditions of high uncertainty, the predicted policy outcome was -0.2346, while a moderate uncertainty scenario resulted in a less negative outcome of -0.2060. These results demonstrate the sensitivity of economic policy predictions to varying levels of uncertainty. The findings provide a robust framework for understanding and quantifying uncertainty in economic policy-making. By applying BHM and Monte Carlo methods, this study contributes to the development of more resilient and adaptive economic strategies in the face of uncertainty.","DOI":"10.21203/rs.3.rs-5299835/v1","note":"ISSN: 2693-5015","publisher":"Research Square","source":"Research Square","title":"Quantifying Uncertainty in Economics Policy Predictions: A Bayesian &amp;amp; Monte Carlo based Data-Driven Approach","title-short":"Quantifying Uncertainty in Economics Policy Predictions","URL":"https://www.researchsquare.com/article/rs-5299835/v1","author":[{"family":"Rahaman","given":"Shafeeq Ur"},{"family":"Abdul","given":"Mahe Jabeen"}],"accessed":{"date-parts":[["2026",4,25]]},"issued":{"date-parts":[["2024",10,22]]}}}],"schema":"https://github.com/citation-style-language/schema/raw/master/csl-citation.json"} </w:instrText>
      </w:r>
      <w:r w:rsidR="00CC311D">
        <w:rPr>
          <w:rFonts w:ascii="Arial" w:hAnsi="Arial" w:cs="Arial"/>
          <w:color w:val="000000"/>
          <w:sz w:val="21"/>
          <w:szCs w:val="21"/>
        </w:rPr>
        <w:fldChar w:fldCharType="separate"/>
      </w:r>
      <w:r w:rsidR="0050478C" w:rsidRPr="0050478C">
        <w:rPr>
          <w:rFonts w:ascii="Arial" w:hAnsi="Arial" w:cs="Arial"/>
          <w:sz w:val="21"/>
        </w:rPr>
        <w:t>(Rahaman and Abdul 2024)</w:t>
      </w:r>
      <w:r w:rsidR="00CC311D">
        <w:rPr>
          <w:rFonts w:ascii="Arial" w:hAnsi="Arial" w:cs="Arial"/>
          <w:color w:val="000000"/>
          <w:sz w:val="21"/>
          <w:szCs w:val="21"/>
        </w:rPr>
        <w:fldChar w:fldCharType="end"/>
      </w:r>
      <w:r w:rsidR="00904121" w:rsidRPr="00340959">
        <w:rPr>
          <w:rFonts w:ascii="Arial" w:hAnsi="Arial" w:cs="Arial"/>
          <w:color w:val="000000"/>
          <w:sz w:val="21"/>
          <w:szCs w:val="21"/>
        </w:rPr>
        <w:t>.</w:t>
      </w:r>
    </w:p>
    <w:p w14:paraId="28E38371" w14:textId="7EC77543" w:rsidR="000152B3" w:rsidRPr="00340959" w:rsidRDefault="000152B3"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In this study, multicollinearity was assessed using the Variance Inflation Factor (VIF) and its reciprocal, the Tolerance (TOL) index. For each predictor variable </w:t>
      </w:r>
      <m:oMath>
        <m:sSub>
          <m:sSubPr>
            <m:ctrlPr>
              <w:rPr>
                <w:rFonts w:ascii="Cambria Math" w:hAnsi="Cambria Math" w:cs="Arial"/>
                <w:color w:val="000000"/>
                <w:sz w:val="21"/>
                <w:szCs w:val="21"/>
              </w:rPr>
            </m:ctrlPr>
          </m:sSubPr>
          <m:e>
            <m:r>
              <w:rPr>
                <w:rFonts w:ascii="Cambria Math" w:hAnsi="Cambria Math" w:cs="Arial"/>
                <w:color w:val="000000"/>
                <w:sz w:val="21"/>
                <w:szCs w:val="21"/>
              </w:rPr>
              <m:t>X</m:t>
            </m:r>
          </m:e>
          <m:sub>
            <m:r>
              <w:rPr>
                <w:rFonts w:ascii="Cambria Math" w:hAnsi="Cambria Math" w:cs="Arial"/>
                <w:color w:val="000000"/>
                <w:sz w:val="21"/>
                <w:szCs w:val="21"/>
              </w:rPr>
              <m:t>j</m:t>
            </m:r>
          </m:sub>
        </m:sSub>
      </m:oMath>
      <w:r w:rsidRPr="00340959">
        <w:rPr>
          <w:rFonts w:ascii="Arial" w:hAnsi="Arial" w:cs="Arial"/>
          <w:color w:val="000000"/>
          <w:sz w:val="21"/>
          <w:szCs w:val="21"/>
        </w:rPr>
        <w:t xml:space="preserve">, a regression model was fitted against all remaining predictors, and the corresponding coefficient of determination </w:t>
      </w:r>
      <m:oMath>
        <m:sSubSup>
          <m:sSubSupPr>
            <m:ctrlPr>
              <w:rPr>
                <w:rFonts w:ascii="Cambria Math" w:hAnsi="Cambria Math" w:cs="Arial"/>
                <w:color w:val="000000"/>
                <w:sz w:val="21"/>
                <w:szCs w:val="21"/>
              </w:rPr>
            </m:ctrlPr>
          </m:sSubSupPr>
          <m:e>
            <m:r>
              <w:rPr>
                <w:rFonts w:ascii="Cambria Math" w:hAnsi="Cambria Math" w:cs="Arial"/>
                <w:color w:val="000000"/>
                <w:sz w:val="21"/>
                <w:szCs w:val="21"/>
              </w:rPr>
              <m:t>R</m:t>
            </m:r>
          </m:e>
          <m:sub>
            <m:r>
              <w:rPr>
                <w:rFonts w:ascii="Cambria Math" w:hAnsi="Cambria Math" w:cs="Arial"/>
                <w:color w:val="000000"/>
                <w:sz w:val="21"/>
                <w:szCs w:val="21"/>
              </w:rPr>
              <m:t>j</m:t>
            </m:r>
          </m:sub>
          <m:sup>
            <m:r>
              <w:rPr>
                <w:rFonts w:ascii="Cambria Math" w:hAnsi="Cambria Math" w:cs="Arial"/>
                <w:color w:val="000000"/>
                <w:sz w:val="21"/>
                <w:szCs w:val="21"/>
              </w:rPr>
              <m:t>2</m:t>
            </m:r>
          </m:sup>
        </m:sSubSup>
      </m:oMath>
      <w:r w:rsidRPr="00340959">
        <w:rPr>
          <w:rFonts w:ascii="Arial" w:hAnsi="Arial" w:cs="Arial"/>
          <w:color w:val="000000"/>
          <w:sz w:val="21"/>
          <w:szCs w:val="21"/>
        </w:rPr>
        <w:t>was computed. The tolerance value is defined as:</w:t>
      </w:r>
    </w:p>
    <w:p w14:paraId="2B6EF486" w14:textId="3E8E08D1" w:rsidR="000152B3" w:rsidRPr="00340959" w:rsidRDefault="00000000" w:rsidP="00340959">
      <w:pPr>
        <w:spacing w:before="0" w:after="0" w:line="360" w:lineRule="auto"/>
        <w:jc w:val="both"/>
        <w:rPr>
          <w:rFonts w:ascii="Arial" w:hAnsi="Arial" w:cs="Arial"/>
          <w:color w:val="000000"/>
          <w:sz w:val="21"/>
          <w:szCs w:val="21"/>
        </w:rPr>
      </w:pPr>
      <m:oMathPara>
        <m:oMath>
          <m:m>
            <m:mPr>
              <m:plcHide m:val="1"/>
              <m:mcs>
                <m:mc>
                  <m:mcPr>
                    <m:count m:val="4"/>
                    <m:mcJc m:val="center"/>
                  </m:mcPr>
                </m:mc>
              </m:mcs>
              <m:ctrlPr>
                <w:rPr>
                  <w:rFonts w:ascii="Cambria Math" w:hAnsi="Cambria Math" w:cs="Arial"/>
                  <w:color w:val="000000"/>
                  <w:sz w:val="21"/>
                  <w:szCs w:val="21"/>
                </w:rPr>
              </m:ctrlPr>
            </m:mPr>
            <m:mr>
              <m:e/>
              <m:e>
                <m:sSub>
                  <m:sSubPr>
                    <m:ctrlPr>
                      <w:rPr>
                        <w:rFonts w:ascii="Cambria Math" w:hAnsi="Cambria Math" w:cs="Arial"/>
                        <w:color w:val="000000"/>
                        <w:sz w:val="21"/>
                        <w:szCs w:val="21"/>
                      </w:rPr>
                    </m:ctrlPr>
                  </m:sSubPr>
                  <m:e>
                    <m:r>
                      <m:rPr>
                        <m:nor/>
                      </m:rPr>
                      <w:rPr>
                        <w:rFonts w:ascii="Arial" w:hAnsi="Arial" w:cs="Arial"/>
                        <w:color w:val="000000"/>
                        <w:sz w:val="21"/>
                        <w:szCs w:val="21"/>
                      </w:rPr>
                      <m:t>Tolerance</m:t>
                    </m:r>
                  </m:e>
                  <m:sub>
                    <m:r>
                      <w:rPr>
                        <w:rFonts w:ascii="Cambria Math" w:hAnsi="Cambria Math" w:cs="Arial"/>
                        <w:color w:val="000000"/>
                        <w:sz w:val="21"/>
                        <w:szCs w:val="21"/>
                      </w:rPr>
                      <m:t>j</m:t>
                    </m:r>
                  </m:sub>
                </m:sSub>
                <m:r>
                  <w:rPr>
                    <w:rFonts w:ascii="Cambria Math" w:hAnsi="Cambria Math" w:cs="Arial"/>
                    <w:color w:val="000000"/>
                    <w:sz w:val="21"/>
                    <w:szCs w:val="21"/>
                  </w:rPr>
                  <m:t>=1-</m:t>
                </m:r>
                <m:sSubSup>
                  <m:sSubSupPr>
                    <m:ctrlPr>
                      <w:rPr>
                        <w:rFonts w:ascii="Cambria Math" w:hAnsi="Cambria Math" w:cs="Arial"/>
                        <w:color w:val="000000"/>
                        <w:sz w:val="21"/>
                        <w:szCs w:val="21"/>
                      </w:rPr>
                    </m:ctrlPr>
                  </m:sSubSupPr>
                  <m:e>
                    <m:r>
                      <w:rPr>
                        <w:rFonts w:ascii="Cambria Math" w:hAnsi="Cambria Math" w:cs="Arial"/>
                        <w:color w:val="000000"/>
                        <w:sz w:val="21"/>
                        <w:szCs w:val="21"/>
                      </w:rPr>
                      <m:t>R</m:t>
                    </m:r>
                  </m:e>
                  <m:sub>
                    <m:r>
                      <w:rPr>
                        <w:rFonts w:ascii="Cambria Math" w:hAnsi="Cambria Math" w:cs="Arial"/>
                        <w:color w:val="000000"/>
                        <w:sz w:val="21"/>
                        <w:szCs w:val="21"/>
                      </w:rPr>
                      <m:t>j</m:t>
                    </m:r>
                  </m:sub>
                  <m:sup>
                    <m:r>
                      <w:rPr>
                        <w:rFonts w:ascii="Cambria Math" w:hAnsi="Cambria Math" w:cs="Arial"/>
                        <w:color w:val="000000"/>
                        <w:sz w:val="21"/>
                        <w:szCs w:val="21"/>
                      </w:rPr>
                      <m:t>2</m:t>
                    </m:r>
                  </m:sup>
                </m:sSubSup>
              </m:e>
              <m:e/>
              <m:e>
                <m:r>
                  <m:rPr>
                    <m:nor/>
                  </m:rPr>
                  <w:rPr>
                    <w:rFonts w:ascii="Arial" w:hAnsi="Arial" w:cs="Arial"/>
                    <w:color w:val="000000"/>
                    <w:sz w:val="21"/>
                    <w:szCs w:val="21"/>
                  </w:rPr>
                  <m:t>(1)</m:t>
                </m:r>
              </m:e>
            </m:mr>
          </m:m>
          <m:r>
            <m:rPr>
              <m:sty m:val="p"/>
            </m:rPr>
            <w:rPr>
              <w:rFonts w:ascii="Cambria Math" w:hAnsi="Cambria Math" w:cs="Arial"/>
              <w:color w:val="000000"/>
              <w:sz w:val="21"/>
              <w:szCs w:val="21"/>
            </w:rPr>
            <w:br/>
          </m:r>
        </m:oMath>
      </m:oMathPara>
      <w:r w:rsidR="000152B3" w:rsidRPr="00340959">
        <w:rPr>
          <w:rFonts w:ascii="Arial" w:hAnsi="Arial" w:cs="Arial"/>
          <w:color w:val="000000"/>
          <w:sz w:val="21"/>
          <w:szCs w:val="21"/>
        </w:rPr>
        <w:t>The Variance Inflation Factor is then calculated as:</w:t>
      </w:r>
    </w:p>
    <w:p w14:paraId="69DAC7EB" w14:textId="3C5B5B01" w:rsidR="000152B3" w:rsidRPr="00340959" w:rsidRDefault="00000000" w:rsidP="00340959">
      <w:pPr>
        <w:spacing w:before="0" w:after="0" w:line="360" w:lineRule="auto"/>
        <w:jc w:val="both"/>
        <w:rPr>
          <w:rFonts w:ascii="Arial" w:hAnsi="Arial" w:cs="Arial"/>
          <w:color w:val="000000"/>
          <w:sz w:val="21"/>
          <w:szCs w:val="21"/>
        </w:rPr>
      </w:pPr>
      <m:oMathPara>
        <m:oMath>
          <m:m>
            <m:mPr>
              <m:plcHide m:val="1"/>
              <m:mcs>
                <m:mc>
                  <m:mcPr>
                    <m:count m:val="4"/>
                    <m:mcJc m:val="center"/>
                  </m:mcPr>
                </m:mc>
              </m:mcs>
              <m:ctrlPr>
                <w:rPr>
                  <w:rFonts w:ascii="Cambria Math" w:hAnsi="Cambria Math" w:cs="Arial"/>
                  <w:color w:val="000000"/>
                  <w:sz w:val="21"/>
                  <w:szCs w:val="21"/>
                </w:rPr>
              </m:ctrlPr>
            </m:mPr>
            <m:mr>
              <m:e/>
              <m:e>
                <m:sSub>
                  <m:sSubPr>
                    <m:ctrlPr>
                      <w:rPr>
                        <w:rFonts w:ascii="Cambria Math" w:hAnsi="Cambria Math" w:cs="Arial"/>
                        <w:color w:val="000000"/>
                        <w:sz w:val="21"/>
                        <w:szCs w:val="21"/>
                      </w:rPr>
                    </m:ctrlPr>
                  </m:sSubPr>
                  <m:e>
                    <m:r>
                      <m:rPr>
                        <m:nor/>
                      </m:rPr>
                      <w:rPr>
                        <w:rFonts w:ascii="Arial" w:hAnsi="Arial" w:cs="Arial"/>
                        <w:color w:val="000000"/>
                        <w:sz w:val="21"/>
                        <w:szCs w:val="21"/>
                      </w:rPr>
                      <m:t>VIF</m:t>
                    </m:r>
                  </m:e>
                  <m:sub>
                    <m:r>
                      <w:rPr>
                        <w:rFonts w:ascii="Cambria Math" w:hAnsi="Cambria Math" w:cs="Arial"/>
                        <w:color w:val="000000"/>
                        <w:sz w:val="21"/>
                        <w:szCs w:val="21"/>
                      </w:rPr>
                      <m:t>j</m:t>
                    </m:r>
                  </m:sub>
                </m:sSub>
                <m:r>
                  <w:rPr>
                    <w:rFonts w:ascii="Cambria Math" w:hAnsi="Cambria Math" w:cs="Arial"/>
                    <w:color w:val="000000"/>
                    <w:sz w:val="21"/>
                    <w:szCs w:val="21"/>
                  </w:rPr>
                  <m:t>=</m:t>
                </m:r>
                <m:f>
                  <m:fPr>
                    <m:ctrlPr>
                      <w:rPr>
                        <w:rFonts w:ascii="Cambria Math" w:hAnsi="Cambria Math" w:cs="Arial"/>
                        <w:color w:val="000000"/>
                        <w:sz w:val="21"/>
                        <w:szCs w:val="21"/>
                      </w:rPr>
                    </m:ctrlPr>
                  </m:fPr>
                  <m:num>
                    <m:r>
                      <w:rPr>
                        <w:rFonts w:ascii="Cambria Math" w:hAnsi="Cambria Math" w:cs="Arial"/>
                        <w:color w:val="000000"/>
                        <w:sz w:val="21"/>
                        <w:szCs w:val="21"/>
                      </w:rPr>
                      <m:t>1</m:t>
                    </m:r>
                  </m:num>
                  <m:den>
                    <m:sSub>
                      <m:sSubPr>
                        <m:ctrlPr>
                          <w:rPr>
                            <w:rFonts w:ascii="Cambria Math" w:hAnsi="Cambria Math" w:cs="Arial"/>
                            <w:color w:val="000000"/>
                            <w:sz w:val="21"/>
                            <w:szCs w:val="21"/>
                          </w:rPr>
                        </m:ctrlPr>
                      </m:sSubPr>
                      <m:e>
                        <m:r>
                          <m:rPr>
                            <m:nor/>
                          </m:rPr>
                          <w:rPr>
                            <w:rFonts w:ascii="Arial" w:hAnsi="Arial" w:cs="Arial"/>
                            <w:color w:val="000000"/>
                            <w:sz w:val="21"/>
                            <w:szCs w:val="21"/>
                          </w:rPr>
                          <m:t>Tolerance</m:t>
                        </m:r>
                      </m:e>
                      <m:sub>
                        <m:r>
                          <w:rPr>
                            <w:rFonts w:ascii="Cambria Math" w:hAnsi="Cambria Math" w:cs="Arial"/>
                            <w:color w:val="000000"/>
                            <w:sz w:val="21"/>
                            <w:szCs w:val="21"/>
                          </w:rPr>
                          <m:t>j</m:t>
                        </m:r>
                      </m:sub>
                    </m:sSub>
                  </m:den>
                </m:f>
              </m:e>
              <m:e/>
              <m:e>
                <m:r>
                  <m:rPr>
                    <m:nor/>
                  </m:rPr>
                  <w:rPr>
                    <w:rFonts w:ascii="Arial" w:hAnsi="Arial" w:cs="Arial"/>
                    <w:color w:val="000000"/>
                    <w:sz w:val="21"/>
                    <w:szCs w:val="21"/>
                  </w:rPr>
                  <m:t>(2)</m:t>
                </m:r>
              </m:e>
            </m:mr>
          </m:m>
          <m:r>
            <m:rPr>
              <m:sty m:val="p"/>
            </m:rPr>
            <w:rPr>
              <w:rFonts w:ascii="Cambria Math" w:hAnsi="Cambria Math" w:cs="Arial"/>
              <w:color w:val="000000"/>
              <w:sz w:val="21"/>
              <w:szCs w:val="21"/>
            </w:rPr>
            <w:br/>
          </m:r>
        </m:oMath>
      </m:oMathPara>
      <w:r w:rsidR="000152B3" w:rsidRPr="00340959">
        <w:rPr>
          <w:rFonts w:ascii="Arial" w:hAnsi="Arial" w:cs="Arial"/>
          <w:color w:val="000000"/>
          <w:sz w:val="21"/>
          <w:szCs w:val="21"/>
        </w:rPr>
        <w:t xml:space="preserve">where </w:t>
      </w:r>
      <m:oMath>
        <m:sSubSup>
          <m:sSubSupPr>
            <m:ctrlPr>
              <w:rPr>
                <w:rFonts w:ascii="Cambria Math" w:hAnsi="Cambria Math" w:cs="Arial"/>
                <w:color w:val="000000"/>
                <w:sz w:val="21"/>
                <w:szCs w:val="21"/>
              </w:rPr>
            </m:ctrlPr>
          </m:sSubSupPr>
          <m:e>
            <m:r>
              <w:rPr>
                <w:rFonts w:ascii="Cambria Math" w:hAnsi="Cambria Math" w:cs="Arial"/>
                <w:color w:val="000000"/>
                <w:sz w:val="21"/>
                <w:szCs w:val="21"/>
              </w:rPr>
              <m:t>R</m:t>
            </m:r>
          </m:e>
          <m:sub>
            <m:r>
              <w:rPr>
                <w:rFonts w:ascii="Cambria Math" w:hAnsi="Cambria Math" w:cs="Arial"/>
                <w:color w:val="000000"/>
                <w:sz w:val="21"/>
                <w:szCs w:val="21"/>
              </w:rPr>
              <m:t>j</m:t>
            </m:r>
          </m:sub>
          <m:sup>
            <m:r>
              <w:rPr>
                <w:rFonts w:ascii="Cambria Math" w:hAnsi="Cambria Math" w:cs="Arial"/>
                <w:color w:val="000000"/>
                <w:sz w:val="21"/>
                <w:szCs w:val="21"/>
              </w:rPr>
              <m:t>2</m:t>
            </m:r>
          </m:sup>
        </m:sSubSup>
      </m:oMath>
      <w:r w:rsidR="000152B3" w:rsidRPr="00340959">
        <w:rPr>
          <w:rFonts w:ascii="Arial" w:hAnsi="Arial" w:cs="Arial"/>
          <w:color w:val="000000"/>
          <w:sz w:val="21"/>
          <w:szCs w:val="21"/>
        </w:rPr>
        <w:t xml:space="preserve">represents the coefficient of determination obtained when the </w:t>
      </w:r>
      <m:oMath>
        <m:sSup>
          <m:sSupPr>
            <m:ctrlPr>
              <w:rPr>
                <w:rFonts w:ascii="Cambria Math" w:hAnsi="Cambria Math" w:cs="Arial"/>
                <w:color w:val="000000"/>
                <w:sz w:val="21"/>
                <w:szCs w:val="21"/>
              </w:rPr>
            </m:ctrlPr>
          </m:sSupPr>
          <m:e>
            <m:r>
              <w:rPr>
                <w:rFonts w:ascii="Cambria Math" w:hAnsi="Cambria Math" w:cs="Arial"/>
                <w:color w:val="000000"/>
                <w:sz w:val="21"/>
                <w:szCs w:val="21"/>
              </w:rPr>
              <m:t>j</m:t>
            </m:r>
          </m:e>
          <m:sup>
            <m:r>
              <w:rPr>
                <w:rFonts w:ascii="Cambria Math" w:hAnsi="Cambria Math" w:cs="Arial"/>
                <w:color w:val="000000"/>
                <w:sz w:val="21"/>
                <w:szCs w:val="21"/>
              </w:rPr>
              <m:t>th</m:t>
            </m:r>
          </m:sup>
        </m:sSup>
        <m:r>
          <w:rPr>
            <w:rFonts w:ascii="Cambria Math" w:hAnsi="Cambria Math" w:cs="Arial"/>
            <w:color w:val="000000"/>
            <w:sz w:val="21"/>
            <w:szCs w:val="21"/>
          </w:rPr>
          <m:t xml:space="preserve"> </m:t>
        </m:r>
      </m:oMath>
      <w:r w:rsidR="000152B3" w:rsidRPr="00340959">
        <w:rPr>
          <w:rFonts w:ascii="Arial" w:hAnsi="Arial" w:cs="Arial"/>
          <w:color w:val="000000"/>
          <w:sz w:val="21"/>
          <w:szCs w:val="21"/>
        </w:rPr>
        <w:t xml:space="preserve"> The predictor is regressed on the remaining predictors.</w:t>
      </w:r>
    </w:p>
    <w:p w14:paraId="7F3E5D69" w14:textId="085C25C1" w:rsidR="005B28E8" w:rsidRPr="00340959"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Following established recommendations in susceptibility modeling studies, predictors with VIF values greater than 5 were considered indicative of substantial multicollinearity and were iteratively removed. The iterative elimination process continued until all remaining predictors met the predefined VIF criterion </w:t>
      </w:r>
      <w:r w:rsidR="00D4784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{"citationID":"7DENy3VC","properties":{"formattedCitation":"(Manczinger et al. 2025)","plainCitation":"(Manczinger et al. 2025)","noteIndex":0},"citationItems":[{"id":144,"uris":["http://zotero.org/users/local/emosa1lm/items/GZLQLB4J"],"itemData":{"id":144,"type":"article-journal","abstract":"Abstract Climate change endangers the Carpathian region by increasing the risk of fires. In response, our study provides a harmonised dataset with twenty-seven variables and develops an interpretable machine learning-based framework for assessing fire susceptibility across all seven countries of the region. We applied a two-stage process: first, using various feature selection techniques to refine predictors before the modeling phase, and second, utilising the SHAP framework to interpret model predictions. Between these steps, advanced machine learning models were optimised and trained in the H2O environment, demonstrating high predictive accuracy. Our findings revealed eight fire susceptibility clusters. The resulting dataset, susceptibility maps, and detailed interpretative insights serve as a valuable resource for local communities and policy-makers in the region.","container-title":"Scientific Reports","DOI":"10.1038/s41598-025-10296-4","ISSN":"2045-2322","issue":"1","PMID":"40826149","publisher":"Nature Portfolio","title":"Fire susceptibility assessment in the Carpathians using an interpretable framework","URL":"https://doi.org/10.1038/s41598-025-10296-4","volume":"15","author":[{"family":"Manczinger","given":"Melinda"},{"family":"Kovács","given":"László"},{"family":"Kovács","given":"Tibor"}],"issued":{"date-parts":[["2025",8]]}}}],"schema":"https://github.com/citation-style-language/schema/raw/master/csl-citation.json"} </w:instrText>
      </w:r>
      <w:r w:rsidR="00D4784A" w:rsidRPr="00340959">
        <w:rPr>
          <w:rFonts w:ascii="Arial" w:hAnsi="Arial" w:cs="Arial"/>
          <w:color w:val="000000"/>
          <w:sz w:val="21"/>
          <w:szCs w:val="21"/>
        </w:rPr>
        <w:fldChar w:fldCharType="separate"/>
      </w:r>
      <w:r w:rsidR="0050478C" w:rsidRPr="0050478C">
        <w:rPr>
          <w:rFonts w:ascii="Arial" w:hAnsi="Arial" w:cs="Arial"/>
          <w:sz w:val="21"/>
        </w:rPr>
        <w:t>(Manczinger et al. 2025)</w:t>
      </w:r>
      <w:r w:rsidR="00D4784A" w:rsidRPr="00340959">
        <w:rPr>
          <w:rFonts w:ascii="Arial" w:hAnsi="Arial" w:cs="Arial"/>
          <w:color w:val="000000"/>
          <w:sz w:val="21"/>
          <w:szCs w:val="21"/>
        </w:rPr>
        <w:fldChar w:fldCharType="end"/>
      </w:r>
      <w:r w:rsidRPr="00340959">
        <w:rPr>
          <w:rFonts w:ascii="Arial" w:hAnsi="Arial" w:cs="Arial"/>
          <w:color w:val="000000"/>
          <w:sz w:val="21"/>
          <w:szCs w:val="21"/>
        </w:rPr>
        <w:t>.</w:t>
      </w:r>
    </w:p>
    <w:p w14:paraId="5ACEAE5C" w14:textId="77777777" w:rsidR="000152B3" w:rsidRPr="00340959" w:rsidRDefault="000152B3" w:rsidP="00340959">
      <w:pPr>
        <w:pStyle w:val="Heading2"/>
        <w:spacing w:before="0" w:after="0" w:line="360" w:lineRule="auto"/>
        <w:jc w:val="both"/>
        <w:rPr>
          <w:rFonts w:ascii="Arial" w:hAnsi="Arial" w:cs="Arial"/>
          <w:color w:val="000000"/>
          <w:sz w:val="21"/>
          <w:szCs w:val="21"/>
        </w:rPr>
      </w:pPr>
    </w:p>
    <w:p w14:paraId="16927DDB" w14:textId="57185055" w:rsidR="005B28E8" w:rsidRPr="004D3B85" w:rsidRDefault="00000000" w:rsidP="00340959">
      <w:pPr>
        <w:pStyle w:val="Heading1"/>
        <w:spacing w:before="0" w:after="0" w:line="360" w:lineRule="auto"/>
        <w:rPr>
          <w:rFonts w:ascii="Arial" w:hAnsi="Arial" w:cs="Arial"/>
          <w:b/>
          <w:bCs/>
          <w:color w:val="7030A0"/>
          <w:sz w:val="21"/>
          <w:szCs w:val="21"/>
        </w:rPr>
      </w:pPr>
      <w:r w:rsidRPr="004D3B85">
        <w:rPr>
          <w:rFonts w:ascii="Arial" w:hAnsi="Arial" w:cs="Arial"/>
          <w:b/>
          <w:bCs/>
          <w:color w:val="7030A0"/>
          <w:sz w:val="21"/>
          <w:szCs w:val="21"/>
        </w:rPr>
        <w:t>Machine Learning Models</w:t>
      </w:r>
    </w:p>
    <w:p w14:paraId="0CF30604" w14:textId="2E5C4AC3" w:rsidR="005B28E8"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Four classification algorithms were implemented within a unified preprocessing and validation framework to ensure methodological consistency, while conventional models were included as discriminative benchmarks. These algorithms were selected based on various studies in the literature </w:t>
      </w:r>
      <w:r w:rsidR="008A70E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{"citationID":"Xplh1Ed7","properties":{"formattedCitation":"(Gupta and Sivakumar 2025)","plainCitation":"(Gupta and Sivakumar 2025)","noteIndex":0},"citationItems":[{"id":348,"uris":["http://zotero.org/users/local/emosa1lm/items/C3QKNLBR"],"itemData":{"id":348,"type":"article-journal","abstract":"Brain-computer interfaces (BCIs) offer an implicit, non-linguistic communication channel between users and machines. Despite their potential, BCIs are far from becoming a mainstream communication modality like text and speech. While non-invasive BCIs, such as Electroencephalography, are favored for their ease of use, their broader adoption is limited by challenges related to signal noise, artifacts, and variability across users. In this paper, we propose a novel method called response coupling, aimed at enhancing brain signal detection and reliability by pairing a brain signal with an artificially induced auxiliary signal and leveraging their interaction. Specifically, we use error-related potentials (ErrPs) as the primary signal and steady-state visual evoked potentials (SSVEPs) as the auxiliary signal. SSVEPs, known for their phase-locked responses to rhythmic stimuli, are selected because rhythmic neural activity plays a critical role in sensory and cognitive processes, with evidence suggesting that reinforcing these oscillations can improve neural performance. By exploring the interaction between these two signals, we demonstrate that response coupling significantly improves the detection accuracy of ErrPs, especially in the parietal and occipital regions. This method introduces a new paradigm for enhancing BCI performance, where the interaction between a primary and an auxiliary signal is harnessed to enhance the detection performance. Additionally, the phase-locking properties of SSVEPs allow for unsupervised rejection of suboptimal data, further increasing BCI reliability.","container-title":"Scientific Reports","DOI":"10.1038/s41598-025-87414-9","ISSN":"2045-2322","issue":"1","journalAbbreviation":"Sci Rep","language":"en","license":"2025 The Author(s)","page":"6227","publisher":"Nature Publishing Group","source":"www.nature.com","title":"Response coupling with an auxiliary neural signal for enhancing brain signal detection","volume":"15","author":[{"family":"Gupta","given":"Ekansh"},{"family":"Sivakumar","given":"Raghupathy"}],"issued":{"date-parts":[["2025",2,20]]}}}],"schema":"https://github.com/citation-style-language/schema/raw/master/csl-citation.json"} </w:instrText>
      </w:r>
      <w:r w:rsidR="008A70E9">
        <w:rPr>
          <w:rFonts w:ascii="Arial" w:hAnsi="Arial" w:cs="Arial"/>
          <w:color w:val="000000"/>
          <w:sz w:val="21"/>
          <w:szCs w:val="21"/>
        </w:rPr>
        <w:fldChar w:fldCharType="separate"/>
      </w:r>
      <w:r w:rsidR="0050478C" w:rsidRPr="0050478C">
        <w:rPr>
          <w:rFonts w:ascii="Arial" w:hAnsi="Arial" w:cs="Arial"/>
          <w:sz w:val="21"/>
        </w:rPr>
        <w:t>(Gupta and Sivakumar 2025)</w:t>
      </w:r>
      <w:r w:rsidR="008A70E9">
        <w:rPr>
          <w:rFonts w:ascii="Arial" w:hAnsi="Arial" w:cs="Arial"/>
          <w:color w:val="000000"/>
          <w:sz w:val="21"/>
          <w:szCs w:val="21"/>
        </w:rPr>
        <w:fldChar w:fldCharType="end"/>
      </w:r>
      <w:r w:rsidRPr="00340959">
        <w:rPr>
          <w:rFonts w:ascii="Arial" w:hAnsi="Arial" w:cs="Arial"/>
          <w:color w:val="000000"/>
          <w:sz w:val="21"/>
          <w:szCs w:val="21"/>
        </w:rPr>
        <w:t>.</w:t>
      </w:r>
    </w:p>
    <w:p w14:paraId="4F62FED1" w14:textId="77777777" w:rsidR="0029321A" w:rsidRPr="00340959" w:rsidRDefault="0029321A" w:rsidP="00340959">
      <w:pPr>
        <w:spacing w:before="0" w:after="0" w:line="360" w:lineRule="auto"/>
        <w:jc w:val="both"/>
        <w:rPr>
          <w:rFonts w:ascii="Arial" w:hAnsi="Arial" w:cs="Arial"/>
          <w:color w:val="000000"/>
          <w:sz w:val="21"/>
          <w:szCs w:val="21"/>
        </w:rPr>
      </w:pPr>
    </w:p>
    <w:p w14:paraId="623A778E" w14:textId="77777777" w:rsidR="005B28E8" w:rsidRPr="00693F4F" w:rsidRDefault="00000000" w:rsidP="00340959">
      <w:pPr>
        <w:pStyle w:val="Heading2"/>
        <w:spacing w:before="0" w:after="0" w:line="360" w:lineRule="auto"/>
        <w:rPr>
          <w:rFonts w:ascii="Arial" w:hAnsi="Arial" w:cs="Arial"/>
          <w:b/>
          <w:bCs/>
          <w:color w:val="000000" w:themeColor="text1"/>
          <w:sz w:val="21"/>
          <w:szCs w:val="21"/>
        </w:rPr>
      </w:pPr>
      <w:r w:rsidRPr="00693F4F">
        <w:rPr>
          <w:rFonts w:ascii="Arial" w:hAnsi="Arial" w:cs="Arial"/>
          <w:b/>
          <w:bCs/>
          <w:color w:val="000000" w:themeColor="text1"/>
          <w:sz w:val="21"/>
          <w:szCs w:val="21"/>
        </w:rPr>
        <w:t>Bayesian Logistic Regression (BLR)</w:t>
      </w:r>
    </w:p>
    <w:p w14:paraId="014CC1A7" w14:textId="0911ADCF" w:rsidR="00162937" w:rsidRDefault="00904121" w:rsidP="00162937">
      <w:pPr>
        <w:spacing w:before="0" w:after="0" w:line="360" w:lineRule="auto"/>
        <w:jc w:val="both"/>
        <w:rPr>
          <w:rFonts w:ascii="Arial" w:hAnsi="Arial" w:cs="Arial"/>
          <w:b/>
          <w:bCs/>
          <w:color w:val="000000" w:themeColor="text1"/>
          <w:sz w:val="21"/>
          <w:szCs w:val="21"/>
        </w:rPr>
      </w:pPr>
      <w:r w:rsidRPr="00340959">
        <w:rPr>
          <w:rFonts w:ascii="Arial" w:hAnsi="Arial" w:cs="Arial"/>
          <w:color w:val="000000"/>
          <w:sz w:val="21"/>
          <w:szCs w:val="21"/>
        </w:rPr>
        <w:t xml:space="preserve">Bayesian Logistic Regression was implemented as a probabilistic linear classifier using a logit link function </w:t>
      </w:r>
      <w:r w:rsidR="00D4784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{"citationID":"mwqEOviV","properties":{"formattedCitation":"(Genkin et al. 2007)","plainCitation":"(Genkin et al. 2007)","noteIndex":0},"citationItems":[{"id":146,"uris":["http://zotero.org/users/local/emosa1lm/items/76CEZ8PM"],"itemData":{"id":146,"type":"article-journal","abstract":"Logistic regression analysis of high-dimensional data, such as natural language text, poses computational and statistical challenges. Maximum likelihood estimation often fails in these applications. We present a simple Bayesian logistic regression approach that uses a Laplace prior to avoid overfitting and produces sparse predictive models for text data. We apply this approach to a range of document classification problems and show that it produces compact predictive models at least as effective as those produced by support vector machine classifiers or ridge logistic regression combined with feature selection. We describe our model fitting algorithm, our open source implementations (BBR and BMR), and experimental results.","container-title":"Technometrics","DOI":"10.1198/004017007000000245","ISSN":"0040-1706, 1537-2723","issue":"3","page":"291-304","publisher":"Taylor &amp; Francis","title":"Large-Scale Bayesian Logistic Regression for Text Categorization","volume":"49","author":[{"family":"Genkin","given":"Alexander"},{"family":"Lewis","given":"David"},{"family":"Madigan","given":"David"}],"issued":{"date-parts":[["2007",7]]}}}],"schema":"https://github.com/citation-style-language/schema/raw/master/csl-citation.json"} </w:instrText>
      </w:r>
      <w:r w:rsidR="00D4784A" w:rsidRPr="00340959">
        <w:rPr>
          <w:rFonts w:ascii="Arial" w:hAnsi="Arial" w:cs="Arial"/>
          <w:color w:val="000000"/>
          <w:sz w:val="21"/>
          <w:szCs w:val="21"/>
        </w:rPr>
        <w:fldChar w:fldCharType="separate"/>
      </w:r>
      <w:r w:rsidR="0050478C" w:rsidRPr="0050478C">
        <w:rPr>
          <w:rFonts w:ascii="Arial" w:hAnsi="Arial" w:cs="Arial"/>
          <w:sz w:val="21"/>
        </w:rPr>
        <w:t>(Genkin et al. 2007)</w:t>
      </w:r>
      <w:r w:rsidR="00D4784A" w:rsidRPr="00340959">
        <w:rPr>
          <w:rFonts w:ascii="Arial" w:hAnsi="Arial" w:cs="Arial"/>
          <w:color w:val="000000"/>
          <w:sz w:val="21"/>
          <w:szCs w:val="21"/>
        </w:rPr>
        <w:fldChar w:fldCharType="end"/>
      </w:r>
      <w:r w:rsidRPr="00340959">
        <w:rPr>
          <w:rFonts w:ascii="Arial" w:hAnsi="Arial" w:cs="Arial"/>
          <w:color w:val="000000"/>
          <w:sz w:val="21"/>
          <w:szCs w:val="21"/>
        </w:rPr>
        <w:t>. Regression coefficients were treated as random variables with zero-mean Gaussian priors</w:t>
      </w:r>
      <w:r w:rsidR="00713DAE" w:rsidRPr="00340959">
        <w:rPr>
          <w:rFonts w:ascii="Arial" w:hAnsi="Arial" w:cs="Arial"/>
          <w:color w:val="000000"/>
          <w:sz w:val="21"/>
          <w:szCs w:val="21"/>
        </w:rPr>
        <w:t xml:space="preserve"> </w:t>
      </w:r>
      <w:r w:rsidR="00B52F0B">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{"citationID":"lXHAjqsB","properties":{"formattedCitation":"(Kumar et al. 2026)","plainCitation":"(Kumar et al. 2026)","noteIndex":0},"citationItems":[{"id":330,"uris":["http://zotero.org/users/local/emosa1lm/items/3TZAU8CF"],"itemData":{"id":330,"type":"article-journal","abstract":"The diverse topography, varying land use, and inconsistent data across political borders render flood-susceptibility mapping especially difficult in transboundary river basins. Heterogeneous topography, variable land use, and discontinuous data across political boundaries make flood-susceptibility mapping particularly challenging in transboundary river basins. In order to identify flood-prone areas in the transboundary Rapti River Basin, this work offers an integrated, interpretable ensemble-based method that combines the Random Forest (RF), Extreme Gradient Boosting (XGBoost), and Long Short-Term Memory (LSTM) models. Open-access geospatial datasets were used to develop twelve flood-conditioning parameters that represent topographic, hydrologic, and land-surface properties. Model performance was assessed using spatially blocked train-test splits and evaluated with receiver-operating characteristic area under the curve, precision-recall metrics, and related indices. The highest accuracy was achieved by XGBoost with an AUC of 0.93, followed by RF with 0.91 and LSTM with 0.88. To ensure interpretability and to overcome limitations of gain-based importance, feature contributions were quantified using SHapley Additive exPlanations (SHAP). The SHAP analysis revealed that slope, elevation, and drainage density are the dominant controls on flood susceptibility, whereas NDVI and land-use/land-cover exert more localized influence in low-relief and urbanized areas. Overall, the proposed workflow enhances transparency, reproducibility, and physical interpretability in flood-susceptibility modeling and provides a robust, scalable tool for data-driven flood-risk management and policy planning in transboundary watersheds.","container-title":"Environmental Earth Sciences","DOI":"10.1007/s12665-026-12912-6","ISSN":"1866-6299","issue":"7","journalAbbreviation":"Environ Earth Sci","language":"en","page":"168","source":"Springer Link","title":"Ensemble machine learning and deep learning framework for flood susceptibility mapping in the transboundary Rapti River Basin","volume":"85","author":[{"family":"Kumar","given":"Ankur"},{"family":"Pandey","given":"Govind"},{"family":"Kale","given":"Ravindra Vitthal"}],"issued":{"date-parts":[["2026",3,17]]}}}],"schema":"https://github.com/citation-style-language/schema/raw/master/csl-citation.json"} </w:instrText>
      </w:r>
      <w:r w:rsidR="00B52F0B">
        <w:rPr>
          <w:rFonts w:ascii="Arial" w:hAnsi="Arial" w:cs="Arial"/>
          <w:color w:val="000000"/>
          <w:sz w:val="21"/>
          <w:szCs w:val="21"/>
        </w:rPr>
        <w:fldChar w:fldCharType="separate"/>
      </w:r>
      <w:r w:rsidR="0050478C" w:rsidRPr="0050478C">
        <w:rPr>
          <w:rFonts w:ascii="Arial" w:hAnsi="Arial" w:cs="Arial"/>
          <w:sz w:val="21"/>
        </w:rPr>
        <w:t>(Kumar et al. 2026)</w:t>
      </w:r>
      <w:r w:rsidR="00B52F0B">
        <w:rPr>
          <w:rFonts w:ascii="Arial" w:hAnsi="Arial" w:cs="Arial"/>
          <w:color w:val="000000"/>
          <w:sz w:val="21"/>
          <w:szCs w:val="21"/>
        </w:rPr>
        <w:fldChar w:fldCharType="end"/>
      </w:r>
      <w:r w:rsidRPr="00340959">
        <w:rPr>
          <w:rFonts w:ascii="Arial" w:hAnsi="Arial" w:cs="Arial"/>
          <w:color w:val="000000"/>
          <w:sz w:val="21"/>
          <w:szCs w:val="21"/>
        </w:rPr>
        <w:t>, and the intercept remained unpenalized</w:t>
      </w:r>
      <w:r w:rsidR="00713DAE" w:rsidRPr="00340959">
        <w:rPr>
          <w:rFonts w:ascii="Arial" w:hAnsi="Arial" w:cs="Arial"/>
          <w:color w:val="000000"/>
          <w:sz w:val="21"/>
          <w:szCs w:val="21"/>
        </w:rPr>
        <w:t xml:space="preserve"> </w:t>
      </w:r>
      <w:r w:rsidR="00D4784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{"citationID":"inNEbrKo","properties":{"formattedCitation":"(Ghosal et al. 2025)","plainCitation":"(Ghosal et al. 2025)","noteIndex":0},"citationItems":[{"id":148,"uris":["http://zotero.org/users/local/emosa1lm/items/8WH6BJNI"],"itemData":{"id":148,"type":"article-journal","abstract":"In several modern applications, data are generated continuously over time, such as data generated from smartwatches. We assume data are collected and analyzed sequentially, in batches. Since traditional or offline methods can be extremely slow, Ghosh et al. (2025) proposed an online method for Bayesian model averaging (BMA). Inspired by the literature on renewable estimation, they developed an online Bayesian method for generalized linear models (GLMs) that reduces storage and computational demands dramatically compared to traditional methods for BMA. The method of Ghosh et al. (2025) works very well when the number of models is small. It can also work reasonably well in moderately large model spaces. For the latter case, the method relies on a screening stage to identify important models in the first several batches via offline methods. Thereafter, the model space remains fixed in all subsequent batches. In the post-screening stage, online updates are made to the model specific parameters, for models selected in the screening stage. For high-dimensional model spaces, the chance of missing important models in the screening stage is more likely. This necessitates the development of a method, which permits the model space to be updated as new batches of data arrive. In this article, we develop an online Bayesian model selection method for logistic regression, where the selected model can potentially change throughout the data collection process. We use simulation studies to show that our new method can outperform the method of Ghosh et al. (2025). Furthermore, we describe scenarios under which the gain from our new method is expected to be small. We revisit the traffic crash data analyzed by Ghosh et al. (2025) and illustrate that our new model selection method can have better performance for variable selection.","container-title":"arXiv (Cornell University)","DOI":"10.48550/arxiv.2501.10930","publisher":"Cornell University","title":"An Online Algorithm for Bayesian Variable Selection in Logistic Regression Models With Streaming Data","URL":"http://arxiv.org/abs/2501.10930","author":[{"family":"Ghosal","given":"Prasun"},{"family":"De","given":"S."},{"family":"Ghosh","given":"Joyee"}],"issued":{"date-parts":[["2025",1]]}}}],"schema":"https://github.com/citation-style-language/schema/raw/master/csl-citation.json"} </w:instrText>
      </w:r>
      <w:r w:rsidR="00D4784A" w:rsidRPr="00340959">
        <w:rPr>
          <w:rFonts w:ascii="Arial" w:hAnsi="Arial" w:cs="Arial"/>
          <w:color w:val="000000"/>
          <w:sz w:val="21"/>
          <w:szCs w:val="21"/>
        </w:rPr>
        <w:fldChar w:fldCharType="separate"/>
      </w:r>
      <w:r w:rsidR="0050478C" w:rsidRPr="0050478C">
        <w:rPr>
          <w:rFonts w:ascii="Arial" w:hAnsi="Arial" w:cs="Arial"/>
          <w:sz w:val="21"/>
        </w:rPr>
        <w:t>(Ghosal et al. 2025)</w:t>
      </w:r>
      <w:r w:rsidR="00D4784A" w:rsidRPr="00340959">
        <w:rPr>
          <w:rFonts w:ascii="Arial" w:hAnsi="Arial" w:cs="Arial"/>
          <w:color w:val="000000"/>
          <w:sz w:val="21"/>
          <w:szCs w:val="21"/>
        </w:rPr>
        <w:fldChar w:fldCharType="end"/>
      </w:r>
      <w:r w:rsidRPr="00340959">
        <w:rPr>
          <w:rFonts w:ascii="Arial" w:hAnsi="Arial" w:cs="Arial"/>
          <w:color w:val="000000"/>
          <w:sz w:val="21"/>
          <w:szCs w:val="21"/>
        </w:rPr>
        <w:t xml:space="preserve">. The Laplace method was used for posterior inference, employing a multivariate normal approximation centered around the maximum </w:t>
      </w:r>
      <w:r w:rsidR="00B52F0B">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{"citationID":"5pgbRA9o","properties":{"formattedCitation":"(Garcia et al. 2024)","plainCitation":"(Garcia et al. 2024)","noteIndex":0},"citationItems":[{"id":327,"uris":["http://zotero.org/users/local/emosa1lm/items/7QPQCIJ4"],"itemData":{"id":327,"type":"article-journal","abstract":"We consider unsupervised classification by means of a latent multinomial variable which categorizes a scalar response into one of the L components of a mixture model which incorporates scalar and functional covariates. This process can be thought as a hierarchical model with the first level modelling a scalar response according to a mixture of parametric distributions and the second level modelling the mixture probabilities by means of a generalized linear model with functional and scalar covariates. The traditional approach of treating functional covariates as vectors not only suffers from the curse of dimensionality, since functional covariates can be measured at very small intervals leading to a highly parametrized model, but also does not take into account the nature of the data. We use basis expansions to reduce the dimensionality and a Bayesian approach for estimating the parameters while providing predictions of the latent classification vector. The method is motivated by two data examples that are not easily handled by existing methods. The first example concerns identifying placebo responders on a clinical trial (normal mixture model) and the other predicting illness for milking cows (zero-inflated mixture of the Poisson model).","container-title":"Journal of the Royal Statistical Society Series C: Applied Statistics","DOI":"10.1093/jrsssc/qlae006","ISSN":"0035-9254","issue":"3","journalAbbreviation":"J. R. Stat. Soc. Ser. C. Appl. Stat.","page":"658-681","source":"Silverchair","title":"Unsupervised Bayesian classification for models with scalar and functional covariates","volume":"73","author":[{"family":"Garcia","given":"Nancy L"},{"family":"Rodrigues-Motta","given":"Mariana"},{"family":"Migon","given":"Helio S"},{"family":"Petkova","given":"Eva"},{"family":"Tarpey","given":"Thaddeus"},{"family":"Ogden","given":"R Todd"},{"family":"Giordano","given":"Julio O"},{"family":"Perez","given":"Martin M"}],"issued":{"date-parts":[["2024",6,1]]}}}],"schema":"https://github.com/citation-style-language/schema/raw/master/csl-citation.json"} </w:instrText>
      </w:r>
      <w:r w:rsidR="00B52F0B">
        <w:rPr>
          <w:rFonts w:ascii="Arial" w:hAnsi="Arial" w:cs="Arial"/>
          <w:color w:val="000000"/>
          <w:sz w:val="21"/>
          <w:szCs w:val="21"/>
        </w:rPr>
        <w:fldChar w:fldCharType="separate"/>
      </w:r>
      <w:r w:rsidR="0050478C" w:rsidRPr="0050478C">
        <w:rPr>
          <w:rFonts w:ascii="Arial" w:hAnsi="Arial" w:cs="Arial"/>
          <w:sz w:val="21"/>
        </w:rPr>
        <w:t>(Garcia et al. 2024)</w:t>
      </w:r>
      <w:r w:rsidR="00B52F0B">
        <w:rPr>
          <w:rFonts w:ascii="Arial" w:hAnsi="Arial" w:cs="Arial"/>
          <w:color w:val="000000"/>
          <w:sz w:val="21"/>
          <w:szCs w:val="21"/>
        </w:rPr>
        <w:fldChar w:fldCharType="end"/>
      </w:r>
      <w:r w:rsidRPr="00340959">
        <w:rPr>
          <w:rFonts w:ascii="Arial" w:hAnsi="Arial" w:cs="Arial"/>
          <w:color w:val="000000"/>
          <w:sz w:val="21"/>
          <w:szCs w:val="21"/>
        </w:rPr>
        <w:t>. Probability predictions were obtained by marginalizing the posterior distribution of model parameters, enabling direct quantification of predictive uncertainty via propagation of posterior variance</w:t>
      </w:r>
      <w:r w:rsidR="00F93549">
        <w:rPr>
          <w:rFonts w:ascii="Arial" w:hAnsi="Arial" w:cs="Arial"/>
          <w:color w:val="000000"/>
          <w:sz w:val="21"/>
          <w:szCs w:val="21"/>
        </w:rPr>
        <w:t xml:space="preserve"> </w:t>
      </w:r>
      <w:r w:rsidR="00F9354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{"citationID":"4OnKpS4I","properties":{"formattedCitation":"(Liao et al. 2024)","plainCitation":"(Liao et al. 2024)","noteIndex":0},"citationItems":[{"id":370,"uris":["http://zotero.org/users/local/emosa1lm/items/NU7LUVXK"],"itemData":{"id":370,"type":"article","abstract":"This paper introduces a novel trajectory prediction approach for autonomous vehicles (AVs), adeptly addressing the challenges of missing observations and the need for adherence to physical laws in real-world driving environments. This study proposes a hierarchical two-stage trajectory prediction model for AVs. In the first stage we propose the Wavelet Reconstruction Network, an innovative tool expertly crafted for reconstructing missing observations, offering optional integration with state-of-the-art models to enhance their robustness. Additionally, the second stage of the model features the Wave Fusion Encoder, a quantum mechanics-inspired innovation for sophisticated vehicle interaction modeling. By incorporating the Kinematic Bicycle Model, we ensure that our predictions align with realistic vehicular kinematics. Complementing our methodological advancements, we introduce MoCAD-missing, a comprehensive real-world traffic dataset, alongside enhanced versions of the NGSIM and HighD datasets, designed to facilitate rigorous testing in environments with missing observations. Extensive evaluations demonstrate that our approach markedly outperforms existing methods, achieving high accuracy even in scenarios with up to 75% missing observations.","DOI":"10.2139/ssrn.4809575","genre":"SSRN Scholarly Paper","language":"en","number":"4809575","publisher":"Social Science Research Network","publisher-place":"Rochester, NY","source":"papers.ssrn.com","title":"Physics-Informed Trajectory Prediction for Autonomous Driving under Missing Observation","URL":"https://papers.ssrn.com/abstract=4809575","author":[{"family":"Liao","given":"Haicheng"},{"family":"Wang","given":"Chengyue"},{"family":"Li","given":"Zhenning"},{"family":"Li","given":"Yongkang"},{"family":"Wang","given":"Bonan"},{"family":"Li","given":"Guofa"},{"family":"Xu","given":"Chengzhong"}],"accessed":{"date-parts":[["2026",4,25]]},"issued":{"date-parts":[["2024",4,27]]}}}],"schema":"https://github.com/citation-style-language/schema/raw/master/csl-citation.json"} </w:instrText>
      </w:r>
      <w:r w:rsidR="00F93549">
        <w:rPr>
          <w:rFonts w:ascii="Arial" w:hAnsi="Arial" w:cs="Arial"/>
          <w:color w:val="000000"/>
          <w:sz w:val="21"/>
          <w:szCs w:val="21"/>
        </w:rPr>
        <w:fldChar w:fldCharType="separate"/>
      </w:r>
      <w:r w:rsidR="0050478C" w:rsidRPr="0050478C">
        <w:rPr>
          <w:rFonts w:ascii="Arial" w:hAnsi="Arial" w:cs="Arial"/>
          <w:sz w:val="21"/>
        </w:rPr>
        <w:t>(Liao et al. 2024)</w:t>
      </w:r>
      <w:r w:rsidR="00F93549">
        <w:rPr>
          <w:rFonts w:ascii="Arial" w:hAnsi="Arial" w:cs="Arial"/>
          <w:color w:val="000000"/>
          <w:sz w:val="21"/>
          <w:szCs w:val="21"/>
        </w:rPr>
        <w:fldChar w:fldCharType="end"/>
      </w:r>
      <w:r w:rsidRPr="00340959">
        <w:rPr>
          <w:rFonts w:ascii="Arial" w:hAnsi="Arial" w:cs="Arial"/>
          <w:color w:val="000000"/>
          <w:sz w:val="21"/>
          <w:szCs w:val="21"/>
        </w:rPr>
        <w:t>. The BLR model was chosen for its interpretability, regularization under moderate sample sizes</w:t>
      </w:r>
      <w:r w:rsidR="00567FB5" w:rsidRPr="00340959">
        <w:rPr>
          <w:rFonts w:ascii="Arial" w:hAnsi="Arial" w:cs="Arial"/>
          <w:color w:val="000000"/>
          <w:sz w:val="21"/>
          <w:szCs w:val="21"/>
        </w:rPr>
        <w:t>,</w:t>
      </w:r>
      <w:r w:rsidRPr="00340959">
        <w:rPr>
          <w:rFonts w:ascii="Arial" w:hAnsi="Arial" w:cs="Arial"/>
          <w:color w:val="000000"/>
          <w:sz w:val="21"/>
          <w:szCs w:val="21"/>
        </w:rPr>
        <w:t xml:space="preserve"> and use in probabilistic landslide susceptibility </w:t>
      </w:r>
      <w:r w:rsidR="00693F4F">
        <w:rPr>
          <w:rFonts w:ascii="Arial" w:hAnsi="Arial" w:cs="Arial"/>
          <w:color w:val="000000"/>
          <w:sz w:val="21"/>
          <w:szCs w:val="21"/>
        </w:rPr>
        <w:t>modeling</w:t>
      </w:r>
      <w:r w:rsidRPr="00340959">
        <w:rPr>
          <w:rFonts w:ascii="Arial" w:hAnsi="Arial" w:cs="Arial"/>
          <w:color w:val="000000"/>
          <w:sz w:val="21"/>
          <w:szCs w:val="21"/>
        </w:rPr>
        <w:t xml:space="preserve"> </w:t>
      </w:r>
      <w:r w:rsidR="003E3F90"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{"citationID":"DNAdpNyI","properties":{"formattedCitation":"(Das et al. 2012)","plainCitation":"(Das et al. 2012)","noteIndex":0},"citationItems":[{"id":152,"uris":["http://zotero.org/users/local/emosa1lm/items/PRY69TKZ"],"itemData":{"id":152,"type":"article-journal","container-title":"Geomorphology","DOI":"10.1016/j.geomorph.2012.08.004","ISSN":"0169-555X, 1872-695X","page":"116-125","publisher":"Elsevier BV","title":"Landslide susceptibility mapping along road corridors in the Indian Himalayas using Bayesian logistic regression models","volume":"179","author":[{"family":"Das","given":"Iswar"},{"family":"Stein","given":"Alfred"},{"family":"Kerle","given":"Norman"},{"family":"Dadhwal","given":"V. K."}],"issued":{"date-parts":[["2012",8]]}}}],"schema":"https://github.com/citation-style-language/schema/raw/master/csl-citation.json"} </w:instrText>
      </w:r>
      <w:r w:rsidR="003E3F90" w:rsidRPr="00340959">
        <w:rPr>
          <w:rFonts w:ascii="Arial" w:hAnsi="Arial" w:cs="Arial"/>
          <w:color w:val="000000"/>
          <w:sz w:val="21"/>
          <w:szCs w:val="21"/>
        </w:rPr>
        <w:fldChar w:fldCharType="separate"/>
      </w:r>
      <w:r w:rsidR="0050478C" w:rsidRPr="0050478C">
        <w:rPr>
          <w:rFonts w:ascii="Arial" w:hAnsi="Arial" w:cs="Arial"/>
          <w:sz w:val="21"/>
        </w:rPr>
        <w:t>(Das et al. 2012)</w:t>
      </w:r>
      <w:r w:rsidR="003E3F90" w:rsidRPr="00340959">
        <w:rPr>
          <w:rFonts w:ascii="Arial" w:hAnsi="Arial" w:cs="Arial"/>
          <w:color w:val="000000"/>
          <w:sz w:val="21"/>
          <w:szCs w:val="21"/>
        </w:rPr>
        <w:fldChar w:fldCharType="end"/>
      </w:r>
      <w:r w:rsidRPr="00340959">
        <w:rPr>
          <w:rFonts w:ascii="Arial" w:hAnsi="Arial" w:cs="Arial"/>
          <w:color w:val="000000"/>
          <w:sz w:val="21"/>
          <w:szCs w:val="21"/>
        </w:rPr>
        <w:t>.</w:t>
      </w:r>
      <w:r w:rsidR="00162937">
        <w:rPr>
          <w:rFonts w:ascii="Arial" w:hAnsi="Arial" w:cs="Arial"/>
          <w:b/>
          <w:bCs/>
          <w:color w:val="000000" w:themeColor="text1"/>
          <w:sz w:val="21"/>
          <w:szCs w:val="21"/>
        </w:rPr>
        <w:br w:type="page"/>
      </w:r>
    </w:p>
    <w:p w14:paraId="1DB22AAA" w14:textId="4F36B864" w:rsidR="005B28E8" w:rsidRPr="00693F4F" w:rsidRDefault="00000000" w:rsidP="00340959">
      <w:pPr>
        <w:pStyle w:val="Heading2"/>
        <w:spacing w:before="0" w:after="0" w:line="360" w:lineRule="auto"/>
        <w:rPr>
          <w:rFonts w:ascii="Arial" w:hAnsi="Arial" w:cs="Arial"/>
          <w:b/>
          <w:bCs/>
          <w:color w:val="000000" w:themeColor="text1"/>
          <w:sz w:val="21"/>
          <w:szCs w:val="21"/>
        </w:rPr>
      </w:pPr>
      <w:r w:rsidRPr="00693F4F">
        <w:rPr>
          <w:rFonts w:ascii="Arial" w:hAnsi="Arial" w:cs="Arial"/>
          <w:b/>
          <w:bCs/>
          <w:color w:val="000000" w:themeColor="text1"/>
          <w:sz w:val="21"/>
          <w:szCs w:val="21"/>
        </w:rPr>
        <w:lastRenderedPageBreak/>
        <w:t>Gaussian Process Classifier (GPC)</w:t>
      </w:r>
    </w:p>
    <w:p w14:paraId="571B791F" w14:textId="534D0EC4" w:rsidR="005B28E8"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The Gaussian Process Classifier was used as a non-parametric Bayesian model that can learn non-linear relationships between conditioning factors and landslide occurrence</w:t>
      </w:r>
      <w:r w:rsidR="003E3F90" w:rsidRPr="00340959">
        <w:rPr>
          <w:rFonts w:ascii="Arial" w:hAnsi="Arial" w:cs="Arial"/>
          <w:color w:val="000000"/>
          <w:sz w:val="21"/>
          <w:szCs w:val="21"/>
        </w:rPr>
        <w:t xml:space="preserve"> </w:t>
      </w:r>
      <w:r w:rsidR="007E51DD">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{"citationID":"RQLL4VhP","properties":{"formattedCitation":"(Qiu et al. 2024)","plainCitation":"(Qiu et al. 2024)","noteIndex":0},"citationItems":[{"id":364,"uris":["http://zotero.org/users/local/emosa1lm/items/VXZLC4VX"],"itemData":{"id":364,"type":"article-journal","abstract":"A reliable economic risk map is critical for effective debris-flow mitigation. However, the uncertainties surrounding future scenarios in debris-flow frequency and magnitude restrict its application. To estimate the economic risks caused by future debris flows, a machine learning-based method was proposed to generate an economic risk map by multiplying a debris-flow hazard map and an economic vulnerability map. We selected the Gyirong Zangbo Basin as the study area because frequent severe debris flows impact the area every year. The debris-flow hazard map was developed through the multiplication of the annual probability of spatial impact, temporal probability, and annual susceptibility. We employed a hybrid machine learning model—certainty factor-genetic algorithm-support vector classification—to calculate susceptibilities. Simultaneously, a Poisson model was applied for temporal probabilities, while the determination of annual probability of spatial impact relied on statistical results. Additionally, four major elements at risk were selected for the generation of an economic loss map: roads, vegetation-covered land, residential buildings, and farmland. The economic loss of elements at risk was calculated based on physical vulnerabilities and their economic values. Therefore, we proposed a physical vulnerability matrix for residential buildings, factoring in impact pressure on buildings and their horizontal distance and vertical distance to debris-flow channels. In this context, an ensemble model (XGBoost) was used to predict debris-flow volumes to calculate impact pressures on buildings. The results show that residential buildings occupy 76.7% of the total economic risk, while road-covered areas contribute approximately 6.85%. Vegetation-covered land and farmland collectively represent 16.45% of the entire risk. These findings can provide a scientific support for the effective mitigation of future debris flows.","container-title":"International Journal of Disaster Risk Science","DOI":"10.1007/s13753-024-00545-x","ISSN":"2192-6395","issue":"1","journalAbbreviation":"Int J Disaster Risk Sci","language":"en","page":"149-164","source":"Springer Link","title":"Economic Risk Assessment of Future Debris Flows by Machine Learning Method","volume":"15","author":[{"family":"Qiu","given":"Chenchen"},{"family":"Su","given":"Lijun"},{"family":"Pasuto","given":"Alessandro"},{"family":"Bossi","given":"Giulia"},{"family":"Geng","given":"Xueyu"}],"issued":{"date-parts":[["2024",2,1]]}}}],"schema":"https://github.com/citation-style-language/schema/raw/master/csl-citation.json"} </w:instrText>
      </w:r>
      <w:r w:rsidR="007E51DD">
        <w:rPr>
          <w:rFonts w:ascii="Arial" w:hAnsi="Arial" w:cs="Arial"/>
          <w:color w:val="000000"/>
          <w:sz w:val="21"/>
          <w:szCs w:val="21"/>
        </w:rPr>
        <w:fldChar w:fldCharType="separate"/>
      </w:r>
      <w:r w:rsidR="0050478C" w:rsidRPr="0050478C">
        <w:rPr>
          <w:rFonts w:ascii="Arial" w:hAnsi="Arial" w:cs="Arial"/>
          <w:sz w:val="21"/>
        </w:rPr>
        <w:t>(Qiu et al. 2024)</w:t>
      </w:r>
      <w:r w:rsidR="007E51DD">
        <w:rPr>
          <w:rFonts w:ascii="Arial" w:hAnsi="Arial" w:cs="Arial"/>
          <w:color w:val="000000"/>
          <w:sz w:val="21"/>
          <w:szCs w:val="21"/>
        </w:rPr>
        <w:fldChar w:fldCharType="end"/>
      </w:r>
      <w:r w:rsidRPr="00340959">
        <w:rPr>
          <w:rFonts w:ascii="Arial" w:hAnsi="Arial" w:cs="Arial"/>
          <w:color w:val="000000"/>
          <w:sz w:val="21"/>
          <w:szCs w:val="21"/>
        </w:rPr>
        <w:t>. A Gaussian Process prior with a Matérn covariance kernel was defined that provides an adequate trade-off between flexibility and smoothness to model spatially structured processes in the environment</w:t>
      </w:r>
      <w:r w:rsidR="007850A9">
        <w:rPr>
          <w:rFonts w:ascii="Arial" w:hAnsi="Arial" w:cs="Arial"/>
          <w:color w:val="000000"/>
          <w:sz w:val="21"/>
          <w:szCs w:val="21"/>
        </w:rPr>
        <w:t xml:space="preserve"> </w:t>
      </w:r>
      <w:r w:rsidR="007850A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{"citationID":"zWCzx3sr","properties":{"formattedCitation":"(Arrogante-Funes et al. 2024b)","plainCitation":"(Arrogante-Funes et al. 2024b)","noteIndex":0},"citationItems":[{"id":325,"uris":["http://zotero.org/users/local/emosa1lm/items/R2UMQ2DC"],"itemData":{"id":325,"type":"article-journal","abstract":"Regeneration after landslides is how an ecosystem recovers itself following a landslide event. Natural systems can recover and regenerate over time. The main objective of the current work is to identify and characterise the regeneration pattern after a great landslide event in 2013 in the Guerrero state (Mexico) using remote sensing, geographic information system (GIS), and machine learning techniques. Remarkably, the authors consider normalised difference vegetation index (NDVI) as a proxy of part of this “regeneration” in the present work. A first methodology attempt presented here was to monitor and characterise the “regeneration” after severe landslide events. First, the authors calculated and identified the (1) losses, (2) speed and (3) recovery time through a continuous change detection and classification algorithm (CCDC) in Google Earth Engine (GEE) from a NDVI-Landsat time series (from 1984 to 2021). Second, these three factors were introduced as variables in a not supervised machine-learning model to get 5 clusters that characterise the different regeneration patterns followed from 2013 to 2021 in the landslide zones. Finally, we studied 16 variables like elevation, slope, or soil pH. The authors included those variables in a supervised machine learning classification to find the most important main drivers related to the NDVI regeneration of the landslide areas. The results showed that the cluster called Group 0 had a low loss of NDVI value, speed and medium recovery time. Group 1 showed a medium–high loss, high speed and low recovery time. Group 2 reached a high loss, a low speed, and an increased recovery time. Group 3 with a medium loss, a medium speed, and a low recovery time. Finally, Group 4 with a high loss of NDVI, a medium speed, and a medium recovery time. Distance to the edge of the landslide, precipitation, land cover type and lithology are highlighted as the main drivers in landslide regeneration.","container-title":"Landslides","DOI":"10.1007/s10346-023-02154-z","ISSN":"1612-5118","issue":"2","journalAbbreviation":"Landslides","language":"en","page":"275-290","source":"Springer Link","title":"Assessment of the regeneration of landslides areas using unsupervised and supervised methods and explainable machine learning models","volume":"21","author":[{"family":"Arrogante-Funes","given":"Patricia"},{"family":"Bruzón","given":"Adrián G."},{"family":"Álvarez-Ripado","given":"Ariadna"},{"family":"Arrogante-Funes","given":"Fátima"},{"family":"Martín-González","given":"Fidel"},{"family":"Novillo","given":"Carlos J."}],"issued":{"date-parts":[["2024",2,1]]}}}],"schema":"https://github.com/citation-style-language/schema/raw/master/csl-citation.json"} </w:instrText>
      </w:r>
      <w:r w:rsidR="007850A9">
        <w:rPr>
          <w:rFonts w:ascii="Arial" w:hAnsi="Arial" w:cs="Arial"/>
          <w:color w:val="000000"/>
          <w:sz w:val="21"/>
          <w:szCs w:val="21"/>
        </w:rPr>
        <w:fldChar w:fldCharType="separate"/>
      </w:r>
      <w:r w:rsidR="0050478C" w:rsidRPr="0050478C">
        <w:rPr>
          <w:rFonts w:ascii="Arial" w:hAnsi="Arial" w:cs="Arial"/>
          <w:sz w:val="21"/>
        </w:rPr>
        <w:t>(Arrogante-Funes et al. 2024b)</w:t>
      </w:r>
      <w:r w:rsidR="007850A9">
        <w:rPr>
          <w:rFonts w:ascii="Arial" w:hAnsi="Arial" w:cs="Arial"/>
          <w:color w:val="000000"/>
          <w:sz w:val="21"/>
          <w:szCs w:val="21"/>
        </w:rPr>
        <w:fldChar w:fldCharType="end"/>
      </w:r>
      <w:r w:rsidRPr="00340959">
        <w:rPr>
          <w:rFonts w:ascii="Arial" w:hAnsi="Arial" w:cs="Arial"/>
          <w:color w:val="000000"/>
          <w:sz w:val="21"/>
          <w:szCs w:val="21"/>
        </w:rPr>
        <w:t xml:space="preserve">. Due to the non-Gaussian nature of the likelihood, posterior inference was approximated via the Laplace method </w:t>
      </w:r>
      <w:r w:rsidR="003E3F90"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{"citationID":"qHpYaKOf","properties":{"formattedCitation":"(Lombardo et al. 2018)","plainCitation":"(Lombardo et al. 2018)","noteIndex":0},"citationItems":[{"id":157,"uris":["http://zotero.org/users/local/emosa1lm/items/L7652H2M"],"itemData":{"id":157,"type":"article-journal","container-title":"Stochastic Environmental Research and Risk Assessment","DOI":"10.1007/s00477-018-1518-0","ISSN":"1436-3240, 1436-3259","issue":"7","page":"2179-2198","publisher":"Springer Science+Business Media","title":"Point process-based modeling of multiple debris flow landslides using INLA: an application to the 2009 Messina disaster","volume":"32","author":[{"family":"Lombardo","given":"Luigi"},{"family":"Opitz","given":"Thomas"},{"family":"Huser","given":"Raphaël"}],"issued":{"date-parts":[["2018",2]]}}}],"schema":"https://github.com/citation-style-language/schema/raw/master/csl-citation.json"} </w:instrText>
      </w:r>
      <w:r w:rsidR="003E3F90" w:rsidRPr="00340959">
        <w:rPr>
          <w:rFonts w:ascii="Arial" w:hAnsi="Arial" w:cs="Arial"/>
          <w:color w:val="000000"/>
          <w:sz w:val="21"/>
          <w:szCs w:val="21"/>
        </w:rPr>
        <w:fldChar w:fldCharType="separate"/>
      </w:r>
      <w:r w:rsidR="0050478C" w:rsidRPr="0050478C">
        <w:rPr>
          <w:rFonts w:ascii="Arial" w:hAnsi="Arial" w:cs="Arial"/>
          <w:sz w:val="21"/>
        </w:rPr>
        <w:t>(Lombardo et al. 2018)</w:t>
      </w:r>
      <w:r w:rsidR="003E3F90" w:rsidRPr="00340959">
        <w:rPr>
          <w:rFonts w:ascii="Arial" w:hAnsi="Arial" w:cs="Arial"/>
          <w:color w:val="000000"/>
          <w:sz w:val="21"/>
          <w:szCs w:val="21"/>
        </w:rPr>
        <w:fldChar w:fldCharType="end"/>
      </w:r>
      <w:r w:rsidRPr="00340959">
        <w:rPr>
          <w:rFonts w:ascii="Arial" w:hAnsi="Arial" w:cs="Arial"/>
          <w:color w:val="000000"/>
          <w:sz w:val="21"/>
          <w:szCs w:val="21"/>
        </w:rPr>
        <w:t xml:space="preserve">. The GPC not only produces predictive probabilities, but also latent variance estimates, allowing explicit characterization of epistemic uncertainty and more complicated decision boundaries in comparison to linear models </w:t>
      </w:r>
      <w:r w:rsidR="007E51DD">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{"citationID":"Adn9q98o","properties":{"formattedCitation":"(Thelen et al. 2024)","plainCitation":"(Thelen et al. 2024)","noteIndex":0},"citationItems":[{"id":323,"uris":["http://zotero.org/users/local/emosa1lm/items/UMQG4WWJ"],"itemData":{"id":323,"type":"article-journal","abstract":"Diagnosing lithium-ion battery health and predicting future degradation is essential for driving design improvements in the laboratory and ensuring safe and reliable operation over a product’s expected lifetime. However, accurate battery health diagnostics and prognostics is challenging due to the unavoidable influence of cell-to-cell manufacturing variability and time-varying operating circumstances experienced in the field. Machine learning approaches informed by simulation, experiment, and field data show enormous promise to predict the evolution of battery health with use; however, until recently, the research community has focused on deterministic modeling methods, largely ignoring the cell-to-cell performance and aging variability inherent to all batteries. To truly make informed decisions regarding battery design in the lab or control strategies for the field, it is critical to characterize the uncertainty in a model’s predictions. After providing an overview of lithium-ion battery degradation, this paper reviews the current state-of-the-art probabilistic machine learning models for health diagnostics and prognostics. Details of the various methods, their advantages, and limitations are discussed in detail with a primary focus on probabilistic machine learning and uncertainty quantification. Last, future trends and opportunities for research and development are discussed.","container-title":"npj Materials Sustainability","DOI":"10.1038/s44296-024-00011-1","ISSN":"2948-1775","issue":"1","journalAbbreviation":"npj Mater. Sustain.","language":"en","license":"2024 The Author(s)","page":"14","publisher":"Nature Publishing Group","source":"www.nature.com","title":"Probabilistic machine learning for battery health diagnostics and prognostics—review and perspectives","volume":"2","author":[{"family":"Thelen","given":"Adam"},{"family":"Huan","given":"Xun"},{"family":"Paulson","given":"Noah"},{"family":"Onori","given":"Simona"},{"family":"Hu","given":"Zhen"},{"family":"Hu","given":"Chao"}],"issued":{"date-parts":[["2024",6,3]]}}}],"schema":"https://github.com/citation-style-language/schema/raw/master/csl-citation.json"} </w:instrText>
      </w:r>
      <w:r w:rsidR="007E51DD">
        <w:rPr>
          <w:rFonts w:ascii="Arial" w:hAnsi="Arial" w:cs="Arial"/>
          <w:color w:val="000000"/>
          <w:sz w:val="21"/>
          <w:szCs w:val="21"/>
        </w:rPr>
        <w:fldChar w:fldCharType="separate"/>
      </w:r>
      <w:r w:rsidR="0050478C" w:rsidRPr="0050478C">
        <w:rPr>
          <w:rFonts w:ascii="Arial" w:hAnsi="Arial" w:cs="Arial"/>
          <w:sz w:val="21"/>
        </w:rPr>
        <w:t>(Thelen et al. 2024)</w:t>
      </w:r>
      <w:r w:rsidR="007E51DD">
        <w:rPr>
          <w:rFonts w:ascii="Arial" w:hAnsi="Arial" w:cs="Arial"/>
          <w:color w:val="000000"/>
          <w:sz w:val="21"/>
          <w:szCs w:val="21"/>
        </w:rPr>
        <w:fldChar w:fldCharType="end"/>
      </w:r>
      <w:r w:rsidRPr="00340959">
        <w:rPr>
          <w:rFonts w:ascii="Arial" w:hAnsi="Arial" w:cs="Arial"/>
          <w:color w:val="000000"/>
          <w:sz w:val="21"/>
          <w:szCs w:val="21"/>
        </w:rPr>
        <w:t>.</w:t>
      </w:r>
    </w:p>
    <w:p w14:paraId="463148A3" w14:textId="77777777" w:rsidR="00693F4F" w:rsidRPr="00340959" w:rsidRDefault="00693F4F" w:rsidP="00340959">
      <w:pPr>
        <w:spacing w:before="0" w:after="0" w:line="360" w:lineRule="auto"/>
        <w:jc w:val="both"/>
        <w:rPr>
          <w:rFonts w:ascii="Arial" w:hAnsi="Arial" w:cs="Arial"/>
          <w:sz w:val="21"/>
          <w:szCs w:val="21"/>
        </w:rPr>
      </w:pPr>
    </w:p>
    <w:p w14:paraId="54029166" w14:textId="77777777" w:rsidR="005B28E8" w:rsidRPr="00693F4F" w:rsidRDefault="00000000" w:rsidP="00340959">
      <w:pPr>
        <w:pStyle w:val="Heading2"/>
        <w:spacing w:before="0" w:after="0" w:line="360" w:lineRule="auto"/>
        <w:rPr>
          <w:rFonts w:ascii="Arial" w:hAnsi="Arial" w:cs="Arial"/>
          <w:b/>
          <w:bCs/>
          <w:color w:val="000000" w:themeColor="text1"/>
          <w:sz w:val="21"/>
          <w:szCs w:val="21"/>
        </w:rPr>
      </w:pPr>
      <w:r w:rsidRPr="00693F4F">
        <w:rPr>
          <w:rFonts w:ascii="Arial" w:hAnsi="Arial" w:cs="Arial"/>
          <w:b/>
          <w:bCs/>
          <w:color w:val="000000" w:themeColor="text1"/>
          <w:sz w:val="21"/>
          <w:szCs w:val="21"/>
        </w:rPr>
        <w:t>L2-Regularized Logistic Regression (LR-L2)</w:t>
      </w:r>
    </w:p>
    <w:p w14:paraId="0190C88E" w14:textId="5616E823" w:rsidR="005B28E8" w:rsidRDefault="00693F4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A</w:t>
      </w:r>
      <w:r w:rsidR="00904121" w:rsidRPr="00340959">
        <w:rPr>
          <w:rFonts w:ascii="Arial" w:hAnsi="Arial" w:cs="Arial"/>
          <w:color w:val="000000"/>
          <w:sz w:val="21"/>
          <w:szCs w:val="21"/>
        </w:rPr>
        <w:t xml:space="preserve"> simple linear benchmark, L2-regularized Logistic Regression</w:t>
      </w:r>
      <w:r>
        <w:rPr>
          <w:rFonts w:ascii="Arial" w:hAnsi="Arial" w:cs="Arial"/>
          <w:color w:val="000000"/>
          <w:sz w:val="21"/>
          <w:szCs w:val="21"/>
        </w:rPr>
        <w:t>, was also used in this study</w:t>
      </w:r>
      <w:r w:rsidR="00904121" w:rsidRPr="00340959">
        <w:rPr>
          <w:rFonts w:ascii="Arial" w:hAnsi="Arial" w:cs="Arial"/>
          <w:color w:val="000000"/>
          <w:sz w:val="21"/>
          <w:szCs w:val="21"/>
        </w:rPr>
        <w:t>. Ridge regularization was applied to constrain coefficients, combat overfitting</w:t>
      </w:r>
      <w:r w:rsidR="00567FB5" w:rsidRPr="00340959">
        <w:rPr>
          <w:rFonts w:ascii="Arial" w:hAnsi="Arial" w:cs="Arial"/>
          <w:color w:val="000000"/>
          <w:sz w:val="21"/>
          <w:szCs w:val="21"/>
        </w:rPr>
        <w:t>,</w:t>
      </w:r>
      <w:r w:rsidR="00904121" w:rsidRPr="00340959">
        <w:rPr>
          <w:rFonts w:ascii="Arial" w:hAnsi="Arial" w:cs="Arial"/>
          <w:color w:val="000000"/>
          <w:sz w:val="21"/>
          <w:szCs w:val="21"/>
        </w:rPr>
        <w:t xml:space="preserve"> and enhance generalizability</w:t>
      </w:r>
      <w:r w:rsidR="003E3F90" w:rsidRPr="00340959">
        <w:rPr>
          <w:rFonts w:ascii="Arial" w:hAnsi="Arial" w:cs="Arial"/>
          <w:color w:val="000000"/>
          <w:sz w:val="21"/>
          <w:szCs w:val="21"/>
        </w:rPr>
        <w:t xml:space="preserve"> </w:t>
      </w:r>
      <w:r w:rsidR="003E3F90"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{"citationID":"eQujEia7","properties":{"formattedCitation":"(\\uc0\\u350{}ensoy et al. 2020)","plainCitation":"(Şensoy et al. 2020)","noteIndex":0},"citationItems":[{"id":158,"uris":["http://zotero.org/users/local/emosa1lm/items/7AG4DZXJ"],"itemData":{"id":158,"type":"paper-conference","abstract":"Deep neural networks are often ignorant about what they do not know and overconfident when they make uninformed predictions. Some recent approaches quantify classification uncertainty directly by training the model to output high uncertainty for the data samples close to class boundaries or from the outside of the training distribution. These approaches use an auxiliary data set during training to represent out-of-distribution samples. However, selection or creation of such an auxiliary data set is non-trivial, especially for high dimensional data such as images. In this work we develop a novel neural network model that is able to express both aleatoric and epistemic uncertainty to distinguish decision boundary and out-of-distribution regions of the feature space. To this end, variational autoencoders and generative adversarial networks are incorporated to automatically generate out-of-distribution exemplars for training. Through extensive analysis, we demonstrate that the proposed approach provides better estimates of uncertainty for in- and out-of-distribution samples, and adversarial examples on well-known data sets against state-of-the-art approaches including recent Bayesian approaches for neural networks and anomaly detection methods.","container-title":"Proceedings of the AAAI Conference on Artificial Intelligence","DOI":"10.1609/aaai.v34i04.6015","ISSN":"2159-5399, 2374-3468","issue":"4","page":"5620-5627","publisher":"Association for the Advancement of Artificial Intelligence","title":"Uncertainty-Aware Deep Classifiers Using Generative Models","URL":"https://doi.org/10.1609/aaai.v34i04.6015","volume":"34","author":[{"family":"Şensoy","given":"Murat"},{"family":"Kaplan","given":"Lance"},{"family":"Cerutti","given":"Federico"},{"family":"Saleki","given":"Maryam"}],"issued":{"date-parts":[["2020",4]]}}}],"schema":"https://github.com/citation-style-language/schema/raw/master/csl-citation.json"} </w:instrText>
      </w:r>
      <w:r w:rsidR="003E3F90" w:rsidRPr="00340959">
        <w:rPr>
          <w:rFonts w:ascii="Arial" w:hAnsi="Arial" w:cs="Arial"/>
          <w:color w:val="000000"/>
          <w:sz w:val="21"/>
          <w:szCs w:val="21"/>
        </w:rPr>
        <w:fldChar w:fldCharType="separate"/>
      </w:r>
      <w:r w:rsidR="0050478C" w:rsidRPr="0050478C">
        <w:rPr>
          <w:rFonts w:ascii="Arial" w:hAnsi="Arial" w:cs="Arial"/>
          <w:sz w:val="21"/>
        </w:rPr>
        <w:t>(Şensoy et al. 2020)</w:t>
      </w:r>
      <w:r w:rsidR="003E3F90" w:rsidRPr="00340959">
        <w:rPr>
          <w:rFonts w:ascii="Arial" w:hAnsi="Arial" w:cs="Arial"/>
          <w:color w:val="000000"/>
          <w:sz w:val="21"/>
          <w:szCs w:val="21"/>
        </w:rPr>
        <w:fldChar w:fldCharType="end"/>
      </w:r>
      <w:r w:rsidR="00904121" w:rsidRPr="00340959">
        <w:rPr>
          <w:rFonts w:ascii="Arial" w:hAnsi="Arial" w:cs="Arial"/>
          <w:color w:val="000000"/>
          <w:sz w:val="21"/>
          <w:szCs w:val="21"/>
        </w:rPr>
        <w:t xml:space="preserve">. </w:t>
      </w:r>
      <w:r>
        <w:rPr>
          <w:rFonts w:ascii="Arial" w:hAnsi="Arial" w:cs="Arial"/>
          <w:color w:val="000000"/>
          <w:sz w:val="21"/>
          <w:szCs w:val="21"/>
        </w:rPr>
        <w:t>Class imbalance was addressed through balanced class weighting</w:t>
      </w:r>
      <w:r w:rsidR="00904121" w:rsidRPr="00340959">
        <w:rPr>
          <w:rFonts w:ascii="Arial" w:hAnsi="Arial" w:cs="Arial"/>
          <w:color w:val="000000"/>
          <w:sz w:val="21"/>
          <w:szCs w:val="21"/>
        </w:rPr>
        <w:t xml:space="preserve">. Unlike its Bayesian counterpart, LR-L2 provides point </w:t>
      </w:r>
      <w:r>
        <w:rPr>
          <w:rFonts w:ascii="Arial" w:hAnsi="Arial" w:cs="Arial"/>
          <w:color w:val="000000"/>
          <w:sz w:val="21"/>
          <w:szCs w:val="21"/>
        </w:rPr>
        <w:t>estimates of parameters</w:t>
      </w:r>
      <w:r w:rsidR="00904121" w:rsidRPr="00340959">
        <w:rPr>
          <w:rFonts w:ascii="Arial" w:hAnsi="Arial" w:cs="Arial"/>
          <w:color w:val="000000"/>
          <w:sz w:val="21"/>
          <w:szCs w:val="21"/>
        </w:rPr>
        <w:t xml:space="preserve"> without posterior uncertainty</w:t>
      </w:r>
      <w:r w:rsidR="00567FB5" w:rsidRPr="00340959">
        <w:rPr>
          <w:rFonts w:ascii="Arial" w:hAnsi="Arial" w:cs="Arial"/>
          <w:color w:val="000000"/>
          <w:sz w:val="21"/>
          <w:szCs w:val="21"/>
        </w:rPr>
        <w:t>,</w:t>
      </w:r>
      <w:r w:rsidR="00904121" w:rsidRPr="00340959">
        <w:rPr>
          <w:rFonts w:ascii="Arial" w:hAnsi="Arial" w:cs="Arial"/>
          <w:color w:val="000000"/>
          <w:sz w:val="21"/>
          <w:szCs w:val="21"/>
        </w:rPr>
        <w:t xml:space="preserve"> and </w:t>
      </w:r>
      <w:r w:rsidR="00571FF7">
        <w:rPr>
          <w:rFonts w:ascii="Arial" w:hAnsi="Arial" w:cs="Arial"/>
          <w:color w:val="000000"/>
          <w:sz w:val="21"/>
          <w:szCs w:val="21"/>
        </w:rPr>
        <w:t>includes</w:t>
      </w:r>
      <w:r w:rsidR="00904121" w:rsidRPr="00340959">
        <w:rPr>
          <w:rFonts w:ascii="Arial" w:hAnsi="Arial" w:cs="Arial"/>
          <w:color w:val="000000"/>
          <w:sz w:val="21"/>
          <w:szCs w:val="21"/>
        </w:rPr>
        <w:t xml:space="preserve"> it to evaluate the added value of Bayesian inference in terms of calibration and spatial robustness </w:t>
      </w:r>
      <w:r w:rsidR="003E3F90"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{"citationID":"S3GgTMQM","properties":{"formattedCitation":"(Black et al. 2022)","plainCitation":"(Black et al. 2022)","noteIndex":0},"citationItems":[{"id":159,"uris":["http://zotero.org/users/local/emosa1lm/items/DEILPRF3"],"itemData":{"id":159,"type":"article-journal","abstract":"The increasing complexity of the dynamics captured in Land Use and Land Cover (LULC) change modelling has made model behaviour less transparent and calibration more extensive. For cellular automata models in particular, this is compounded by the fact that validation is typically performed indirectly, using final simulated change maps; rather than directly considering the probabilistic predictions of transition potential. This study demonstrates that evaluating transition potential predictions provides detail into model behaviour and performance that cannot be obtained from simulated map comparison alone. This is illustrated by modelling LULC transitions in Switzerland using both Logistic Regression and Random Forests. The results emphasize the need for LULC modellers to explicitly consider the performance of individual transition models independently to ensure robust predictions. Additionally, this study highlights the potential for predictor variable selection as a means to improve transition model generalizability and parsimony, which is beneficial for simulating future LULC change.","container-title":"Environmental Modelling &amp; Software","DOI":"10.1016/j.envsoft.2022.105574","ISSN":"1364-8152, 1873-6726","page":"105574-105574","publisher":"Elsevier BV","title":"Re-considering the status quo: Improving calibration of land use change models through validation of transition potential predictions","volume":"159","author":[{"family":"Black","given"</w:instrText>
      </w:r>
      <w:r w:rsidR="0050478C">
        <w:rPr>
          <w:rFonts w:ascii="Arial" w:hAnsi="Arial" w:cs="Arial" w:hint="eastAsia"/>
          <w:color w:val="000000"/>
          <w:sz w:val="21"/>
          <w:szCs w:val="21"/>
        </w:rPr>
        <w:instrText>:"Benjamin"},{"family":"Strien","given":"Maarten J.","dropping-particle":"van"},{"family":"Adde","given":"Antoine"},{"family":"Grêt</w:instrText>
      </w:r>
      <w:r w:rsidR="0050478C">
        <w:rPr>
          <w:rFonts w:ascii="Cambria Math" w:hAnsi="Cambria Math" w:cs="Cambria Math"/>
          <w:color w:val="000000"/>
          <w:sz w:val="21"/>
          <w:szCs w:val="21"/>
        </w:rPr>
        <w:instrText>‐</w:instrText>
      </w:r>
      <w:r w:rsidR="0050478C">
        <w:rPr>
          <w:rFonts w:ascii="Arial" w:hAnsi="Arial" w:cs="Arial" w:hint="eastAsia"/>
          <w:color w:val="000000"/>
          <w:sz w:val="21"/>
          <w:szCs w:val="21"/>
        </w:rPr>
        <w:instrText>Regamey","given":"Adrienne"}],"issued":{"date-parts":[["2022",11]]}}}],"schema":"https://github.com/citation-style-language</w:instrText>
      </w:r>
      <w:r w:rsidR="0050478C">
        <w:rPr>
          <w:rFonts w:ascii="Arial" w:hAnsi="Arial" w:cs="Arial"/>
          <w:color w:val="000000"/>
          <w:sz w:val="21"/>
          <w:szCs w:val="21"/>
        </w:rPr>
        <w:instrText xml:space="preserve">/schema/raw/master/csl-citation.json"} </w:instrText>
      </w:r>
      <w:r w:rsidR="003E3F90" w:rsidRPr="00340959">
        <w:rPr>
          <w:rFonts w:ascii="Arial" w:hAnsi="Arial" w:cs="Arial"/>
          <w:color w:val="000000"/>
          <w:sz w:val="21"/>
          <w:szCs w:val="21"/>
        </w:rPr>
        <w:fldChar w:fldCharType="separate"/>
      </w:r>
      <w:r w:rsidR="0050478C" w:rsidRPr="0050478C">
        <w:rPr>
          <w:rFonts w:ascii="Arial" w:hAnsi="Arial" w:cs="Arial"/>
          <w:sz w:val="21"/>
        </w:rPr>
        <w:t>(Black et al. 2022)</w:t>
      </w:r>
      <w:r w:rsidR="003E3F90" w:rsidRPr="00340959">
        <w:rPr>
          <w:rFonts w:ascii="Arial" w:hAnsi="Arial" w:cs="Arial"/>
          <w:color w:val="000000"/>
          <w:sz w:val="21"/>
          <w:szCs w:val="21"/>
        </w:rPr>
        <w:fldChar w:fldCharType="end"/>
      </w:r>
      <w:r w:rsidR="00904121" w:rsidRPr="00340959">
        <w:rPr>
          <w:rFonts w:ascii="Arial" w:hAnsi="Arial" w:cs="Arial"/>
          <w:color w:val="000000"/>
          <w:sz w:val="21"/>
          <w:szCs w:val="21"/>
        </w:rPr>
        <w:t>.</w:t>
      </w:r>
    </w:p>
    <w:p w14:paraId="774A7A6D" w14:textId="77777777" w:rsidR="00693F4F" w:rsidRPr="00340959" w:rsidRDefault="00693F4F" w:rsidP="00340959">
      <w:pPr>
        <w:spacing w:before="0" w:after="0" w:line="360" w:lineRule="auto"/>
        <w:jc w:val="both"/>
        <w:rPr>
          <w:rFonts w:ascii="Arial" w:hAnsi="Arial" w:cs="Arial"/>
          <w:color w:val="000000"/>
          <w:sz w:val="21"/>
          <w:szCs w:val="21"/>
        </w:rPr>
      </w:pPr>
    </w:p>
    <w:p w14:paraId="2A6AA28A" w14:textId="77777777" w:rsidR="005B28E8" w:rsidRPr="00EC047A" w:rsidRDefault="00000000" w:rsidP="00340959">
      <w:pPr>
        <w:pStyle w:val="Heading2"/>
        <w:spacing w:before="0" w:after="0" w:line="360" w:lineRule="auto"/>
        <w:rPr>
          <w:rFonts w:ascii="Arial" w:hAnsi="Arial" w:cs="Arial"/>
          <w:b/>
          <w:bCs/>
          <w:color w:val="000000" w:themeColor="text1"/>
          <w:sz w:val="21"/>
          <w:szCs w:val="21"/>
        </w:rPr>
      </w:pPr>
      <w:r w:rsidRPr="00EC047A">
        <w:rPr>
          <w:rFonts w:ascii="Arial" w:hAnsi="Arial" w:cs="Arial"/>
          <w:b/>
          <w:bCs/>
          <w:color w:val="000000" w:themeColor="text1"/>
          <w:sz w:val="21"/>
          <w:szCs w:val="21"/>
        </w:rPr>
        <w:t>Random Forest (RF)</w:t>
      </w:r>
    </w:p>
    <w:p w14:paraId="4C625B85" w14:textId="5E42D875" w:rsidR="000152B3"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Random Forest was implemented as an ensemble tree-based classifier using bootstrap aggregation and random feature selection. The model captures non-linear interactions without parametric assumptions</w:t>
      </w:r>
      <w:r w:rsidR="00345E8A" w:rsidRPr="00340959">
        <w:rPr>
          <w:rFonts w:ascii="Arial" w:hAnsi="Arial" w:cs="Arial"/>
          <w:color w:val="000000"/>
          <w:sz w:val="21"/>
          <w:szCs w:val="21"/>
        </w:rPr>
        <w:t xml:space="preserve"> </w:t>
      </w:r>
      <w:r w:rsidR="007850A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{"citationID":"sy1RPht5","properties":{"formattedCitation":"(Dal Seno et al. 2024)","plainCitation":"(Dal Seno et al. 2024)","noteIndex":0},"citationItems":[{"id":321,"uris":["http://zotero.org/users/local/emosa1lm/items/KHKGDZCZ"],"itemData":{"id":321,"type":"article-journal","abstract":"This research focuses on the essential task of defining rainfall thresholds in regions with complex geological features, specifically at a regional scale. It examines a variety of methodologies, from traditional empirical-statistical methods to cutting-edge machine learning (ML) techniques, for establishing these thresholds. The Emilia-Romagna region in Italy, known for its intricate geological structure and prevalence of weak rocks that often lead to large and deep-seated landslides, serves as the study area. The region’s complex interplay between rainfall and landslide incidences poses a significant challenge in accurately determining rainfall thresholds. The effectiveness of ML methods is compared against conventional empirical-statistical approaches, evaluating factors such as prediction accuracy, model complexity, and the interpretability of results for use by regional landslide warning system operators. The findings indicate that machine learning techniques have an edge over traditional methods, yielding higher performance scores and fewer false positives. Nevertheless, these advancements are modest when considering the increased complexity of ML methods and the incorporation of additional rainfall parameters. This underlines the continued need for improvements in data quality and volume. The study stresses the importance of enhancing data collection and analysis techniques, especially in an era where advanced AI tools are increasingly available, to improve the accuracy of predicting rainfall thresholds for effective landslide warning systems.","container-title":"Landslides","DOI":"10.1007/s10346-024-02336-3","ISSN":"1612-5118","issue":"12","journalAbbreviation":"Landslides","language":"en","page":"2893-2911","source":"Springer Link","title":"Comparative analysis of conventional and machine learning techniques for rainfall threshold evaluation under complex geological conditions","volume":"21","author":[{"family":"Dal Seno","given":"N."},{"family":"Evangelista","given":"D."},{"family":"Piccolomini","given":"E."},{"family":"Berti","given":"M."}],"issued":{"date-parts":[["2024",12,1]]}}}],"schema":"https://github.com/citation-style-language/schema/raw/master/csl-citation.json"} </w:instrText>
      </w:r>
      <w:r w:rsidR="007850A9">
        <w:rPr>
          <w:rFonts w:ascii="Arial" w:hAnsi="Arial" w:cs="Arial"/>
          <w:color w:val="000000"/>
          <w:sz w:val="21"/>
          <w:szCs w:val="21"/>
        </w:rPr>
        <w:fldChar w:fldCharType="separate"/>
      </w:r>
      <w:r w:rsidR="0050478C" w:rsidRPr="0050478C">
        <w:rPr>
          <w:rFonts w:ascii="Arial" w:hAnsi="Arial" w:cs="Arial"/>
          <w:sz w:val="21"/>
        </w:rPr>
        <w:t>(Dal Seno et al. 2024)</w:t>
      </w:r>
      <w:r w:rsidR="007850A9">
        <w:rPr>
          <w:rFonts w:ascii="Arial" w:hAnsi="Arial" w:cs="Arial"/>
          <w:color w:val="000000"/>
          <w:sz w:val="21"/>
          <w:szCs w:val="21"/>
        </w:rPr>
        <w:fldChar w:fldCharType="end"/>
      </w:r>
      <w:r w:rsidRPr="00340959">
        <w:rPr>
          <w:rFonts w:ascii="Arial" w:hAnsi="Arial" w:cs="Arial"/>
          <w:color w:val="000000"/>
          <w:sz w:val="21"/>
          <w:szCs w:val="21"/>
        </w:rPr>
        <w:t>. A balanced subsampling strategy was adopted to address class imbalance. Although RF typically demonstrates strong discriminative performance in landslide susceptibility studies, it does not provide coherent posterior uncertainty; therefore, it was treated strictly as a benchmark model in this research</w:t>
      </w:r>
      <w:r w:rsidR="00713DAE" w:rsidRPr="00340959">
        <w:rPr>
          <w:rFonts w:ascii="Arial" w:hAnsi="Arial" w:cs="Arial"/>
          <w:color w:val="000000"/>
          <w:sz w:val="21"/>
          <w:szCs w:val="21"/>
        </w:rPr>
        <w:t xml:space="preserve">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{"citationID":"0GkvCvJC","properties":{"formattedCitation":"(Lv et al. 2025)","plainCitation":"(Lv et al. 2025)","noteIndex":0},"citationItems":[{"id":161,"uris":["http://zotero.org/users/local/emosa1lm/items/Q37XSB96"],"itemData":{"id":161,"type":"article-journal","abstract":"Landslides are frequent and hazardous geological disasters, posing significant risks to human safety and infrastructure. Accurate assessments of landslide susceptibility are crucial for risk management and mitigation. However, geological surveys of landslide areas are typically conducted at the township level, have lowsample sizes, and rely on experience. This study proposes a framework for assessing landslide susceptibility in Taiping Township, Zhejiang Province, China, using data balancing, machine learning, and data from 1,325 slope units with nine slope characteristics. The dataset was balanced using the Synthetic Minority Oversampling Technique and the Tomek link undersampling method (SMOTE-Tomek). A comparative analysis of six machine learning models was performed, and the SHapley Additive exPlanation (SHAP) method was used to assess the influencing factors. The results indicate that the machine learning algorithms provide high accuracy, and the random forest (RF) algorithm achieves the optimum model accuracy (0.791, F1 = 0.723). The very low, low, medium, and high sensitivity zones account for 92.27%, 5.12%, 1.78%, and 0.83% of the area, respectively. The height of cut slopes has the most significant impact on landslide sensitivity, whereas the altitude has a minor impact. The proposed model accurately assesses landslide susceptibility at the township scale, providing valuable insights for risk management and mitigation.","container-title":"PLoS ONE","DOI":"10.1371/journal.pone.0323487","ISSN":"1932-6203","issue":"5","PMID":"40397833","publisher":"Public Library of Science","title":"Evaluation of landslide susceptibility based on SMOTE-Tomek sampling and machine learning algorithm","URL":"https://doi.org/10.1371/journal.pone.0323487","volume":"20","author":[{"family":"Lv","given":"M."},{"family":"Li","given":"Kunlun"},{"family":"Cai","given":"Jing"},{"family":"Jun","given":"Mao"},{"family":"Gao","given":"Jiajun"},{"family":"Xu","given":"Hui"}],"issued":{"date-parts":[["2025",5]]}}}],"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(Lv et al. 2025)</w:t>
      </w:r>
      <w:r w:rsidR="00345E8A" w:rsidRPr="00340959">
        <w:rPr>
          <w:rFonts w:ascii="Arial" w:hAnsi="Arial" w:cs="Arial"/>
          <w:color w:val="000000"/>
          <w:sz w:val="21"/>
          <w:szCs w:val="21"/>
        </w:rPr>
        <w:fldChar w:fldCharType="end"/>
      </w:r>
      <w:r w:rsidRPr="00340959">
        <w:rPr>
          <w:rFonts w:ascii="Arial" w:hAnsi="Arial" w:cs="Arial"/>
          <w:color w:val="000000"/>
          <w:sz w:val="21"/>
          <w:szCs w:val="21"/>
        </w:rPr>
        <w:t>.</w:t>
      </w:r>
    </w:p>
    <w:p w14:paraId="5C7771D2" w14:textId="77777777" w:rsidR="00EC60E6" w:rsidRPr="00340959" w:rsidRDefault="00EC60E6" w:rsidP="00340959">
      <w:pPr>
        <w:spacing w:before="0" w:after="0" w:line="360" w:lineRule="auto"/>
        <w:jc w:val="both"/>
        <w:rPr>
          <w:rFonts w:ascii="Arial" w:hAnsi="Arial" w:cs="Arial"/>
          <w:color w:val="000000"/>
          <w:sz w:val="21"/>
          <w:szCs w:val="21"/>
        </w:rPr>
      </w:pPr>
    </w:p>
    <w:p w14:paraId="52F48AB4" w14:textId="77777777" w:rsidR="005B28E8" w:rsidRPr="00EC60E6" w:rsidRDefault="00000000" w:rsidP="00340959">
      <w:pPr>
        <w:pStyle w:val="Heading2"/>
        <w:spacing w:before="0" w:after="0" w:line="360" w:lineRule="auto"/>
        <w:rPr>
          <w:rFonts w:ascii="Arial" w:hAnsi="Arial" w:cs="Arial"/>
          <w:b/>
          <w:bCs/>
          <w:color w:val="7030A0"/>
          <w:sz w:val="21"/>
          <w:szCs w:val="21"/>
        </w:rPr>
      </w:pPr>
      <w:r w:rsidRPr="00EC60E6">
        <w:rPr>
          <w:rFonts w:ascii="Arial" w:hAnsi="Arial" w:cs="Arial"/>
          <w:b/>
          <w:bCs/>
          <w:color w:val="7030A0"/>
          <w:sz w:val="21"/>
          <w:szCs w:val="21"/>
        </w:rPr>
        <w:t>Validation design</w:t>
      </w:r>
    </w:p>
    <w:p w14:paraId="6B5D3733" w14:textId="4D614979" w:rsidR="000152B3"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To obtain statistically robust and spatially realistic performance estimates, three complementary validation strategies were implemented. First, repeated stratified cross-validation (5-fold × 3 repeats) was applied to the training subset to generate stable average metrics while preserving class proportions within each fold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{"citationID":"iZyVqpsN","properties":{"formattedCitation":"(Porrello et al. 2019)","plainCitation":"(Porrello et al. 2019)","noteIndex":0},"citationItems":[{"id":162,"uris":["http://zotero.org/users/local/emosa1lm/items/6K6VGCNU"],"itemData":{"id":162,"type":"article-journal","abstract":"Nowadays, Vector-Borne Diseases (VBDs) raise a severe threat for public health, accounting for a considerable amount of human illnesses. Recently, several surveillance plans have been put in place for limiting the spread of such diseases, typically involving on-field measurements. Such a systematic and effective plan still misses, due to the high costs and efforts required for implementing it. Ideally, any attempt in this field should consider the triangle vectors-host-pathogen, which is strictly linked to the environmental and climatic conditions. In this paper, we exploit satellite imagery from Sentinel-2 mission, as we believe they encode the environmental factors responsible for the vector's spread. Our analysis - conducted in a data-driver fashion - couples spectral images with ground-truth information on the abundance of Culicoides imicola. In this respect, we frame our task as a binary classification problem, underpinning Convolutional Neural Networks (CNNs) as being able to learn useful representation from multi-band images. Additionally, we provide a multi-instance variant, aimed at extracting temporal patterns from a short sequence of spectral images. Experiments show promising results, providing the foundations for novel supportive tools, which could depict where surveillance and prevention measures could be prioritized.","DOI":"10.1109/sitis.2019.00036","page":"159-166","title":"Spotting Insects from Satellites: Modeling the Presence of Culicoides Imicola Through Deep CNNs","author":[{"family":"Porrello","given":"Angelo"},{"family":"Vincenzi","given":"Stefano"},{"family":"Buzzega","given":"Pietro"},{"family":"Calderara","given":"Simone"},{"family":"Conte","given":"Annamaria"},{"family":"Ippoliti","given":"Carla"},{"family":"Candeloro","given":"Luca"},{"family":"Lorenzo","given":"Alessio Di"},{"family":"Dondona","given":"Andrea Capobianco"}],"issued":{"date-parts":[["2019",11]]}}}],"schema":"https://github.com/citation-style-language/schema/raw/master/csl-citation.json"}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(Porrello et al. 2019)</w:t>
      </w:r>
      <w:r w:rsidR="00345E8A" w:rsidRPr="00340959">
        <w:rPr>
          <w:rFonts w:ascii="Arial" w:hAnsi="Arial" w:cs="Arial"/>
          <w:color w:val="000000"/>
          <w:sz w:val="21"/>
          <w:szCs w:val="21"/>
        </w:rPr>
        <w:fldChar w:fldCharType="end"/>
      </w:r>
      <w:r w:rsidRPr="00340959">
        <w:rPr>
          <w:rFonts w:ascii="Arial" w:hAnsi="Arial" w:cs="Arial"/>
          <w:color w:val="000000"/>
          <w:sz w:val="21"/>
          <w:szCs w:val="21"/>
        </w:rPr>
        <w:t xml:space="preserve">. Second, stratified sampling </w:t>
      </w:r>
      <w:r w:rsidR="00EE403A">
        <w:rPr>
          <w:rFonts w:ascii="Arial" w:hAnsi="Arial" w:cs="Arial"/>
          <w:color w:val="000000"/>
          <w:sz w:val="21"/>
          <w:szCs w:val="21"/>
        </w:rPr>
        <w:t xml:space="preserve">was employed </w:t>
      </w:r>
      <w:r w:rsidRPr="00340959">
        <w:rPr>
          <w:rFonts w:ascii="Arial" w:hAnsi="Arial" w:cs="Arial"/>
          <w:color w:val="000000"/>
          <w:sz w:val="21"/>
          <w:szCs w:val="21"/>
        </w:rPr>
        <w:t>to reserve 20% of the data as an independent holdout set untouched by model development and reserved solely for external evaluation. Third, spatial block cross-validation</w:t>
      </w:r>
      <w:r w:rsidR="00EE403A">
        <w:rPr>
          <w:rFonts w:ascii="Arial" w:hAnsi="Arial" w:cs="Arial"/>
          <w:color w:val="000000"/>
          <w:sz w:val="21"/>
          <w:szCs w:val="21"/>
        </w:rPr>
        <w:t xml:space="preserve"> was performed</w:t>
      </w:r>
      <w:r w:rsidRPr="00340959">
        <w:rPr>
          <w:rFonts w:ascii="Arial" w:hAnsi="Arial" w:cs="Arial"/>
          <w:color w:val="000000"/>
          <w:sz w:val="21"/>
          <w:szCs w:val="21"/>
        </w:rPr>
        <w:t xml:space="preserve"> using GroupKFold and spatial clusters derived from KMeans clustering in geographic coordinates </w:t>
      </w:r>
      <w:r w:rsidR="00EC71F6">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{"citationID":"MTCRljDN","properties":{"formattedCitation":"(Dey et al. 2024)","plainCitation":"(Dey et al. 2024)","noteIndex":0},"citationItems":[{"id":316,"uris":["http://zotero.org/users/local/emosa1lm/items/5RQMJ437"],"itemData":{"id":316,"type":"article-journal","abstract":"Machine learning (ML) can make use of agricultural data related to crop yield under varying soil nutrient levels, and climatic fluctuations to suggest appropriate crops or supplementary nutrients to achieve the highest possible production. The aim of this study was to evaluate the efficacy of five distinct ML models for a dataset sourced from the Kaggle repository to generate practical recommendations for crop selection or determination of required nutrient(s) in a given site. The datasets contain information on NPK, soil pH, and three climatic variables: temperature, rainfall, and humidity. The models namely Support vector machine, XGBoost, Random forest, KNN, and Decision Tree were trained using yields of individual data sets of 11 agricultural and 10 horticultural crops, as well as combined yield of both agri-horticultural crops. The results strongly suggest to evaluate individual data sets separately for each crop category rather than using combined the data sets of both categories for better predictions. Comparing the five ML models, the XGBoost demonstrated the highest level of accuracy. The precision rates of XGBoost for recommending agricultural crops, horticultural crops, and a combination of both were 99.09 % (AUC 1.0), 99.3 % (AUC 1.0), and 98.51 % (AUC 0.99), respectively. This non-intrusive method for generating crop recommendations in diverse environmental conditions holds the potential to provide valuable insights for the development of a user-friendly AI cloud-based interface. Such an interface would enable rapid decision-making for optimal fertilizer applications and the selection of suitable crops for cultivation at specific sites.","container-title":"Heliyon","DOI":"10.1016/j.heliyon.2024.e25112","ISSN":"2405-8440","issue":"3","journalAbbreviation":"Heliyon","page":"e25112","source":"ScienceDirect","title":"Machine learning based recommendation of agricultural and horticultural crop farming in India under the regime of NPK, soil pH and three climatic variables","volume":"10","author":[{"family":"Dey","given":"Biplob"},{"family":"Ferdous","given":"Jannatul"},{"family":"Ahmed","given":"Romel"}],"issued":{"date-parts":[["2024",2,15]]}}}],"schema":"https://github.com/citation-style-language/schema/raw/master/csl-citation.json"} </w:instrText>
      </w:r>
      <w:r w:rsidR="00EC71F6">
        <w:rPr>
          <w:rFonts w:ascii="Arial" w:hAnsi="Arial" w:cs="Arial"/>
          <w:color w:val="000000"/>
          <w:sz w:val="21"/>
          <w:szCs w:val="21"/>
        </w:rPr>
        <w:fldChar w:fldCharType="separate"/>
      </w:r>
      <w:r w:rsidR="0050478C" w:rsidRPr="0050478C">
        <w:rPr>
          <w:rFonts w:ascii="Arial" w:hAnsi="Arial" w:cs="Arial"/>
          <w:sz w:val="21"/>
        </w:rPr>
        <w:t>(Dey et al. 2024)</w:t>
      </w:r>
      <w:r w:rsidR="00EC71F6">
        <w:rPr>
          <w:rFonts w:ascii="Arial" w:hAnsi="Arial" w:cs="Arial"/>
          <w:color w:val="000000"/>
          <w:sz w:val="21"/>
          <w:szCs w:val="21"/>
        </w:rPr>
        <w:fldChar w:fldCharType="end"/>
      </w:r>
      <w:r w:rsidRPr="00340959">
        <w:rPr>
          <w:rFonts w:ascii="Arial" w:hAnsi="Arial" w:cs="Arial"/>
          <w:color w:val="000000"/>
          <w:sz w:val="21"/>
          <w:szCs w:val="21"/>
        </w:rPr>
        <w:t xml:space="preserve">. This approach maintains spatial separation between training and test samples, approximating spatial independence and curbing metric inflation resulting from spatial autocorrelation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{"citationID":"Jnr2UUcn","properties":{"formattedCitation":"(Singh et al. 2025)","plainCitation":"(Singh et al. 2025)","noteIndex":0},"citationItems":[{"id":164,"uris":["http://zotero.org/users/local/emosa1lm/items/TEZX9J5N"],"itemData":{"id":164,"type":"article-journal","abstract":"Abstract Invasive species management is often constrained by limited resources and complicated by ecological and socio-economic variability across landscapes, leading to inconsistent outcomes. We use water hyacinth ( Pontederia crassipes ) in South Africa as a case study to demonstrate how combining earth observation (EO) data, species distribution models (SDMs), and explainable artificial intelligence (xAI) can support more spatially explicit and context-sensitive management strategies. Despite decades of control efforts, water hyacinth remains widespread, with its proliferation shaped by ecological and socio-economic contexts in which the weed proliferates. Using SHapley Additive exPlanations (SHAP), we studied the environmental and socio-economic contexts impacting water hyacinth prevalence across multiple spatial scales in South Africa. Consistent patterns emerged with known physiological constraints, such as minimum temperature, while novel spatial trends were revealed—highlighting temperature effects along the coast and the role of vegetation type in inland regions. These insights offer opportunities for targeted fieldwork to investigate emergent non-linear relationships and interaction effects between covariates. The spatially explicit outputs, covering all South African water bodies, provide a low-cost, scalable tool to guide the prioritization of risk, inform monitoring and early detection efforts, and support the selection of locally appropriate management strategies. While focused on water hyacinth, our approach is generalizable to other invasive species, illustrating the value of integrating EO data and xAI to enhance understanding of species-environment dynamics and enable adaptive, data-driven intervention planning.","container-title":"Environmental Monitoring and Assessment","DOI":"10.1007/s10661-025-14517-1","ISSN":"0167-6369, 1573-2959","issue":"11","PMID":"41044279","publisher":"Springer Science+Business Media","title":"An earth observation and explainable machine learning approach for determining the drivers of invasive species — a water hyacinth case study","URL":"https://doi.org/10.1007/s10661-025-14517-1","volume":"197","author":[{"family":"Singh","given":"Geethen"},{"family":"Rosman","given":"Benjamin"},{"family":"Byrne","given":"Marcus J."},{"family":"Reynolds","given":"Chevonne"}],"issued":{"date-parts":[["2025",10]]}}}],"schema":"https://github.com/citation-style-language/schema/raw/master/csl-citation.json"}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(Singh et al. 2025)</w:t>
      </w:r>
      <w:r w:rsidR="00345E8A" w:rsidRPr="00340959">
        <w:rPr>
          <w:rFonts w:ascii="Arial" w:hAnsi="Arial" w:cs="Arial"/>
          <w:color w:val="000000"/>
          <w:sz w:val="21"/>
          <w:szCs w:val="21"/>
        </w:rPr>
        <w:fldChar w:fldCharType="end"/>
      </w:r>
      <w:r w:rsidR="00345E8A" w:rsidRPr="00340959">
        <w:rPr>
          <w:rFonts w:ascii="Arial" w:hAnsi="Arial" w:cs="Arial"/>
          <w:color w:val="000000"/>
          <w:sz w:val="21"/>
          <w:szCs w:val="21"/>
        </w:rPr>
        <w:t>.</w:t>
      </w:r>
    </w:p>
    <w:p w14:paraId="473DE670" w14:textId="77777777" w:rsidR="00B61B2F" w:rsidRPr="00340959" w:rsidRDefault="00B61B2F" w:rsidP="00340959">
      <w:pPr>
        <w:spacing w:before="0" w:after="0" w:line="360" w:lineRule="auto"/>
        <w:jc w:val="both"/>
        <w:rPr>
          <w:rFonts w:ascii="Arial" w:hAnsi="Arial" w:cs="Arial"/>
          <w:sz w:val="21"/>
          <w:szCs w:val="21"/>
        </w:rPr>
      </w:pPr>
    </w:p>
    <w:p w14:paraId="03D00976" w14:textId="77777777" w:rsidR="005B28E8" w:rsidRPr="00B61B2F" w:rsidRDefault="00000000" w:rsidP="00340959">
      <w:pPr>
        <w:pStyle w:val="Heading2"/>
        <w:spacing w:before="0" w:after="0" w:line="360" w:lineRule="auto"/>
        <w:rPr>
          <w:rFonts w:ascii="Arial" w:hAnsi="Arial" w:cs="Arial"/>
          <w:b/>
          <w:bCs/>
          <w:color w:val="000000" w:themeColor="text1"/>
          <w:sz w:val="21"/>
          <w:szCs w:val="21"/>
        </w:rPr>
      </w:pPr>
      <w:r w:rsidRPr="00B61B2F">
        <w:rPr>
          <w:rFonts w:ascii="Arial" w:hAnsi="Arial" w:cs="Arial"/>
          <w:b/>
          <w:bCs/>
          <w:color w:val="000000" w:themeColor="text1"/>
          <w:sz w:val="21"/>
          <w:szCs w:val="21"/>
        </w:rPr>
        <w:t>Evaluation metrics</w:t>
      </w:r>
    </w:p>
    <w:p w14:paraId="5F07B8A6" w14:textId="759B1DDB" w:rsidR="005B28E8" w:rsidRPr="00340959"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A wide range of </w:t>
      </w:r>
      <w:r w:rsidR="004C449E">
        <w:rPr>
          <w:rFonts w:ascii="Arial" w:hAnsi="Arial" w:cs="Arial"/>
          <w:color w:val="000000"/>
          <w:sz w:val="21"/>
          <w:szCs w:val="21"/>
        </w:rPr>
        <w:t>metrics for discrimination, robustness, and probabilistic calibration were used to evaluate the model, ensuring a balanced and statistically meaningful assessment of landslide-susceptibility</w:t>
      </w:r>
      <w:r w:rsidRPr="00340959">
        <w:rPr>
          <w:rFonts w:ascii="Arial" w:hAnsi="Arial" w:cs="Arial"/>
          <w:color w:val="000000"/>
          <w:sz w:val="21"/>
          <w:szCs w:val="21"/>
        </w:rPr>
        <w:t xml:space="preserve"> predictions. Both threshold-dependent and threshold-independent measures were considered</w:t>
      </w:r>
      <w:r w:rsidR="00345E8A" w:rsidRPr="00340959">
        <w:rPr>
          <w:rFonts w:ascii="Arial" w:hAnsi="Arial" w:cs="Arial"/>
          <w:color w:val="000000"/>
          <w:sz w:val="21"/>
          <w:szCs w:val="21"/>
        </w:rPr>
        <w:t xml:space="preserve">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{"citationID":"SNcdZASh","properties":{"formattedCitation":"(Halder et al. 2025)","plainCitation":"(Halder et al. 2025)","noteIndex":0},"citationItems":[{"id":165,"uris":["http://zotero.org/users/local/emosa1lm/items/28VJJMKW"],"itemData":{"id":165,"type":"article-journal","abstract":"Abstract Landslides pose significant threats to ecosystems, lives, and economies, particularly in the geologically fragile Sub-Himalayan region of West Bengal, India. This study enhances landslide susceptibility prediction by developing an ensemble framework integrating Recursive Feature Elimination (RFE) with meta-learning techniques. Seven advanced machine learning models- Logistic Regression (LR), Support Vector Machine (SVM), Random Forest (RF), Extremely Randomized Trees (ET), Gradient Boosting (GB), Extreme Gradient Boosting (XGBoost), and a Meta Classifier (MC) were applied using Remote Sensing and GIS tools to identify key landslide-conditioning factors and classify susceptibility zones. Model performance was assessed through metrics such as accuracy, precision, recall, F1 score, and AUC of the ROC curve. Among the models, the Meta Classifier (MC) achieved the highest accuracy (0.956) and AUC (0.987), demonstrating superior predictive ability. Gradient Boosting (GB), XGBoost, and RF also performed well, with accuracies of 0.943 and AUC values of 0.987 (GB and XGBoost) and 0.983 (RF). Extremely Randomized Trees (ET) exhibited the highest accuracy (0.946) among individual models and an AUC of 0.985. SVM and LR, while slightly less accurate (0.941 and 0.860, respectively), provided valuable insights, with SVM achieving an AUC of 0.972 and LR achieving 0.935. The models effectively delineated landslide susceptibility into five zones (very low, low, moderate, high, and very high), with high and very high susceptibility zones concentrated in Darjeeling and Kalimpong subdivisions. These zones are influenced by intense rainfall, unstable geological structures, and anthropogenic activities like deforestation and urbanization. Notably, ET, RF, GB, and XGBoost demonstrated efficiency in feature selection, requiring fewer input variables while maintaining high performance. This study establishes a benchmark for landslide susceptibility mapping, providing a scalable and adaptable framework for geospatial hazard prediction. The findings hold significant implications for land-use planning, disaster management, and environmental conservation in vulnerable regions worldwide.","container-title":"Scientific Reports","DOI":"10.1038/s41598-025-87587-3","ISSN":"2045-2322","issue":"1","PMID":"39939353","publisher":"Nature Portfolio","title":"Improving landslide susceptibility prediction through ensemble recursive feature elimination and meta-learning framework","URL":"https://doi.org/10.1038/s41598-025-87587-3","volume":"15","author":[{"family":"Halder","given":"Krishnagopal"},{"family":"Srivastava","given":"Amit Kumar"},{"family":"Ghosh","given":"Anitabha"},{"family":"Das","given":"Subhabrata"},{"family":"Banerjee","given":"Santanu"},{"family":"Pal","given":"Subodh Chandra"},{"family":"Chatterjee","given":"Uday"},{"family":"Bisai","given":"Dipak"},{"family":"Ewert","given":"Frank"},{"family":"Gaiser","given":"Thomas"}],"issued":{"date-parts":[["2025",2]]}}}],"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 xml:space="preserve">(Halder et al. </w:t>
      </w:r>
      <w:r w:rsidR="0050478C" w:rsidRPr="0050478C">
        <w:rPr>
          <w:rFonts w:ascii="Arial" w:hAnsi="Arial" w:cs="Arial"/>
          <w:sz w:val="21"/>
        </w:rPr>
        <w:lastRenderedPageBreak/>
        <w:t>2025)</w:t>
      </w:r>
      <w:r w:rsidR="00345E8A" w:rsidRPr="00340959">
        <w:rPr>
          <w:rFonts w:ascii="Arial" w:hAnsi="Arial" w:cs="Arial"/>
          <w:color w:val="000000"/>
          <w:sz w:val="21"/>
          <w:szCs w:val="21"/>
        </w:rPr>
        <w:fldChar w:fldCharType="end"/>
      </w:r>
      <w:r w:rsidRPr="00340959">
        <w:rPr>
          <w:rFonts w:ascii="Arial" w:hAnsi="Arial" w:cs="Arial"/>
          <w:color w:val="000000"/>
          <w:sz w:val="21"/>
          <w:szCs w:val="21"/>
        </w:rPr>
        <w:t xml:space="preserve">. Metrics based on confusion matrices summarize concordance in class predictions at a fixed decision threshold, </w:t>
      </w:r>
      <w:r w:rsidR="00567FB5" w:rsidRPr="00340959">
        <w:rPr>
          <w:rFonts w:ascii="Arial" w:hAnsi="Arial" w:cs="Arial"/>
          <w:color w:val="000000"/>
          <w:sz w:val="21"/>
          <w:szCs w:val="21"/>
        </w:rPr>
        <w:t>whereas ranking-based metrics characterize the  ability</w:t>
      </w:r>
      <w:r w:rsidR="00EE403A">
        <w:rPr>
          <w:rFonts w:ascii="Arial" w:hAnsi="Arial" w:cs="Arial"/>
          <w:color w:val="000000"/>
          <w:sz w:val="21"/>
          <w:szCs w:val="21"/>
        </w:rPr>
        <w:t xml:space="preserve"> of the model</w:t>
      </w:r>
      <w:r w:rsidR="00567FB5" w:rsidRPr="00340959">
        <w:rPr>
          <w:rFonts w:ascii="Arial" w:hAnsi="Arial" w:cs="Arial"/>
          <w:color w:val="000000"/>
          <w:sz w:val="21"/>
          <w:szCs w:val="21"/>
        </w:rPr>
        <w:t xml:space="preserve"> to distinguish</w:t>
      </w:r>
      <w:r w:rsidRPr="00340959">
        <w:rPr>
          <w:rFonts w:ascii="Arial" w:hAnsi="Arial" w:cs="Arial"/>
          <w:color w:val="000000"/>
          <w:sz w:val="21"/>
          <w:szCs w:val="21"/>
        </w:rPr>
        <w:t xml:space="preserve"> between landslide and non-landslide locations irrespective of threshold selection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{"citationID":"oWsr0cfR","properties":{"formattedCitation":"(Tehrani et al. 2022)","plainCitation":"(Tehrani et al. 2022)","noteIndex":0},"citationItems":[{"id":166,"uris":["http://zotero.org/users/local/emosa1lm/items/JX558SC9"],"itemData":{"id":166,"type":"article-journal","abstract":"Abstract Upon the introduction of machine learning (ML) and its variants, in the form that we know today, to the landslide community, many studies have been carried out to explore the usefulness of ML in landslide research and to look at some classic landslide problems from an ML point of view. ML techniques, including deep learning methods, are becoming popular to model complex landslide problems and are starting to demonstrate promising predictive performance compared to conventional methods. Almost all the studies published in the literature in recent years belong to one of the following three broad categories: landslide detection and mapping, landslide spatial forecasting in the form of susceptibility mapping, and landslide temporal forecasting. In this paper, we present a brief overview of ML techniques, provide a general summary of the landslide studies conducted, in recent years, in the three above-mentioned categories, and make an attempt to critically evaluate the use of ML methods to model landslide processes. The paper also provides suggestions for future use of these powerful data-driven techniques in landslide studies.","container-title":"Natural Hazards","DOI":"10.1007/s11069-022-05423-7","ISSN":"0921-030X, 1573-0840","issue":"2","page":"1197-1245","publisher":"Springer Science+Business Media","title":"Machine learning and landslide studies: recent advances and applications","volume":"114","author":[{"family":"Tehrani","given":"Faraz S."},{"family":"Calvello","given":"Michele"},{"family":"Liu","given":"Zhongqiang"},{"family":"Zhang","given":"Limin"},{"family":"Lacasse","given":"Suzanne"}],"issued":{"date-parts":[["2022",6]]}}}],"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(Tehrani et al. 2022)</w:t>
      </w:r>
      <w:r w:rsidR="00345E8A" w:rsidRPr="00340959">
        <w:rPr>
          <w:rFonts w:ascii="Arial" w:hAnsi="Arial" w:cs="Arial"/>
          <w:color w:val="000000"/>
          <w:sz w:val="21"/>
          <w:szCs w:val="21"/>
        </w:rPr>
        <w:fldChar w:fldCharType="end"/>
      </w:r>
      <w:r w:rsidRPr="00340959">
        <w:rPr>
          <w:rFonts w:ascii="Arial" w:hAnsi="Arial" w:cs="Arial"/>
          <w:color w:val="000000"/>
          <w:sz w:val="21"/>
          <w:szCs w:val="21"/>
        </w:rPr>
        <w:t xml:space="preserve">. As the suggested framework </w:t>
      </w:r>
      <w:r w:rsidR="00567FB5" w:rsidRPr="00340959">
        <w:rPr>
          <w:rFonts w:ascii="Arial" w:hAnsi="Arial" w:cs="Arial"/>
          <w:color w:val="000000"/>
          <w:sz w:val="21"/>
          <w:szCs w:val="21"/>
        </w:rPr>
        <w:t>primarily centers on probabilistic forecasting, especially for Bayesian models, proper scoring rules</w:t>
      </w:r>
      <w:r w:rsidR="00EE403A">
        <w:rPr>
          <w:rFonts w:ascii="Arial" w:hAnsi="Arial" w:cs="Arial"/>
          <w:color w:val="000000"/>
          <w:sz w:val="21"/>
          <w:szCs w:val="21"/>
        </w:rPr>
        <w:t xml:space="preserve"> were integrated</w:t>
      </w:r>
      <w:r w:rsidR="00567FB5" w:rsidRPr="00340959">
        <w:rPr>
          <w:rFonts w:ascii="Arial" w:hAnsi="Arial" w:cs="Arial"/>
          <w:color w:val="000000"/>
          <w:sz w:val="21"/>
          <w:szCs w:val="21"/>
        </w:rPr>
        <w:t xml:space="preserve"> to evaluate the goodness of predicted probabilities, not just</w:t>
      </w:r>
      <w:r w:rsidRPr="00340959">
        <w:rPr>
          <w:rFonts w:ascii="Arial" w:hAnsi="Arial" w:cs="Arial"/>
          <w:color w:val="000000"/>
          <w:sz w:val="21"/>
          <w:szCs w:val="21"/>
        </w:rPr>
        <w:t xml:space="preserve"> class labels</w:t>
      </w:r>
      <w:r w:rsidR="00345E8A" w:rsidRPr="00340959">
        <w:rPr>
          <w:rFonts w:ascii="Arial" w:hAnsi="Arial" w:cs="Arial"/>
          <w:color w:val="000000"/>
          <w:sz w:val="21"/>
          <w:szCs w:val="21"/>
        </w:rPr>
        <w:t xml:space="preserve">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{"citationID":"ZZrfwjmS","properties":{"formattedCitation":"(Mwakapesa et al. 2024)","plainCitation":"(Mwakapesa et al. 2024)","noteIndex":0},"citationItems":[{"id":167,"uris":["http://zotero.org/users/local/emosa1lm/items/5EGISPBC"],"itemData":{"id":167,"type":"article-journal","abstract":"Landslide susceptibility assessment (LSA) is fundamental for managing landslide geological disasters. This study presents a deep learning approach (DNN-MSFM) designed to enhance LSA modeling, particularly addressing limitations caused by the unbalanced distribution of data samples in applied datasets. DNN-MSFM approach combines a deep neural network (DNN) and a mean squared false misclassification loss function (MSFM) to handle unbalanced samples from the algorithmic perspective. The model's performance was evaluated on an unbalanced dataset containing mapping units' records of 293 landslide samples and 653 non-landslide samples from the Baota District, China. Its effectiveness was assessed through statistical metrics and compared against DNN and Support Vector Machine (SVM) basic models. The results demonstrated a significant performance enhancement from the DNN-MSFM (OverallAccuracy = 0.889 and area under the receiver operating characteristic curve (AUC) = 0.84), indicating its effectiveness in learning the underlying landslide susceptibility features and demonstrating its ability to provide improved predictions even in areas with unbalanced landslide samples. Moreover, the study emphasizes the importance of considering balanced loss functions in training DNN under various imbalance degrees and contributes to expanding the applicability of DNN in LSA modeling. Also, this study builds a foundation for further enhancements of deep learning methods for geological disaster assessments.","container-title":"Heliyon","DOI":"10.1016/j.heliyon.2024.e30107","ISSN":"2405-8440","issue":"9","PMID":"38707366","publisher":"Elsevier BV","title":"Landslide susceptibility assessment using deep learning considering unbalanced samples distribution","URL":"https://doi.org/10.1016/j.heliyon.2024.e30107","volume":"10","author":[{"family":"Mwakapesa","given":"Deborah Simon"},{"family":"Lan","given":"Xiaoji"},{"family":"Mao","given":"Yimin"}],"issued":{"date-parts":[["2024",4]]}}}],"schema":"https://github.com/citation-style-language/schema/raw/master/csl-citation.json"}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(Mwakapesa et al. 2024)</w:t>
      </w:r>
      <w:r w:rsidR="00345E8A" w:rsidRPr="00340959">
        <w:rPr>
          <w:rFonts w:ascii="Arial" w:hAnsi="Arial" w:cs="Arial"/>
          <w:color w:val="000000"/>
          <w:sz w:val="21"/>
          <w:szCs w:val="21"/>
        </w:rPr>
        <w:fldChar w:fldCharType="end"/>
      </w:r>
      <w:r w:rsidRPr="00340959">
        <w:rPr>
          <w:rFonts w:ascii="Arial" w:hAnsi="Arial" w:cs="Arial"/>
          <w:color w:val="000000"/>
          <w:sz w:val="21"/>
          <w:szCs w:val="21"/>
        </w:rPr>
        <w:t>. Additionally, calibration metrics were added to consider the reliability between predicted susceptibility probabilities and observed landslide occurrence</w:t>
      </w:r>
      <w:r w:rsidR="00345E8A" w:rsidRPr="00340959">
        <w:rPr>
          <w:rFonts w:ascii="Arial" w:hAnsi="Arial" w:cs="Arial"/>
          <w:color w:val="000000"/>
          <w:sz w:val="21"/>
          <w:szCs w:val="21"/>
        </w:rPr>
        <w:t xml:space="preserve">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{"citationID":"hkT5rEL4","properties":{"formattedCitation":"(Pareek et al. 2024)","plainCitation":"(Pareek et al. 2024)","noteIndex":0},"citationItems":[{"id":126,"uris":["http://zotero.org/users/local/emosa1lm/items/BYMXKHHG"],"itemData":{"id":126,"type":"article-journal","abstract":"Abstract Landslide susceptibility maps serve as the basis for hazard and risk assessment, as well as risk-informed land use planning at various spatial scales. Researchers create these maps aiming to fulfil a variety of purposes, including infrastructure planning and restrictive land use zoning. These applications require accurate and specific information to fulfil these purposes, as decisions based on these maps have the potential to cost lives and cause infrastructure damage. The usability of the maps depends on whether they provide the required information and their accuracy to be utilized for the intended purpose. Therefore, assessing the usability and predictive accuracy of landslide susceptibility maps is of paramount importance. Typically, the accuracy of the maps is evaluated using the same landslide inventory that was used to create the map, which does not actually test the predictive ability of the maps in future situations. In this study, we briefly reviewed the purposes of the map creation using literature and stakeholder interviews and assessed the accuracy of three landslide susceptibility maps in a posterior manner. We generated a multi-temporal landslide event inventory after the creation dates of these landslide susceptibility maps. We devised a method to evaluate classified maps by making use of Unique Conditions Units (UCUs) to compare the posteriorly predicted susceptibility classes and the new landslide occurrences. Interviews with stakeholders revealed a disconnection between the aims set forth by map producers and the specific needs of the end users. Our posterior assessment shows that overall predictions of the maps provide plausible results; however, their interpretations for different use cases make them less likely to be used. When comparing the maps using UCUs, landslide densities overlap between the different susceptibility classes, indicating low predictive performance of the maps. Direct comparison of all maps shows a low agreement between susceptibility classes, which pinpoints the uncertainties in data and methods used to create different maps. This study highlights the need for purpose-oriented landslide susceptibility mapping and posterior assessment of the predictive capabilities of these maps aiming to fulfil respective purposes.","container-title":"Landslides","DOI":"10.1007/s10346-024-02389-4","ISSN":"1612-510X, 1612-5118","issue":"3","page":"655-670","publisher":"Springer Science+Business Media","title":"Analyzing the posterior predictive capability and usability of landslide susceptibility maps: a case of Kerala, India","volume":"22","author":[{"family":"Pareek","given":"Tanuj"},{"family":"Bhuyan","given":"Kushanav"},{"family":"Westen","given":"C. J.","dropping-particle":"van"},{"family":"Rajaneesh","given":"A."},{"family":"Sajinkumar","given":"K. S."},{"family":"Lombardo","given":"Luigi"}],"issued":{"date-parts":[["2024",10]]}}}],"schema":"https://github.com/citation-style-language/schema/raw/master/csl-citation.json"}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(Pareek et al. 2024)</w:t>
      </w:r>
      <w:r w:rsidR="00345E8A" w:rsidRPr="00340959">
        <w:rPr>
          <w:rFonts w:ascii="Arial" w:hAnsi="Arial" w:cs="Arial"/>
          <w:color w:val="000000"/>
          <w:sz w:val="21"/>
          <w:szCs w:val="21"/>
        </w:rPr>
        <w:fldChar w:fldCharType="end"/>
      </w:r>
      <w:r w:rsidRPr="00340959">
        <w:rPr>
          <w:rFonts w:ascii="Arial" w:hAnsi="Arial" w:cs="Arial"/>
          <w:color w:val="000000"/>
          <w:sz w:val="21"/>
          <w:szCs w:val="21"/>
        </w:rPr>
        <w:t>. This integrated evaluation approach guarantees a simultaneous assessment of discrimination strength, class-imbalance robustness, probability accuracy, and calibration reliability before model selection and spatial deployment.</w:t>
      </w:r>
    </w:p>
    <w:tbl>
      <w:tblPr>
        <w:tblW w:w="9197" w:type="dxa"/>
        <w:tblCellSpacing w:w="15" w:type="dxa"/>
        <w:tblCellMar>
          <w:top w:w="15" w:type="dxa"/>
          <w:left w:w="15" w:type="dxa"/>
          <w:bottom w:w="15" w:type="dxa"/>
          <w:right w:w="15" w:type="dxa"/>
        </w:tblCellMar>
        <w:tblLook w:val="04A0" w:firstRow="1" w:lastRow="0" w:firstColumn="1" w:lastColumn="0" w:noHBand="0" w:noVBand="1"/>
      </w:tblPr>
      <w:tblGrid>
        <w:gridCol w:w="8007"/>
        <w:gridCol w:w="1190"/>
      </w:tblGrid>
      <w:tr w:rsidR="009F7D21" w:rsidRPr="00340959" w14:paraId="4CFADD0A" w14:textId="77777777" w:rsidTr="009F7D21">
        <w:trPr>
          <w:trHeight w:val="463"/>
          <w:tblCellSpacing w:w="15" w:type="dxa"/>
        </w:trPr>
        <w:tc>
          <w:tcPr>
            <w:tcW w:w="7962" w:type="dxa"/>
            <w:vAlign w:val="center"/>
            <w:hideMark/>
          </w:tcPr>
          <w:p w14:paraId="4C1AAAFD"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Accuracy</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TP+TN</m:t>
                    </m:r>
                  </m:num>
                  <m:den>
                    <m:r>
                      <w:rPr>
                        <w:rFonts w:ascii="Cambria Math" w:hAnsi="Cambria Math" w:cs="Arial"/>
                        <w:sz w:val="21"/>
                        <w:szCs w:val="21"/>
                      </w:rPr>
                      <m:t>TP+TN+FP+FN</m:t>
                    </m:r>
                  </m:den>
                </m:f>
              </m:oMath>
            </m:oMathPara>
          </w:p>
        </w:tc>
        <w:tc>
          <w:tcPr>
            <w:tcW w:w="1145" w:type="dxa"/>
            <w:vAlign w:val="center"/>
          </w:tcPr>
          <w:p w14:paraId="361E8C58"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3</w:t>
            </w:r>
          </w:p>
        </w:tc>
      </w:tr>
      <w:tr w:rsidR="009F7D21" w:rsidRPr="00340959" w14:paraId="7659C8EB" w14:textId="77777777" w:rsidTr="009F7D21">
        <w:trPr>
          <w:trHeight w:val="455"/>
          <w:tblCellSpacing w:w="15" w:type="dxa"/>
        </w:trPr>
        <w:tc>
          <w:tcPr>
            <w:tcW w:w="7962" w:type="dxa"/>
            <w:vAlign w:val="center"/>
            <w:hideMark/>
          </w:tcPr>
          <w:p w14:paraId="4EFEB700"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Precision</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m:t>
                    </m:r>
                  </m:num>
                  <m:den>
                    <m:r>
                      <w:rPr>
                        <w:rFonts w:ascii="Cambria Math" w:hAnsi="Cambria Math" w:cs="Arial"/>
                        <w:sz w:val="21"/>
                        <w:szCs w:val="21"/>
                      </w:rPr>
                      <m:t>TP+FP</m:t>
                    </m:r>
                  </m:den>
                </m:f>
              </m:oMath>
            </m:oMathPara>
          </w:p>
        </w:tc>
        <w:tc>
          <w:tcPr>
            <w:tcW w:w="1145" w:type="dxa"/>
            <w:vAlign w:val="center"/>
          </w:tcPr>
          <w:p w14:paraId="1CBF6A32"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4</w:t>
            </w:r>
          </w:p>
        </w:tc>
      </w:tr>
      <w:tr w:rsidR="009F7D21" w:rsidRPr="00340959" w14:paraId="23209735" w14:textId="77777777" w:rsidTr="009F7D21">
        <w:trPr>
          <w:trHeight w:val="445"/>
          <w:tblCellSpacing w:w="15" w:type="dxa"/>
        </w:trPr>
        <w:tc>
          <w:tcPr>
            <w:tcW w:w="7962" w:type="dxa"/>
            <w:vAlign w:val="center"/>
            <w:hideMark/>
          </w:tcPr>
          <w:p w14:paraId="6D7DC785"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Recall</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m:t>
                    </m:r>
                  </m:num>
                  <m:den>
                    <m:r>
                      <w:rPr>
                        <w:rFonts w:ascii="Cambria Math" w:hAnsi="Cambria Math" w:cs="Arial"/>
                        <w:sz w:val="21"/>
                        <w:szCs w:val="21"/>
                      </w:rPr>
                      <m:t>TP+FN</m:t>
                    </m:r>
                  </m:den>
                </m:f>
              </m:oMath>
            </m:oMathPara>
          </w:p>
        </w:tc>
        <w:tc>
          <w:tcPr>
            <w:tcW w:w="1145" w:type="dxa"/>
            <w:vAlign w:val="center"/>
          </w:tcPr>
          <w:p w14:paraId="0D5C25BE"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5</w:t>
            </w:r>
          </w:p>
        </w:tc>
      </w:tr>
      <w:tr w:rsidR="009F7D21" w:rsidRPr="00340959" w14:paraId="3C51FE11" w14:textId="77777777" w:rsidTr="009F7D21">
        <w:trPr>
          <w:trHeight w:val="463"/>
          <w:tblCellSpacing w:w="15" w:type="dxa"/>
        </w:trPr>
        <w:tc>
          <w:tcPr>
            <w:tcW w:w="7962" w:type="dxa"/>
            <w:vAlign w:val="center"/>
            <w:hideMark/>
          </w:tcPr>
          <w:p w14:paraId="34559409"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F1</m:t>
                </m:r>
                <m:r>
                  <w:rPr>
                    <w:rFonts w:ascii="Cambria Math" w:hAnsi="Cambria Math" w:cs="Arial"/>
                    <w:sz w:val="21"/>
                    <w:szCs w:val="21"/>
                  </w:rPr>
                  <m:t>=2⋅</m:t>
                </m:r>
                <m:f>
                  <m:fPr>
                    <m:ctrlPr>
                      <w:rPr>
                        <w:rFonts w:ascii="Cambria Math" w:hAnsi="Cambria Math" w:cs="Arial"/>
                        <w:sz w:val="21"/>
                        <w:szCs w:val="21"/>
                      </w:rPr>
                    </m:ctrlPr>
                  </m:fPr>
                  <m:num>
                    <m:r>
                      <m:rPr>
                        <m:nor/>
                      </m:rPr>
                      <w:rPr>
                        <w:rFonts w:ascii="Arial" w:hAnsi="Arial" w:cs="Arial"/>
                        <w:sz w:val="21"/>
                        <w:szCs w:val="21"/>
                      </w:rPr>
                      <m:t>Precision</m:t>
                    </m:r>
                    <m:r>
                      <w:rPr>
                        <w:rFonts w:ascii="Cambria Math" w:hAnsi="Cambria Math" w:cs="Arial"/>
                        <w:sz w:val="21"/>
                        <w:szCs w:val="21"/>
                      </w:rPr>
                      <m:t>⋅</m:t>
                    </m:r>
                    <m:r>
                      <m:rPr>
                        <m:nor/>
                      </m:rPr>
                      <w:rPr>
                        <w:rFonts w:ascii="Arial" w:hAnsi="Arial" w:cs="Arial"/>
                        <w:sz w:val="21"/>
                        <w:szCs w:val="21"/>
                      </w:rPr>
                      <m:t>Recall</m:t>
                    </m:r>
                  </m:num>
                  <m:den>
                    <m:r>
                      <m:rPr>
                        <m:nor/>
                      </m:rPr>
                      <w:rPr>
                        <w:rFonts w:ascii="Arial" w:hAnsi="Arial" w:cs="Arial"/>
                        <w:sz w:val="21"/>
                        <w:szCs w:val="21"/>
                      </w:rPr>
                      <m:t>Precision</m:t>
                    </m:r>
                    <m:r>
                      <w:rPr>
                        <w:rFonts w:ascii="Cambria Math" w:hAnsi="Cambria Math" w:cs="Arial"/>
                        <w:sz w:val="21"/>
                        <w:szCs w:val="21"/>
                      </w:rPr>
                      <m:t>+</m:t>
                    </m:r>
                    <m:r>
                      <m:rPr>
                        <m:nor/>
                      </m:rPr>
                      <w:rPr>
                        <w:rFonts w:ascii="Arial" w:hAnsi="Arial" w:cs="Arial"/>
                        <w:sz w:val="21"/>
                        <w:szCs w:val="21"/>
                      </w:rPr>
                      <m:t>Recall</m:t>
                    </m:r>
                  </m:den>
                </m:f>
              </m:oMath>
            </m:oMathPara>
          </w:p>
        </w:tc>
        <w:tc>
          <w:tcPr>
            <w:tcW w:w="1145" w:type="dxa"/>
            <w:vAlign w:val="center"/>
          </w:tcPr>
          <w:p w14:paraId="521CF78F"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6</w:t>
            </w:r>
          </w:p>
        </w:tc>
      </w:tr>
      <w:tr w:rsidR="009F7D21" w:rsidRPr="00340959" w14:paraId="0AAB5CC6" w14:textId="77777777" w:rsidTr="009F7D21">
        <w:trPr>
          <w:trHeight w:val="551"/>
          <w:tblCellSpacing w:w="15" w:type="dxa"/>
        </w:trPr>
        <w:tc>
          <w:tcPr>
            <w:tcW w:w="7962" w:type="dxa"/>
            <w:vAlign w:val="center"/>
            <w:hideMark/>
          </w:tcPr>
          <w:p w14:paraId="308CB934"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MCC</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TP⋅TN-FP⋅FN</m:t>
                    </m:r>
                  </m:num>
                  <m:den>
                    <m:rad>
                      <m:radPr>
                        <m:degHide m:val="1"/>
                        <m:ctrlPr>
                          <w:rPr>
                            <w:rFonts w:ascii="Cambria Math" w:hAnsi="Cambria Math" w:cs="Arial"/>
                            <w:sz w:val="21"/>
                            <w:szCs w:val="21"/>
                          </w:rPr>
                        </m:ctrlPr>
                      </m:radPr>
                      <m:deg/>
                      <m:e>
                        <m:d>
                          <m:dPr>
                            <m:ctrlPr>
                              <w:rPr>
                                <w:rFonts w:ascii="Cambria Math" w:hAnsi="Cambria Math" w:cs="Arial"/>
                                <w:sz w:val="21"/>
                                <w:szCs w:val="21"/>
                              </w:rPr>
                            </m:ctrlPr>
                          </m:dPr>
                          <m:e>
                            <m:r>
                              <w:rPr>
                                <w:rFonts w:ascii="Cambria Math" w:hAnsi="Cambria Math" w:cs="Arial"/>
                                <w:sz w:val="21"/>
                                <w:szCs w:val="21"/>
                              </w:rPr>
                              <m:t>TP+FP)(TP+FN)(TN+FP)(TN+FN</m:t>
                            </m:r>
                          </m:e>
                        </m:d>
                      </m:e>
                    </m:rad>
                  </m:den>
                </m:f>
              </m:oMath>
            </m:oMathPara>
          </w:p>
        </w:tc>
        <w:tc>
          <w:tcPr>
            <w:tcW w:w="1145" w:type="dxa"/>
            <w:vAlign w:val="center"/>
          </w:tcPr>
          <w:p w14:paraId="21A9D05E"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7</w:t>
            </w:r>
          </w:p>
        </w:tc>
      </w:tr>
      <w:tr w:rsidR="009F7D21" w:rsidRPr="00340959" w14:paraId="52F02451" w14:textId="77777777" w:rsidTr="009F7D21">
        <w:trPr>
          <w:trHeight w:val="455"/>
          <w:tblCellSpacing w:w="15" w:type="dxa"/>
        </w:trPr>
        <w:tc>
          <w:tcPr>
            <w:tcW w:w="7962" w:type="dxa"/>
            <w:vAlign w:val="center"/>
            <w:hideMark/>
          </w:tcPr>
          <w:p w14:paraId="6B12DB5D"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TPR</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m:t>
                    </m:r>
                  </m:num>
                  <m:den>
                    <m:r>
                      <w:rPr>
                        <w:rFonts w:ascii="Cambria Math" w:hAnsi="Cambria Math" w:cs="Arial"/>
                        <w:sz w:val="21"/>
                        <w:szCs w:val="21"/>
                      </w:rPr>
                      <m:t>TP+FN</m:t>
                    </m:r>
                  </m:den>
                </m:f>
              </m:oMath>
            </m:oMathPara>
          </w:p>
        </w:tc>
        <w:tc>
          <w:tcPr>
            <w:tcW w:w="1145" w:type="dxa"/>
            <w:vAlign w:val="center"/>
          </w:tcPr>
          <w:p w14:paraId="4D766AE8"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8</w:t>
            </w:r>
          </w:p>
        </w:tc>
      </w:tr>
      <w:tr w:rsidR="009F7D21" w:rsidRPr="00340959" w14:paraId="34349F90" w14:textId="77777777" w:rsidTr="009F7D21">
        <w:trPr>
          <w:trHeight w:val="455"/>
          <w:tblCellSpacing w:w="15" w:type="dxa"/>
        </w:trPr>
        <w:tc>
          <w:tcPr>
            <w:tcW w:w="7962" w:type="dxa"/>
            <w:vAlign w:val="center"/>
            <w:hideMark/>
          </w:tcPr>
          <w:p w14:paraId="61AE0FB1"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FPR</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FP</m:t>
                    </m:r>
                  </m:num>
                  <m:den>
                    <m:r>
                      <w:rPr>
                        <w:rFonts w:ascii="Cambria Math" w:hAnsi="Cambria Math" w:cs="Arial"/>
                        <w:sz w:val="21"/>
                        <w:szCs w:val="21"/>
                      </w:rPr>
                      <m:t>FP+TN</m:t>
                    </m:r>
                  </m:den>
                </m:f>
              </m:oMath>
            </m:oMathPara>
          </w:p>
        </w:tc>
        <w:tc>
          <w:tcPr>
            <w:tcW w:w="1145" w:type="dxa"/>
            <w:vAlign w:val="center"/>
          </w:tcPr>
          <w:p w14:paraId="6D9CD217"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9</w:t>
            </w:r>
          </w:p>
        </w:tc>
      </w:tr>
      <w:tr w:rsidR="009F7D21" w:rsidRPr="00340959" w14:paraId="300463EC" w14:textId="77777777" w:rsidTr="009F7D21">
        <w:trPr>
          <w:trHeight w:val="657"/>
          <w:tblCellSpacing w:w="15" w:type="dxa"/>
        </w:trPr>
        <w:tc>
          <w:tcPr>
            <w:tcW w:w="7962" w:type="dxa"/>
            <w:vAlign w:val="center"/>
            <w:hideMark/>
          </w:tcPr>
          <w:p w14:paraId="61DA1DAB"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Brier</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1</m:t>
                    </m:r>
                  </m:num>
                  <m:den>
                    <m:r>
                      <w:rPr>
                        <w:rFonts w:ascii="Cambria Math" w:hAnsi="Cambria Math" w:cs="Arial"/>
                        <w:sz w:val="21"/>
                        <w:szCs w:val="21"/>
                      </w:rPr>
                      <m:t>n</m:t>
                    </m:r>
                  </m:den>
                </m:f>
                <m:nary>
                  <m:naryPr>
                    <m:chr m:val="∑"/>
                    <m:limLoc m:val="undOvr"/>
                    <m:grow m:val="1"/>
                    <m:ctrlPr>
                      <w:rPr>
                        <w:rFonts w:ascii="Cambria Math" w:hAnsi="Cambria Math" w:cs="Arial"/>
                        <w:sz w:val="21"/>
                        <w:szCs w:val="21"/>
                      </w:rPr>
                    </m:ctrlPr>
                  </m:naryPr>
                  <m:sub>
                    <m:r>
                      <w:rPr>
                        <w:rFonts w:ascii="Cambria Math" w:hAnsi="Cambria Math" w:cs="Arial"/>
                        <w:sz w:val="21"/>
                        <w:szCs w:val="21"/>
                      </w:rPr>
                      <m:t>i=1</m:t>
                    </m:r>
                  </m:sub>
                  <m:sup>
                    <m:r>
                      <w:rPr>
                        <w:rFonts w:ascii="Cambria Math" w:hAnsi="Cambria Math" w:cs="Arial"/>
                        <w:sz w:val="21"/>
                        <w:szCs w:val="21"/>
                      </w:rPr>
                      <m:t>n</m:t>
                    </m:r>
                  </m:sup>
                  <m:e>
                    <m:r>
                      <w:rPr>
                        <w:rFonts w:ascii="Cambria Math" w:hAnsi="Cambria Math" w:cs="Arial"/>
                        <w:sz w:val="21"/>
                        <w:szCs w:val="21"/>
                      </w:rPr>
                      <m:t>(</m:t>
                    </m:r>
                  </m:e>
                </m:nary>
                <m:sSub>
                  <m:sSubPr>
                    <m:ctrlPr>
                      <w:rPr>
                        <w:rFonts w:ascii="Cambria Math" w:hAnsi="Cambria Math" w:cs="Arial"/>
                        <w:sz w:val="21"/>
                        <w:szCs w:val="21"/>
                      </w:rPr>
                    </m:ctrlPr>
                  </m:sSubPr>
                  <m:e>
                    <m:r>
                      <w:rPr>
                        <w:rFonts w:ascii="Cambria Math" w:hAnsi="Cambria Math" w:cs="Arial"/>
                        <w:sz w:val="21"/>
                        <w:szCs w:val="21"/>
                      </w:rPr>
                      <m:t>p</m:t>
                    </m:r>
                  </m:e>
                  <m:sub>
                    <m:r>
                      <w:rPr>
                        <w:rFonts w:ascii="Cambria Math" w:hAnsi="Cambria Math" w:cs="Arial"/>
                        <w:sz w:val="21"/>
                        <w:szCs w:val="21"/>
                      </w:rPr>
                      <m:t>i</m:t>
                    </m:r>
                  </m:sub>
                </m:sSub>
                <m:r>
                  <w:rPr>
                    <w:rFonts w:ascii="Cambria Math" w:hAnsi="Cambria Math" w:cs="Arial"/>
                    <w:sz w:val="21"/>
                    <w:szCs w:val="21"/>
                  </w:rPr>
                  <m:t>-</m:t>
                </m:r>
                <m:sSub>
                  <m:sSubPr>
                    <m:ctrlPr>
                      <w:rPr>
                        <w:rFonts w:ascii="Cambria Math" w:hAnsi="Cambria Math" w:cs="Arial"/>
                        <w:sz w:val="21"/>
                        <w:szCs w:val="21"/>
                      </w:rPr>
                    </m:ctrlPr>
                  </m:sSubPr>
                  <m:e>
                    <m:r>
                      <w:rPr>
                        <w:rFonts w:ascii="Cambria Math" w:hAnsi="Cambria Math" w:cs="Arial"/>
                        <w:sz w:val="21"/>
                        <w:szCs w:val="21"/>
                      </w:rPr>
                      <m:t>y</m:t>
                    </m:r>
                  </m:e>
                  <m:sub>
                    <m:r>
                      <w:rPr>
                        <w:rFonts w:ascii="Cambria Math" w:hAnsi="Cambria Math" w:cs="Arial"/>
                        <w:sz w:val="21"/>
                        <w:szCs w:val="21"/>
                      </w:rPr>
                      <m:t>i</m:t>
                    </m:r>
                  </m:sub>
                </m:sSub>
                <m:sSup>
                  <m:sSupPr>
                    <m:ctrlPr>
                      <w:rPr>
                        <w:rFonts w:ascii="Cambria Math" w:hAnsi="Cambria Math" w:cs="Arial"/>
                        <w:sz w:val="21"/>
                        <w:szCs w:val="21"/>
                      </w:rPr>
                    </m:ctrlPr>
                  </m:sSupPr>
                  <m:e>
                    <m:r>
                      <w:rPr>
                        <w:rFonts w:ascii="Cambria Math" w:hAnsi="Cambria Math" w:cs="Arial"/>
                        <w:sz w:val="21"/>
                        <w:szCs w:val="21"/>
                      </w:rPr>
                      <m:t>)</m:t>
                    </m:r>
                  </m:e>
                  <m:sup>
                    <m:r>
                      <w:rPr>
                        <w:rFonts w:ascii="Cambria Math" w:hAnsi="Cambria Math" w:cs="Arial"/>
                        <w:sz w:val="21"/>
                        <w:szCs w:val="21"/>
                      </w:rPr>
                      <m:t>2</m:t>
                    </m:r>
                  </m:sup>
                </m:sSup>
              </m:oMath>
            </m:oMathPara>
          </w:p>
        </w:tc>
        <w:tc>
          <w:tcPr>
            <w:tcW w:w="1145" w:type="dxa"/>
            <w:vAlign w:val="center"/>
          </w:tcPr>
          <w:p w14:paraId="07B11878"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10</w:t>
            </w:r>
          </w:p>
        </w:tc>
      </w:tr>
      <w:tr w:rsidR="009F7D21" w:rsidRPr="00340959" w14:paraId="781A266F" w14:textId="77777777" w:rsidTr="009F7D21">
        <w:trPr>
          <w:trHeight w:val="657"/>
          <w:tblCellSpacing w:w="15" w:type="dxa"/>
        </w:trPr>
        <w:tc>
          <w:tcPr>
            <w:tcW w:w="7962" w:type="dxa"/>
            <w:vAlign w:val="center"/>
            <w:hideMark/>
          </w:tcPr>
          <w:p w14:paraId="337A34A5"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LogLoss</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1</m:t>
                    </m:r>
                  </m:num>
                  <m:den>
                    <m:r>
                      <w:rPr>
                        <w:rFonts w:ascii="Cambria Math" w:hAnsi="Cambria Math" w:cs="Arial"/>
                        <w:sz w:val="21"/>
                        <w:szCs w:val="21"/>
                      </w:rPr>
                      <m:t>n</m:t>
                    </m:r>
                  </m:den>
                </m:f>
                <m:nary>
                  <m:naryPr>
                    <m:chr m:val="∑"/>
                    <m:limLoc m:val="undOvr"/>
                    <m:grow m:val="1"/>
                    <m:ctrlPr>
                      <w:rPr>
                        <w:rFonts w:ascii="Cambria Math" w:hAnsi="Cambria Math" w:cs="Arial"/>
                        <w:sz w:val="21"/>
                        <w:szCs w:val="21"/>
                      </w:rPr>
                    </m:ctrlPr>
                  </m:naryPr>
                  <m:sub>
                    <m:r>
                      <w:rPr>
                        <w:rFonts w:ascii="Cambria Math" w:hAnsi="Cambria Math" w:cs="Arial"/>
                        <w:sz w:val="21"/>
                        <w:szCs w:val="21"/>
                      </w:rPr>
                      <m:t>i=1</m:t>
                    </m:r>
                  </m:sub>
                  <m:sup>
                    <m:r>
                      <w:rPr>
                        <w:rFonts w:ascii="Cambria Math" w:hAnsi="Cambria Math" w:cs="Arial"/>
                        <w:sz w:val="21"/>
                        <w:szCs w:val="21"/>
                      </w:rPr>
                      <m:t>n</m:t>
                    </m:r>
                  </m:sup>
                  <m:e>
                    <m:d>
                      <m:dPr>
                        <m:begChr m:val="["/>
                        <m:endChr m:val="]"/>
                        <m:ctrlPr>
                          <w:rPr>
                            <w:rFonts w:ascii="Cambria Math" w:hAnsi="Cambria Math" w:cs="Arial"/>
                            <w:sz w:val="21"/>
                            <w:szCs w:val="21"/>
                          </w:rPr>
                        </m:ctrlPr>
                      </m:dPr>
                      <m:e>
                        <m:sSub>
                          <m:sSubPr>
                            <m:ctrlPr>
                              <w:rPr>
                                <w:rFonts w:ascii="Cambria Math" w:hAnsi="Cambria Math" w:cs="Arial"/>
                                <w:sz w:val="21"/>
                                <w:szCs w:val="21"/>
                              </w:rPr>
                            </m:ctrlPr>
                          </m:sSubPr>
                          <m:e>
                            <m:r>
                              <w:rPr>
                                <w:rFonts w:ascii="Cambria Math" w:hAnsi="Cambria Math" w:cs="Arial"/>
                                <w:sz w:val="21"/>
                                <w:szCs w:val="21"/>
                              </w:rPr>
                              <m:t>y</m:t>
                            </m:r>
                          </m:e>
                          <m:sub>
                            <m:r>
                              <w:rPr>
                                <w:rFonts w:ascii="Cambria Math" w:hAnsi="Cambria Math" w:cs="Arial"/>
                                <w:sz w:val="21"/>
                                <w:szCs w:val="21"/>
                              </w:rPr>
                              <m:t>i</m:t>
                            </m:r>
                          </m:sub>
                        </m:sSub>
                        <m:r>
                          <m:rPr>
                            <m:sty m:val="p"/>
                          </m:rPr>
                          <w:rPr>
                            <w:rFonts w:ascii="Cambria Math" w:hAnsi="Cambria Math" w:cs="Arial"/>
                            <w:sz w:val="21"/>
                            <w:szCs w:val="21"/>
                          </w:rPr>
                          <m:t>log</m:t>
                        </m:r>
                        <m:r>
                          <w:rPr>
                            <w:rFonts w:ascii="Cambria Math" w:hAnsi="Cambria Math" w:cs="Arial"/>
                            <w:sz w:val="21"/>
                            <w:szCs w:val="21"/>
                          </w:rPr>
                          <m:t>⁡(</m:t>
                        </m:r>
                        <m:sSub>
                          <m:sSubPr>
                            <m:ctrlPr>
                              <w:rPr>
                                <w:rFonts w:ascii="Cambria Math" w:hAnsi="Cambria Math" w:cs="Arial"/>
                                <w:sz w:val="21"/>
                                <w:szCs w:val="21"/>
                              </w:rPr>
                            </m:ctrlPr>
                          </m:sSubPr>
                          <m:e>
                            <m:r>
                              <w:rPr>
                                <w:rFonts w:ascii="Cambria Math" w:hAnsi="Cambria Math" w:cs="Arial"/>
                                <w:sz w:val="21"/>
                                <w:szCs w:val="21"/>
                              </w:rPr>
                              <m:t>p</m:t>
                            </m:r>
                          </m:e>
                          <m:sub>
                            <m:r>
                              <w:rPr>
                                <w:rFonts w:ascii="Cambria Math" w:hAnsi="Cambria Math" w:cs="Arial"/>
                                <w:sz w:val="21"/>
                                <w:szCs w:val="21"/>
                              </w:rPr>
                              <m:t>i</m:t>
                            </m:r>
                          </m:sub>
                        </m:sSub>
                        <m:r>
                          <w:rPr>
                            <w:rFonts w:ascii="Cambria Math" w:hAnsi="Cambria Math" w:cs="Arial"/>
                            <w:sz w:val="21"/>
                            <w:szCs w:val="21"/>
                          </w:rPr>
                          <m:t>)+(1-</m:t>
                        </m:r>
                        <m:sSub>
                          <m:sSubPr>
                            <m:ctrlPr>
                              <w:rPr>
                                <w:rFonts w:ascii="Cambria Math" w:hAnsi="Cambria Math" w:cs="Arial"/>
                                <w:sz w:val="21"/>
                                <w:szCs w:val="21"/>
                              </w:rPr>
                            </m:ctrlPr>
                          </m:sSubPr>
                          <m:e>
                            <m:r>
                              <w:rPr>
                                <w:rFonts w:ascii="Cambria Math" w:hAnsi="Cambria Math" w:cs="Arial"/>
                                <w:sz w:val="21"/>
                                <w:szCs w:val="21"/>
                              </w:rPr>
                              <m:t>y</m:t>
                            </m:r>
                          </m:e>
                          <m:sub>
                            <m:r>
                              <w:rPr>
                                <w:rFonts w:ascii="Cambria Math" w:hAnsi="Cambria Math" w:cs="Arial"/>
                                <w:sz w:val="21"/>
                                <w:szCs w:val="21"/>
                              </w:rPr>
                              <m:t>i</m:t>
                            </m:r>
                          </m:sub>
                        </m:sSub>
                        <m:r>
                          <w:rPr>
                            <w:rFonts w:ascii="Cambria Math" w:hAnsi="Cambria Math" w:cs="Arial"/>
                            <w:sz w:val="21"/>
                            <w:szCs w:val="21"/>
                          </w:rPr>
                          <m:t>)</m:t>
                        </m:r>
                        <m:r>
                          <m:rPr>
                            <m:sty m:val="p"/>
                          </m:rPr>
                          <w:rPr>
                            <w:rFonts w:ascii="Cambria Math" w:hAnsi="Cambria Math" w:cs="Arial"/>
                            <w:sz w:val="21"/>
                            <w:szCs w:val="21"/>
                          </w:rPr>
                          <m:t>log</m:t>
                        </m:r>
                        <m:r>
                          <w:rPr>
                            <w:rFonts w:ascii="Cambria Math" w:hAnsi="Cambria Math" w:cs="Arial"/>
                            <w:sz w:val="21"/>
                            <w:szCs w:val="21"/>
                          </w:rPr>
                          <m:t>⁡(1-</m:t>
                        </m:r>
                        <m:sSub>
                          <m:sSubPr>
                            <m:ctrlPr>
                              <w:rPr>
                                <w:rFonts w:ascii="Cambria Math" w:hAnsi="Cambria Math" w:cs="Arial"/>
                                <w:sz w:val="21"/>
                                <w:szCs w:val="21"/>
                              </w:rPr>
                            </m:ctrlPr>
                          </m:sSubPr>
                          <m:e>
                            <m:r>
                              <w:rPr>
                                <w:rFonts w:ascii="Cambria Math" w:hAnsi="Cambria Math" w:cs="Arial"/>
                                <w:sz w:val="21"/>
                                <w:szCs w:val="21"/>
                              </w:rPr>
                              <m:t>p</m:t>
                            </m:r>
                          </m:e>
                          <m:sub>
                            <m:r>
                              <w:rPr>
                                <w:rFonts w:ascii="Cambria Math" w:hAnsi="Cambria Math" w:cs="Arial"/>
                                <w:sz w:val="21"/>
                                <w:szCs w:val="21"/>
                              </w:rPr>
                              <m:t>i</m:t>
                            </m:r>
                          </m:sub>
                        </m:sSub>
                        <m:r>
                          <w:rPr>
                            <w:rFonts w:ascii="Cambria Math" w:hAnsi="Cambria Math" w:cs="Arial"/>
                            <w:sz w:val="21"/>
                            <w:szCs w:val="21"/>
                          </w:rPr>
                          <m:t>)</m:t>
                        </m:r>
                      </m:e>
                    </m:d>
                  </m:e>
                </m:nary>
              </m:oMath>
            </m:oMathPara>
          </w:p>
        </w:tc>
        <w:tc>
          <w:tcPr>
            <w:tcW w:w="1145" w:type="dxa"/>
            <w:vAlign w:val="center"/>
          </w:tcPr>
          <w:p w14:paraId="72426499"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11</w:t>
            </w:r>
          </w:p>
        </w:tc>
      </w:tr>
      <w:tr w:rsidR="009F7D21" w:rsidRPr="00340959" w14:paraId="7F81E62A" w14:textId="77777777" w:rsidTr="009F7D21">
        <w:trPr>
          <w:trHeight w:val="683"/>
          <w:tblCellSpacing w:w="15" w:type="dxa"/>
        </w:trPr>
        <w:tc>
          <w:tcPr>
            <w:tcW w:w="7962" w:type="dxa"/>
            <w:vAlign w:val="center"/>
            <w:hideMark/>
          </w:tcPr>
          <w:p w14:paraId="1E415D0C" w14:textId="77777777" w:rsidR="009F7D21" w:rsidRPr="00340959" w:rsidRDefault="009F7D21" w:rsidP="00340959">
            <w:pPr>
              <w:pStyle w:val="NoSpacing"/>
              <w:spacing w:line="360" w:lineRule="auto"/>
              <w:jc w:val="center"/>
              <w:rPr>
                <w:rFonts w:ascii="Arial" w:hAnsi="Arial" w:cs="Arial"/>
                <w:sz w:val="21"/>
                <w:szCs w:val="21"/>
              </w:rPr>
            </w:pPr>
            <m:oMathPara>
              <m:oMath>
                <m:r>
                  <w:rPr>
                    <w:rFonts w:ascii="Cambria Math" w:hAnsi="Cambria Math" w:cs="Arial"/>
                    <w:sz w:val="21"/>
                    <w:szCs w:val="21"/>
                  </w:rPr>
                  <m:t>ECE=</m:t>
                </m:r>
                <m:nary>
                  <m:naryPr>
                    <m:chr m:val="∑"/>
                    <m:ctrlPr>
                      <w:rPr>
                        <w:rFonts w:ascii="Cambria Math" w:hAnsi="Cambria Math" w:cs="Arial"/>
                        <w:sz w:val="21"/>
                        <w:szCs w:val="21"/>
                      </w:rPr>
                    </m:ctrlPr>
                  </m:naryPr>
                  <m:sub>
                    <m:r>
                      <w:rPr>
                        <w:rFonts w:ascii="Cambria Math" w:hAnsi="Cambria Math" w:cs="Arial"/>
                        <w:sz w:val="21"/>
                        <w:szCs w:val="21"/>
                      </w:rPr>
                      <m:t>k=1</m:t>
                    </m:r>
                    <m:ctrlPr>
                      <w:rPr>
                        <w:rFonts w:ascii="Cambria Math" w:hAnsi="Cambria Math" w:cs="Arial"/>
                        <w:i/>
                        <w:sz w:val="21"/>
                        <w:szCs w:val="21"/>
                      </w:rPr>
                    </m:ctrlPr>
                  </m:sub>
                  <m:sup>
                    <m:r>
                      <w:rPr>
                        <w:rFonts w:ascii="Cambria Math" w:hAnsi="Cambria Math" w:cs="Arial"/>
                        <w:sz w:val="21"/>
                        <w:szCs w:val="21"/>
                      </w:rPr>
                      <m:t>K</m:t>
                    </m:r>
                    <m:ctrlPr>
                      <w:rPr>
                        <w:rFonts w:ascii="Cambria Math" w:hAnsi="Cambria Math" w:cs="Arial"/>
                        <w:i/>
                        <w:sz w:val="21"/>
                        <w:szCs w:val="21"/>
                      </w:rPr>
                    </m:ctrlPr>
                  </m:sup>
                  <m:e>
                    <m:f>
                      <m:fPr>
                        <m:ctrlPr>
                          <w:rPr>
                            <w:rFonts w:ascii="Cambria Math" w:hAnsi="Cambria Math" w:cs="Arial"/>
                            <w:sz w:val="21"/>
                            <w:szCs w:val="21"/>
                          </w:rPr>
                        </m:ctrlPr>
                      </m:fPr>
                      <m:num>
                        <m:sSub>
                          <m:sSubPr>
                            <m:ctrlPr>
                              <w:rPr>
                                <w:rFonts w:ascii="Cambria Math" w:hAnsi="Cambria Math" w:cs="Arial"/>
                                <w:i/>
                                <w:sz w:val="21"/>
                                <w:szCs w:val="21"/>
                              </w:rPr>
                            </m:ctrlPr>
                          </m:sSubPr>
                          <m:e>
                            <m:r>
                              <w:rPr>
                                <w:rFonts w:ascii="Cambria Math" w:hAnsi="Cambria Math" w:cs="Arial"/>
                                <w:sz w:val="21"/>
                                <w:szCs w:val="21"/>
                              </w:rPr>
                              <m:t>n</m:t>
                            </m:r>
                          </m:e>
                          <m:sub>
                            <m:r>
                              <w:rPr>
                                <w:rFonts w:ascii="Cambria Math" w:hAnsi="Cambria Math" w:cs="Arial"/>
                                <w:sz w:val="21"/>
                                <w:szCs w:val="21"/>
                              </w:rPr>
                              <m:t>k</m:t>
                            </m:r>
                          </m:sub>
                        </m:sSub>
                        <m:ctrlPr>
                          <w:rPr>
                            <w:rFonts w:ascii="Cambria Math" w:hAnsi="Cambria Math" w:cs="Arial"/>
                            <w:i/>
                            <w:sz w:val="21"/>
                            <w:szCs w:val="21"/>
                          </w:rPr>
                        </m:ctrlPr>
                      </m:num>
                      <m:den>
                        <m:r>
                          <w:rPr>
                            <w:rFonts w:ascii="Cambria Math" w:hAnsi="Cambria Math" w:cs="Arial"/>
                            <w:sz w:val="21"/>
                            <w:szCs w:val="21"/>
                          </w:rPr>
                          <m:t>n</m:t>
                        </m:r>
                        <m:ctrlPr>
                          <w:rPr>
                            <w:rFonts w:ascii="Cambria Math" w:hAnsi="Cambria Math" w:cs="Arial"/>
                            <w:i/>
                            <w:sz w:val="21"/>
                            <w:szCs w:val="21"/>
                          </w:rPr>
                        </m:ctrlPr>
                      </m:den>
                    </m:f>
                    <m:ctrlPr>
                      <w:rPr>
                        <w:rFonts w:ascii="Cambria Math" w:hAnsi="Cambria Math" w:cs="Arial"/>
                        <w:i/>
                        <w:sz w:val="21"/>
                        <w:szCs w:val="21"/>
                      </w:rPr>
                    </m:ctrlPr>
                  </m:e>
                </m:nary>
                <m:d>
                  <m:dPr>
                    <m:begChr m:val="|"/>
                    <m:endChr m:val="|"/>
                    <m:ctrlPr>
                      <w:rPr>
                        <w:rFonts w:ascii="Cambria Math" w:hAnsi="Cambria Math" w:cs="Arial"/>
                        <w:sz w:val="21"/>
                        <w:szCs w:val="21"/>
                      </w:rPr>
                    </m:ctrlPr>
                  </m:dPr>
                  <m:e>
                    <m:r>
                      <w:rPr>
                        <w:rFonts w:ascii="Cambria Math" w:hAnsi="Cambria Math" w:cs="Arial"/>
                        <w:sz w:val="21"/>
                        <w:szCs w:val="21"/>
                      </w:rPr>
                      <m:t>acc</m:t>
                    </m:r>
                    <m:d>
                      <m:dPr>
                        <m:ctrlPr>
                          <w:rPr>
                            <w:rFonts w:ascii="Cambria Math" w:hAnsi="Cambria Math" w:cs="Arial"/>
                            <w:i/>
                            <w:sz w:val="21"/>
                            <w:szCs w:val="21"/>
                          </w:rPr>
                        </m:ctrlPr>
                      </m:dPr>
                      <m:e>
                        <m:sSub>
                          <m:sSubPr>
                            <m:ctrlPr>
                              <w:rPr>
                                <w:rFonts w:ascii="Cambria Math" w:hAnsi="Cambria Math" w:cs="Arial"/>
                                <w:i/>
                                <w:sz w:val="21"/>
                                <w:szCs w:val="21"/>
                              </w:rPr>
                            </m:ctrlPr>
                          </m:sSubPr>
                          <m:e>
                            <m:r>
                              <w:rPr>
                                <w:rFonts w:ascii="Cambria Math" w:hAnsi="Cambria Math" w:cs="Arial"/>
                                <w:sz w:val="21"/>
                                <w:szCs w:val="21"/>
                              </w:rPr>
                              <m:t>B</m:t>
                            </m:r>
                          </m:e>
                          <m:sub>
                            <m:r>
                              <w:rPr>
                                <w:rFonts w:ascii="Cambria Math" w:hAnsi="Cambria Math" w:cs="Arial"/>
                                <w:sz w:val="21"/>
                                <w:szCs w:val="21"/>
                              </w:rPr>
                              <m:t>k</m:t>
                            </m:r>
                          </m:sub>
                        </m:sSub>
                      </m:e>
                    </m:d>
                    <m:r>
                      <w:rPr>
                        <w:rFonts w:ascii="Cambria Math" w:hAnsi="Cambria Math" w:cs="Arial"/>
                        <w:sz w:val="21"/>
                        <w:szCs w:val="21"/>
                      </w:rPr>
                      <m:t>-conf</m:t>
                    </m:r>
                    <m:d>
                      <m:dPr>
                        <m:ctrlPr>
                          <w:rPr>
                            <w:rFonts w:ascii="Cambria Math" w:hAnsi="Cambria Math" w:cs="Arial"/>
                            <w:i/>
                            <w:sz w:val="21"/>
                            <w:szCs w:val="21"/>
                          </w:rPr>
                        </m:ctrlPr>
                      </m:dPr>
                      <m:e>
                        <m:sSub>
                          <m:sSubPr>
                            <m:ctrlPr>
                              <w:rPr>
                                <w:rFonts w:ascii="Cambria Math" w:hAnsi="Cambria Math" w:cs="Arial"/>
                                <w:i/>
                                <w:sz w:val="21"/>
                                <w:szCs w:val="21"/>
                              </w:rPr>
                            </m:ctrlPr>
                          </m:sSubPr>
                          <m:e>
                            <m:r>
                              <w:rPr>
                                <w:rFonts w:ascii="Cambria Math" w:hAnsi="Cambria Math" w:cs="Arial"/>
                                <w:sz w:val="21"/>
                                <w:szCs w:val="21"/>
                              </w:rPr>
                              <m:t>B</m:t>
                            </m:r>
                          </m:e>
                          <m:sub>
                            <m:r>
                              <w:rPr>
                                <w:rFonts w:ascii="Cambria Math" w:hAnsi="Cambria Math" w:cs="Arial"/>
                                <w:sz w:val="21"/>
                                <w:szCs w:val="21"/>
                              </w:rPr>
                              <m:t>k</m:t>
                            </m:r>
                          </m:sub>
                        </m:sSub>
                      </m:e>
                    </m:d>
                    <m:ctrlPr>
                      <w:rPr>
                        <w:rFonts w:ascii="Cambria Math" w:hAnsi="Cambria Math" w:cs="Arial"/>
                        <w:i/>
                        <w:sz w:val="21"/>
                        <w:szCs w:val="21"/>
                      </w:rPr>
                    </m:ctrlPr>
                  </m:e>
                </m:d>
              </m:oMath>
            </m:oMathPara>
          </w:p>
        </w:tc>
        <w:tc>
          <w:tcPr>
            <w:tcW w:w="1145" w:type="dxa"/>
            <w:vAlign w:val="center"/>
          </w:tcPr>
          <w:p w14:paraId="4C9B5E6A" w14:textId="77777777" w:rsidR="009F7D21" w:rsidRPr="00340959" w:rsidRDefault="009F7D21" w:rsidP="00340959">
            <w:pPr>
              <w:pStyle w:val="NoSpacing"/>
              <w:spacing w:line="360" w:lineRule="auto"/>
              <w:jc w:val="center"/>
              <w:rPr>
                <w:rFonts w:ascii="Arial" w:hAnsi="Arial" w:cs="Arial"/>
                <w:sz w:val="21"/>
                <w:szCs w:val="21"/>
              </w:rPr>
            </w:pPr>
            <w:r w:rsidRPr="00340959">
              <w:rPr>
                <w:rFonts w:ascii="Arial" w:hAnsi="Arial" w:cs="Arial"/>
                <w:sz w:val="21"/>
                <w:szCs w:val="21"/>
              </w:rPr>
              <w:t>12</w:t>
            </w:r>
          </w:p>
        </w:tc>
      </w:tr>
    </w:tbl>
    <w:p w14:paraId="3567DB69" w14:textId="77777777" w:rsidR="009F7D21" w:rsidRPr="00340959" w:rsidRDefault="009F7D21" w:rsidP="00340959">
      <w:pPr>
        <w:pStyle w:val="NoSpacing"/>
        <w:spacing w:line="360" w:lineRule="auto"/>
        <w:jc w:val="both"/>
        <w:rPr>
          <w:rFonts w:ascii="Arial" w:hAnsi="Arial" w:cs="Arial"/>
          <w:sz w:val="21"/>
          <w:szCs w:val="21"/>
        </w:rPr>
      </w:pPr>
      <w:r w:rsidRPr="00340959">
        <w:rPr>
          <w:rFonts w:ascii="Arial" w:hAnsi="Arial" w:cs="Arial"/>
          <w:sz w:val="21"/>
          <w:szCs w:val="21"/>
        </w:rPr>
        <w:t>Where:</w:t>
      </w:r>
    </w:p>
    <w:p w14:paraId="4C5B1B4D" w14:textId="0FD3E7A7" w:rsidR="009F7D21" w:rsidRPr="00340959" w:rsidRDefault="009F7D21" w:rsidP="00340959">
      <w:pPr>
        <w:pStyle w:val="NoSpacing"/>
        <w:spacing w:line="360" w:lineRule="auto"/>
        <w:jc w:val="both"/>
        <w:rPr>
          <w:rFonts w:ascii="Arial" w:hAnsi="Arial" w:cs="Arial"/>
          <w:sz w:val="21"/>
          <w:szCs w:val="21"/>
        </w:rPr>
      </w:pPr>
      <m:oMath>
        <m:r>
          <w:rPr>
            <w:rFonts w:ascii="Cambria Math" w:hAnsi="Cambria Math" w:cs="Arial"/>
            <w:sz w:val="21"/>
            <w:szCs w:val="21"/>
          </w:rPr>
          <m:t>TP</m:t>
        </m:r>
      </m:oMath>
      <w:r w:rsidRPr="00340959">
        <w:rPr>
          <w:rFonts w:ascii="Arial" w:hAnsi="Arial" w:cs="Arial"/>
          <w:sz w:val="21"/>
          <w:szCs w:val="21"/>
        </w:rPr>
        <w:t xml:space="preserve">, </w:t>
      </w:r>
      <m:oMath>
        <m:r>
          <w:rPr>
            <w:rFonts w:ascii="Cambria Math" w:hAnsi="Cambria Math" w:cs="Arial"/>
            <w:sz w:val="21"/>
            <w:szCs w:val="21"/>
          </w:rPr>
          <m:t>TN</m:t>
        </m:r>
      </m:oMath>
      <w:r w:rsidRPr="00340959">
        <w:rPr>
          <w:rFonts w:ascii="Arial" w:hAnsi="Arial" w:cs="Arial"/>
          <w:sz w:val="21"/>
          <w:szCs w:val="21"/>
        </w:rPr>
        <w:t xml:space="preserve">, </w:t>
      </w:r>
      <m:oMath>
        <m:r>
          <w:rPr>
            <w:rFonts w:ascii="Cambria Math" w:hAnsi="Cambria Math" w:cs="Arial"/>
            <w:sz w:val="21"/>
            <w:szCs w:val="21"/>
          </w:rPr>
          <m:t>FP</m:t>
        </m:r>
      </m:oMath>
      <w:r w:rsidRPr="00340959">
        <w:rPr>
          <w:rFonts w:ascii="Arial" w:hAnsi="Arial" w:cs="Arial"/>
          <w:sz w:val="21"/>
          <w:szCs w:val="21"/>
        </w:rPr>
        <w:t xml:space="preserve">, </w:t>
      </w:r>
      <m:oMath>
        <m:r>
          <w:rPr>
            <w:rFonts w:ascii="Cambria Math" w:hAnsi="Cambria Math" w:cs="Arial"/>
            <w:sz w:val="21"/>
            <w:szCs w:val="21"/>
          </w:rPr>
          <m:t>FN</m:t>
        </m:r>
      </m:oMath>
      <w:r w:rsidRPr="00340959">
        <w:rPr>
          <w:rFonts w:ascii="Arial" w:hAnsi="Arial" w:cs="Arial"/>
          <w:sz w:val="21"/>
          <w:szCs w:val="21"/>
        </w:rPr>
        <w:t>denote true positives, true negatives, false positives, and false negatives;</w:t>
      </w:r>
      <w:r w:rsidR="009F1E39" w:rsidRPr="00340959">
        <w:rPr>
          <w:rFonts w:ascii="Arial" w:hAnsi="Arial" w:cs="Arial"/>
          <w:sz w:val="21"/>
          <w:szCs w:val="21"/>
        </w:rPr>
        <w:t xml:space="preserve"> </w:t>
      </w:r>
      <m:oMath>
        <m:sSub>
          <m:sSubPr>
            <m:ctrlPr>
              <w:rPr>
                <w:rFonts w:ascii="Cambria Math" w:hAnsi="Cambria Math" w:cs="Arial"/>
                <w:sz w:val="21"/>
                <w:szCs w:val="21"/>
              </w:rPr>
            </m:ctrlPr>
          </m:sSubPr>
          <m:e>
            <m:r>
              <w:rPr>
                <w:rFonts w:ascii="Cambria Math" w:hAnsi="Cambria Math" w:cs="Arial"/>
                <w:sz w:val="21"/>
                <w:szCs w:val="21"/>
              </w:rPr>
              <m:t>p</m:t>
            </m:r>
          </m:e>
          <m:sub>
            <m:r>
              <w:rPr>
                <w:rFonts w:ascii="Cambria Math" w:hAnsi="Cambria Math" w:cs="Arial"/>
                <w:sz w:val="21"/>
                <w:szCs w:val="21"/>
              </w:rPr>
              <m:t>i</m:t>
            </m:r>
          </m:sub>
        </m:sSub>
      </m:oMath>
      <w:r w:rsidRPr="00340959">
        <w:rPr>
          <w:rFonts w:ascii="Arial" w:hAnsi="Arial" w:cs="Arial"/>
          <w:sz w:val="21"/>
          <w:szCs w:val="21"/>
        </w:rPr>
        <w:t>is</w:t>
      </w:r>
      <w:r w:rsidR="009F1E39" w:rsidRPr="00340959">
        <w:rPr>
          <w:rFonts w:ascii="Arial" w:hAnsi="Arial" w:cs="Arial"/>
          <w:sz w:val="21"/>
          <w:szCs w:val="21"/>
        </w:rPr>
        <w:t xml:space="preserve"> </w:t>
      </w:r>
      <w:r w:rsidRPr="00340959">
        <w:rPr>
          <w:rFonts w:ascii="Arial" w:hAnsi="Arial" w:cs="Arial"/>
          <w:sz w:val="21"/>
          <w:szCs w:val="21"/>
        </w:rPr>
        <w:t xml:space="preserve">the predicted probability for observation </w:t>
      </w:r>
      <m:oMath>
        <m:r>
          <w:rPr>
            <w:rFonts w:ascii="Cambria Math" w:hAnsi="Cambria Math" w:cs="Arial"/>
            <w:sz w:val="21"/>
            <w:szCs w:val="21"/>
          </w:rPr>
          <m:t>i</m:t>
        </m:r>
      </m:oMath>
      <w:r w:rsidRPr="00340959">
        <w:rPr>
          <w:rFonts w:ascii="Arial" w:hAnsi="Arial" w:cs="Arial"/>
          <w:sz w:val="21"/>
          <w:szCs w:val="21"/>
        </w:rPr>
        <w:t>;</w:t>
      </w:r>
      <w:r w:rsidR="009F1E39" w:rsidRPr="00340959">
        <w:rPr>
          <w:rFonts w:ascii="Arial" w:hAnsi="Arial" w:cs="Arial"/>
          <w:sz w:val="21"/>
          <w:szCs w:val="21"/>
        </w:rPr>
        <w:t xml:space="preserve"> </w:t>
      </w:r>
      <m:oMath>
        <m:sSub>
          <m:sSubPr>
            <m:ctrlPr>
              <w:rPr>
                <w:rFonts w:ascii="Cambria Math" w:hAnsi="Cambria Math" w:cs="Arial"/>
                <w:sz w:val="21"/>
                <w:szCs w:val="21"/>
              </w:rPr>
            </m:ctrlPr>
          </m:sSubPr>
          <m:e>
            <m:r>
              <w:rPr>
                <w:rFonts w:ascii="Cambria Math" w:hAnsi="Cambria Math" w:cs="Arial"/>
                <w:sz w:val="21"/>
                <w:szCs w:val="21"/>
              </w:rPr>
              <m:t>y</m:t>
            </m:r>
          </m:e>
          <m:sub>
            <m:r>
              <w:rPr>
                <w:rFonts w:ascii="Cambria Math" w:hAnsi="Cambria Math" w:cs="Arial"/>
                <w:sz w:val="21"/>
                <w:szCs w:val="21"/>
              </w:rPr>
              <m:t>i</m:t>
            </m:r>
          </m:sub>
        </m:sSub>
        <m:r>
          <w:rPr>
            <w:rFonts w:ascii="Cambria Math" w:hAnsi="Cambria Math" w:cs="Arial"/>
            <w:sz w:val="21"/>
            <w:szCs w:val="21"/>
          </w:rPr>
          <m:t>∈{0,1}</m:t>
        </m:r>
      </m:oMath>
      <w:r w:rsidRPr="00340959">
        <w:rPr>
          <w:rFonts w:ascii="Arial" w:hAnsi="Arial" w:cs="Arial"/>
          <w:sz w:val="21"/>
          <w:szCs w:val="21"/>
        </w:rPr>
        <w:t>is the observed label;</w:t>
      </w:r>
      <m:oMath>
        <m:r>
          <w:rPr>
            <w:rFonts w:ascii="Cambria Math" w:hAnsi="Cambria Math" w:cs="Arial"/>
            <w:sz w:val="21"/>
            <w:szCs w:val="21"/>
          </w:rPr>
          <m:t>n</m:t>
        </m:r>
      </m:oMath>
      <w:r w:rsidRPr="00340959">
        <w:rPr>
          <w:rFonts w:ascii="Arial" w:hAnsi="Arial" w:cs="Arial"/>
          <w:sz w:val="21"/>
          <w:szCs w:val="21"/>
        </w:rPr>
        <w:t>is the total number of samples;</w:t>
      </w:r>
      <w:r w:rsidR="009F1E39" w:rsidRPr="00340959">
        <w:rPr>
          <w:rFonts w:ascii="Arial" w:hAnsi="Arial" w:cs="Arial"/>
          <w:sz w:val="21"/>
          <w:szCs w:val="21"/>
        </w:rPr>
        <w:t xml:space="preserve"> </w:t>
      </w:r>
      <m:oMath>
        <m:sSub>
          <m:sSubPr>
            <m:ctrlPr>
              <w:rPr>
                <w:rFonts w:ascii="Cambria Math" w:hAnsi="Cambria Math" w:cs="Arial"/>
                <w:sz w:val="21"/>
                <w:szCs w:val="21"/>
              </w:rPr>
            </m:ctrlPr>
          </m:sSubPr>
          <m:e>
            <m:r>
              <w:rPr>
                <w:rFonts w:ascii="Cambria Math" w:hAnsi="Cambria Math" w:cs="Arial"/>
                <w:sz w:val="21"/>
                <w:szCs w:val="21"/>
              </w:rPr>
              <m:t>B</m:t>
            </m:r>
          </m:e>
          <m:sub>
            <m:r>
              <w:rPr>
                <w:rFonts w:ascii="Cambria Math" w:hAnsi="Cambria Math" w:cs="Arial"/>
                <w:sz w:val="21"/>
                <w:szCs w:val="21"/>
              </w:rPr>
              <m:t>k</m:t>
            </m:r>
          </m:sub>
        </m:sSub>
      </m:oMath>
      <w:r w:rsidRPr="00340959">
        <w:rPr>
          <w:rFonts w:ascii="Arial" w:hAnsi="Arial" w:cs="Arial"/>
          <w:sz w:val="21"/>
          <w:szCs w:val="21"/>
        </w:rPr>
        <w:t xml:space="preserve">denotes the </w:t>
      </w:r>
      <m:oMath>
        <m:sSup>
          <m:sSupPr>
            <m:ctrlPr>
              <w:rPr>
                <w:rFonts w:ascii="Cambria Math" w:hAnsi="Cambria Math" w:cs="Arial"/>
                <w:sz w:val="21"/>
                <w:szCs w:val="21"/>
              </w:rPr>
            </m:ctrlPr>
          </m:sSupPr>
          <m:e>
            <m:r>
              <w:rPr>
                <w:rFonts w:ascii="Cambria Math" w:hAnsi="Cambria Math" w:cs="Arial"/>
                <w:sz w:val="21"/>
                <w:szCs w:val="21"/>
              </w:rPr>
              <m:t>k</m:t>
            </m:r>
          </m:e>
          <m:sup>
            <m:r>
              <w:rPr>
                <w:rFonts w:ascii="Cambria Math" w:hAnsi="Cambria Math" w:cs="Arial"/>
                <w:sz w:val="21"/>
                <w:szCs w:val="21"/>
              </w:rPr>
              <m:t>th</m:t>
            </m:r>
          </m:sup>
        </m:sSup>
      </m:oMath>
      <w:r w:rsidRPr="00340959">
        <w:rPr>
          <w:rFonts w:ascii="Arial" w:hAnsi="Arial" w:cs="Arial"/>
          <w:sz w:val="21"/>
          <w:szCs w:val="21"/>
        </w:rPr>
        <w:t>probability bin;</w:t>
      </w:r>
      <w:r w:rsidR="009F1E39" w:rsidRPr="00340959">
        <w:rPr>
          <w:rFonts w:ascii="Arial" w:hAnsi="Arial" w:cs="Arial"/>
          <w:sz w:val="21"/>
          <w:szCs w:val="21"/>
        </w:rPr>
        <w:t xml:space="preserve"> </w:t>
      </w:r>
      <m:oMath>
        <m:sSub>
          <m:sSubPr>
            <m:ctrlPr>
              <w:rPr>
                <w:rFonts w:ascii="Cambria Math" w:hAnsi="Cambria Math" w:cs="Arial"/>
                <w:sz w:val="21"/>
                <w:szCs w:val="21"/>
              </w:rPr>
            </m:ctrlPr>
          </m:sSubPr>
          <m:e>
            <m:r>
              <w:rPr>
                <w:rFonts w:ascii="Cambria Math" w:hAnsi="Cambria Math" w:cs="Arial"/>
                <w:sz w:val="21"/>
                <w:szCs w:val="21"/>
              </w:rPr>
              <m:t>n</m:t>
            </m:r>
          </m:e>
          <m:sub>
            <m:r>
              <w:rPr>
                <w:rFonts w:ascii="Cambria Math" w:hAnsi="Cambria Math" w:cs="Arial"/>
                <w:sz w:val="21"/>
                <w:szCs w:val="21"/>
              </w:rPr>
              <m:t>k</m:t>
            </m:r>
          </m:sub>
        </m:sSub>
      </m:oMath>
      <w:r w:rsidRPr="00340959">
        <w:rPr>
          <w:rFonts w:ascii="Arial" w:hAnsi="Arial" w:cs="Arial"/>
          <w:sz w:val="21"/>
          <w:szCs w:val="21"/>
        </w:rPr>
        <w:t xml:space="preserve">is the number of samples in bin </w:t>
      </w:r>
      <m:oMath>
        <m:r>
          <w:rPr>
            <w:rFonts w:ascii="Cambria Math" w:hAnsi="Cambria Math" w:cs="Arial"/>
            <w:sz w:val="21"/>
            <w:szCs w:val="21"/>
          </w:rPr>
          <m:t>k</m:t>
        </m:r>
      </m:oMath>
      <w:r w:rsidRPr="00340959">
        <w:rPr>
          <w:rFonts w:ascii="Arial" w:hAnsi="Arial" w:cs="Arial"/>
          <w:sz w:val="21"/>
          <w:szCs w:val="21"/>
        </w:rPr>
        <w:t>;</w:t>
      </w:r>
      <w:r w:rsidR="009F1E39" w:rsidRPr="00340959">
        <w:rPr>
          <w:rFonts w:ascii="Arial" w:hAnsi="Arial" w:cs="Arial"/>
          <w:sz w:val="21"/>
          <w:szCs w:val="21"/>
        </w:rPr>
        <w:t xml:space="preserve"> </w:t>
      </w:r>
      <m:oMath>
        <m:r>
          <m:rPr>
            <m:nor/>
          </m:rPr>
          <w:rPr>
            <w:rFonts w:ascii="Arial" w:hAnsi="Arial" w:cs="Arial"/>
            <w:sz w:val="21"/>
            <w:szCs w:val="21"/>
          </w:rPr>
          <m:t>acc</m:t>
        </m:r>
        <m:r>
          <w:rPr>
            <w:rFonts w:ascii="Cambria Math" w:hAnsi="Cambria Math" w:cs="Arial"/>
            <w:sz w:val="21"/>
            <w:szCs w:val="21"/>
          </w:rPr>
          <m:t>(</m:t>
        </m:r>
        <m:sSub>
          <m:sSubPr>
            <m:ctrlPr>
              <w:rPr>
                <w:rFonts w:ascii="Cambria Math" w:hAnsi="Cambria Math" w:cs="Arial"/>
                <w:sz w:val="21"/>
                <w:szCs w:val="21"/>
              </w:rPr>
            </m:ctrlPr>
          </m:sSubPr>
          <m:e>
            <m:r>
              <w:rPr>
                <w:rFonts w:ascii="Cambria Math" w:hAnsi="Cambria Math" w:cs="Arial"/>
                <w:sz w:val="21"/>
                <w:szCs w:val="21"/>
              </w:rPr>
              <m:t>B</m:t>
            </m:r>
          </m:e>
          <m:sub>
            <m:r>
              <w:rPr>
                <w:rFonts w:ascii="Cambria Math" w:hAnsi="Cambria Math" w:cs="Arial"/>
                <w:sz w:val="21"/>
                <w:szCs w:val="21"/>
              </w:rPr>
              <m:t>k</m:t>
            </m:r>
          </m:sub>
        </m:sSub>
        <m:r>
          <w:rPr>
            <w:rFonts w:ascii="Cambria Math" w:hAnsi="Cambria Math" w:cs="Arial"/>
            <w:sz w:val="21"/>
            <w:szCs w:val="21"/>
          </w:rPr>
          <m:t>)</m:t>
        </m:r>
      </m:oMath>
      <w:r w:rsidRPr="00340959">
        <w:rPr>
          <w:rFonts w:ascii="Arial" w:hAnsi="Arial" w:cs="Arial"/>
          <w:sz w:val="21"/>
          <w:szCs w:val="21"/>
        </w:rPr>
        <w:t>is</w:t>
      </w:r>
      <w:r w:rsidR="009F1E39" w:rsidRPr="00340959">
        <w:rPr>
          <w:rFonts w:ascii="Arial" w:hAnsi="Arial" w:cs="Arial"/>
          <w:sz w:val="21"/>
          <w:szCs w:val="21"/>
        </w:rPr>
        <w:t xml:space="preserve"> </w:t>
      </w:r>
      <w:r w:rsidRPr="00340959">
        <w:rPr>
          <w:rFonts w:ascii="Arial" w:hAnsi="Arial" w:cs="Arial"/>
          <w:sz w:val="21"/>
          <w:szCs w:val="21"/>
        </w:rPr>
        <w:t xml:space="preserve">empirical accuracy within </w:t>
      </w:r>
      <w:r w:rsidR="009F1E39" w:rsidRPr="00340959">
        <w:rPr>
          <w:rFonts w:ascii="Arial" w:hAnsi="Arial" w:cs="Arial"/>
          <w:sz w:val="21"/>
          <w:szCs w:val="21"/>
        </w:rPr>
        <w:t xml:space="preserve">the </w:t>
      </w:r>
      <w:r w:rsidRPr="00340959">
        <w:rPr>
          <w:rFonts w:ascii="Arial" w:hAnsi="Arial" w:cs="Arial"/>
          <w:sz w:val="21"/>
          <w:szCs w:val="21"/>
        </w:rPr>
        <w:t xml:space="preserve">bin </w:t>
      </w:r>
      <m:oMath>
        <m:r>
          <w:rPr>
            <w:rFonts w:ascii="Cambria Math" w:hAnsi="Cambria Math" w:cs="Arial"/>
            <w:sz w:val="21"/>
            <w:szCs w:val="21"/>
          </w:rPr>
          <m:t>k</m:t>
        </m:r>
      </m:oMath>
      <w:r w:rsidRPr="00340959">
        <w:rPr>
          <w:rFonts w:ascii="Arial" w:hAnsi="Arial" w:cs="Arial"/>
          <w:sz w:val="21"/>
          <w:szCs w:val="21"/>
        </w:rPr>
        <w:t>;</w:t>
      </w:r>
      <w:r w:rsidR="009F1E39" w:rsidRPr="00340959">
        <w:rPr>
          <w:rFonts w:ascii="Arial" w:hAnsi="Arial" w:cs="Arial"/>
          <w:sz w:val="21"/>
          <w:szCs w:val="21"/>
        </w:rPr>
        <w:t xml:space="preserve"> </w:t>
      </w:r>
      <m:oMath>
        <m:r>
          <m:rPr>
            <m:nor/>
          </m:rPr>
          <w:rPr>
            <w:rFonts w:ascii="Arial" w:hAnsi="Arial" w:cs="Arial"/>
            <w:sz w:val="21"/>
            <w:szCs w:val="21"/>
          </w:rPr>
          <m:t>conf</m:t>
        </m:r>
        <m:r>
          <w:rPr>
            <w:rFonts w:ascii="Cambria Math" w:hAnsi="Cambria Math" w:cs="Arial"/>
            <w:sz w:val="21"/>
            <w:szCs w:val="21"/>
          </w:rPr>
          <m:t>(</m:t>
        </m:r>
        <m:sSub>
          <m:sSubPr>
            <m:ctrlPr>
              <w:rPr>
                <w:rFonts w:ascii="Cambria Math" w:hAnsi="Cambria Math" w:cs="Arial"/>
                <w:sz w:val="21"/>
                <w:szCs w:val="21"/>
              </w:rPr>
            </m:ctrlPr>
          </m:sSubPr>
          <m:e>
            <m:r>
              <w:rPr>
                <w:rFonts w:ascii="Cambria Math" w:hAnsi="Cambria Math" w:cs="Arial"/>
                <w:sz w:val="21"/>
                <w:szCs w:val="21"/>
              </w:rPr>
              <m:t>B</m:t>
            </m:r>
          </m:e>
          <m:sub>
            <m:r>
              <w:rPr>
                <w:rFonts w:ascii="Cambria Math" w:hAnsi="Cambria Math" w:cs="Arial"/>
                <w:sz w:val="21"/>
                <w:szCs w:val="21"/>
              </w:rPr>
              <m:t>k</m:t>
            </m:r>
          </m:sub>
        </m:sSub>
        <m:r>
          <w:rPr>
            <w:rFonts w:ascii="Cambria Math" w:hAnsi="Cambria Math" w:cs="Arial"/>
            <w:sz w:val="21"/>
            <w:szCs w:val="21"/>
          </w:rPr>
          <m:t>)</m:t>
        </m:r>
      </m:oMath>
      <w:r w:rsidRPr="00340959">
        <w:rPr>
          <w:rFonts w:ascii="Arial" w:hAnsi="Arial" w:cs="Arial"/>
          <w:sz w:val="21"/>
          <w:szCs w:val="21"/>
        </w:rPr>
        <w:t xml:space="preserve">is the mean predicted probability in </w:t>
      </w:r>
      <w:r w:rsidR="009F1E39" w:rsidRPr="00340959">
        <w:rPr>
          <w:rFonts w:ascii="Arial" w:hAnsi="Arial" w:cs="Arial"/>
          <w:sz w:val="21"/>
          <w:szCs w:val="21"/>
        </w:rPr>
        <w:t xml:space="preserve">the </w:t>
      </w:r>
      <w:r w:rsidRPr="00340959">
        <w:rPr>
          <w:rFonts w:ascii="Arial" w:hAnsi="Arial" w:cs="Arial"/>
          <w:sz w:val="21"/>
          <w:szCs w:val="21"/>
        </w:rPr>
        <w:t xml:space="preserve">bin </w:t>
      </w:r>
      <m:oMath>
        <m:r>
          <w:rPr>
            <w:rFonts w:ascii="Cambria Math" w:hAnsi="Cambria Math" w:cs="Arial"/>
            <w:sz w:val="21"/>
            <w:szCs w:val="21"/>
          </w:rPr>
          <m:t>k</m:t>
        </m:r>
      </m:oMath>
      <w:r w:rsidRPr="00340959">
        <w:rPr>
          <w:rFonts w:ascii="Arial" w:hAnsi="Arial" w:cs="Arial"/>
          <w:sz w:val="21"/>
          <w:szCs w:val="21"/>
        </w:rPr>
        <w:t>.</w:t>
      </w:r>
    </w:p>
    <w:p w14:paraId="366D2499" w14:textId="7F0590FD" w:rsidR="009F7D21" w:rsidRPr="00340959" w:rsidRDefault="00904121" w:rsidP="00340959">
      <w:pPr>
        <w:spacing w:before="0" w:after="0" w:line="360" w:lineRule="auto"/>
        <w:jc w:val="both"/>
        <w:rPr>
          <w:rFonts w:ascii="Arial" w:hAnsi="Arial" w:cs="Arial"/>
          <w:sz w:val="21"/>
          <w:szCs w:val="21"/>
        </w:rPr>
      </w:pPr>
      <w:r w:rsidRPr="00340959">
        <w:rPr>
          <w:rFonts w:ascii="Arial" w:hAnsi="Arial" w:cs="Arial"/>
          <w:sz w:val="21"/>
          <w:szCs w:val="21"/>
        </w:rPr>
        <w:t xml:space="preserve">This formulation of metrics provides a clear and reproducible way to evaluate and is consistent with both traditional classification semantics </w:t>
      </w:r>
      <w:r w:rsidR="009F1E39" w:rsidRPr="00340959">
        <w:rPr>
          <w:rFonts w:ascii="Arial" w:hAnsi="Arial" w:cs="Arial"/>
          <w:sz w:val="21"/>
          <w:szCs w:val="21"/>
        </w:rPr>
        <w:t>and</w:t>
      </w:r>
      <w:r w:rsidRPr="00340959">
        <w:rPr>
          <w:rFonts w:ascii="Arial" w:hAnsi="Arial" w:cs="Arial"/>
          <w:sz w:val="21"/>
          <w:szCs w:val="21"/>
        </w:rPr>
        <w:t xml:space="preserve"> uncertainty-based probabilistic modeling goals.</w:t>
      </w:r>
    </w:p>
    <w:p w14:paraId="2551C9F2" w14:textId="77777777" w:rsidR="00567FB5" w:rsidRPr="00340959" w:rsidRDefault="00567FB5" w:rsidP="00340959">
      <w:pPr>
        <w:pStyle w:val="Heading2"/>
        <w:spacing w:before="0" w:after="0" w:line="360" w:lineRule="auto"/>
        <w:rPr>
          <w:rFonts w:ascii="Arial" w:hAnsi="Arial" w:cs="Arial"/>
          <w:sz w:val="21"/>
          <w:szCs w:val="21"/>
        </w:rPr>
      </w:pPr>
    </w:p>
    <w:p w14:paraId="357B8CAA" w14:textId="5BF590D4" w:rsidR="005B28E8" w:rsidRPr="00B61B2F" w:rsidRDefault="00000000" w:rsidP="00340959">
      <w:pPr>
        <w:pStyle w:val="Heading2"/>
        <w:spacing w:before="0" w:after="0" w:line="360" w:lineRule="auto"/>
        <w:rPr>
          <w:rFonts w:ascii="Arial" w:hAnsi="Arial" w:cs="Arial"/>
          <w:b/>
          <w:bCs/>
          <w:color w:val="000000" w:themeColor="text1"/>
          <w:sz w:val="21"/>
          <w:szCs w:val="21"/>
        </w:rPr>
      </w:pPr>
      <w:r w:rsidRPr="00B61B2F">
        <w:rPr>
          <w:rFonts w:ascii="Arial" w:hAnsi="Arial" w:cs="Arial"/>
          <w:b/>
          <w:bCs/>
          <w:color w:val="000000" w:themeColor="text1"/>
          <w:sz w:val="21"/>
          <w:szCs w:val="21"/>
        </w:rPr>
        <w:t>Model Comparison, Selection, and Spatial Deployment Framework</w:t>
      </w:r>
    </w:p>
    <w:p w14:paraId="25A7A422" w14:textId="3BFF64BA" w:rsidR="00904121" w:rsidRPr="00340959"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To evaluate if differences in predictive performance were statistically significant, nonparametric hypothesis testing was performed on repeated cross-validation F1 scores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{"citationID":"Dll4ZpjY","properties":{"formattedCitation":"(Mwakapesa et al. 2024)","plainCitation":"(Mwakapesa et al. 2024)","noteIndex":0},"citationItems":[{"id":167,"uris":["http://zotero.org/users/local/emosa1lm/items/5EGISPBC"],"itemData":{"id":167,"type":"article-journal","abstract":"Landslide susceptibility assessment (LSA) is fundamental for managing landslide geological disasters. This study presents a deep learning approach (DNN-MSFM) designed to enhance LSA modeling, particularly addressing limitations caused by the unbalanced distribution of data samples in applied datasets. DNN-MSFM approach combines a deep neural network (DNN) and a mean squared false misclassification loss function (MSFM) to handle unbalanced samples from the algorithmic perspective. The model's performance was evaluated on an unbalanced dataset containing mapping units' records of 293 landslide samples and 653 non-landslide samples from the Baota District, China. Its effectiveness was assessed through statistical metrics and compared against DNN and Support Vector Machine (SVM) basic models. The results demonstrated a significant performance enhancement from the DNN-MSFM (OverallAccuracy = 0.889 and area under the receiver operating characteristic curve (AUC) = 0.84), indicating its effectiveness in learning the underlying landslide susceptibility features and demonstrating its ability to provide improved predictions even in areas with unbalanced landslide samples. Moreover, the study emphasizes the importance of considering balanced loss functions in training DNN under various imbalance degrees and contributes to expanding the applicability of DNN in LSA modeling. Also, this study builds a foundation for further enhancements of deep learning methods for geological disaster assessments.","container-title":"Heliyon","DOI":"10.1016/j.heliyon.2024.e30107","ISSN":"2405-8440","issue":"9","PMID":"38707366","publisher":"Elsevier BV","title":"Landslide susceptibility assessment using deep learning considering unbalanced samples distribution","URL":"https://doi.org/10.1016/j.heliyon.2024.e30107","volume":"10","author":[{"family":"Mwakapesa","given":"Deborah Simon"},{"family":"Lan","given":"Xiaoji"},{"family":"Mao","given":"Yimin"}],"issued":{"date-parts":[["2024",4]]}}}],"schema":"https://github.com/citation-style-language/schema/raw/master/csl-citation.json"}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(Mwakapesa et al. 2024)</w:t>
      </w:r>
      <w:r w:rsidR="00345E8A" w:rsidRPr="00340959">
        <w:rPr>
          <w:rFonts w:ascii="Arial" w:hAnsi="Arial" w:cs="Arial"/>
          <w:color w:val="000000"/>
          <w:sz w:val="21"/>
          <w:szCs w:val="21"/>
        </w:rPr>
        <w:fldChar w:fldCharType="end"/>
      </w:r>
      <w:r w:rsidRPr="00340959">
        <w:rPr>
          <w:rFonts w:ascii="Arial" w:hAnsi="Arial" w:cs="Arial"/>
          <w:color w:val="000000"/>
          <w:sz w:val="21"/>
          <w:szCs w:val="21"/>
        </w:rPr>
        <w:t xml:space="preserve">. Since several models were assessed in the same folds, differences in global performance across groups were assessed </w:t>
      </w:r>
      <w:r w:rsidRPr="00340959">
        <w:rPr>
          <w:rFonts w:ascii="Arial" w:hAnsi="Arial" w:cs="Arial"/>
          <w:color w:val="000000"/>
          <w:sz w:val="21"/>
          <w:szCs w:val="21"/>
        </w:rPr>
        <w:lastRenderedPageBreak/>
        <w:t>using the Friedman test</w:t>
      </w:r>
      <w:r w:rsidR="00345E8A" w:rsidRPr="00340959">
        <w:rPr>
          <w:rFonts w:ascii="Arial" w:hAnsi="Arial" w:cs="Arial"/>
          <w:color w:val="000000"/>
          <w:sz w:val="21"/>
          <w:szCs w:val="21"/>
        </w:rPr>
        <w:t xml:space="preserve"> </w:t>
      </w:r>
      <w:r w:rsidR="00345E8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{"citationID":"z8ntLrI3","properties":{"formattedCitation":"(Yan et al. 2018)","plainCitation":"(Yan et al. 2018)","noteIndex":0},"citationItems":[{"id":168,"uris":["http://zotero.org/users/local/emosa1lm/items/PJ9P76X7"],"itemData":{"id":168,"type":"article-journal","abstract":"Deep learning techniques, e.g., Convolutional Neural Networks (CNNs), have been explosively applied to the research in the fields of information retrieval and natural language processing. However, few research efforts have addressed semantic indexing with deep learning. The use of semantic indexing in the biomedical literature has been limited for several reasons. For instance, MEDLINE citations contain a large number of semantic labels from automatically annotated MeSH terms, and for a great deal of the literature, only the information of the title and the abstract is readily available. In this paper, we propose a Boltzmann Convolutional neural network framework (B-CNN) for biomedicine semantic indexing. In our hybrid learning framework, the CNN can adaptively deal with features of documents that have sequence relationships, and can capture context information accordingly; the Deep Boltzmann Machine (DBM) merges global (the entity in each document) and local information through its training with undirected connections. Additionally, we have designed a hierarchical coarse to fine style indexing structure for learning and classifying documents, and a novel feature extension approach with word sequence embedding and Wikipedia categorization. Comparative experiments were conducted for semantic indexing of biomedical abstract documents; these experiments verified the encouraged performance of our B-CNN model.","container-title":"PLoS ONE","DOI":"10.1371/journal.pone.0197933","ISSN":"1932-6203","issue":"7","PMID":"30048461","publisher":"Public Library of Science","title":"Biomedical literature classification with a CNNs-based hybrid learning network","URL":"https://doi.org/10.1371/journal.pone.0197933","volume":"13","author":[{"family":"Yan","given":"Yan"},{"family":"Yin","given":"Xu-Cheng"},{"family":"Yang","given":"Chun"},{"family":"Li","given":"Sujian"},{"family":"Zhang","given":"Bowen"}],"issued":{"date-parts":[["2018",7]]}}}],"schema":"https://github.com/citation-style-language/schema/raw/master/csl-citation.json"} </w:instrText>
      </w:r>
      <w:r w:rsidR="00345E8A" w:rsidRPr="00340959">
        <w:rPr>
          <w:rFonts w:ascii="Arial" w:hAnsi="Arial" w:cs="Arial"/>
          <w:color w:val="000000"/>
          <w:sz w:val="21"/>
          <w:szCs w:val="21"/>
        </w:rPr>
        <w:fldChar w:fldCharType="separate"/>
      </w:r>
      <w:r w:rsidR="0050478C" w:rsidRPr="0050478C">
        <w:rPr>
          <w:rFonts w:ascii="Arial" w:hAnsi="Arial" w:cs="Arial"/>
          <w:sz w:val="21"/>
        </w:rPr>
        <w:t>(Yan et al. 2018)</w:t>
      </w:r>
      <w:r w:rsidR="00345E8A" w:rsidRPr="00340959">
        <w:rPr>
          <w:rFonts w:ascii="Arial" w:hAnsi="Arial" w:cs="Arial"/>
          <w:color w:val="000000"/>
          <w:sz w:val="21"/>
          <w:szCs w:val="21"/>
        </w:rPr>
        <w:fldChar w:fldCharType="end"/>
      </w:r>
      <w:r w:rsidRPr="00340959">
        <w:rPr>
          <w:rFonts w:ascii="Arial" w:hAnsi="Arial" w:cs="Arial"/>
          <w:color w:val="000000"/>
          <w:sz w:val="21"/>
          <w:szCs w:val="21"/>
        </w:rPr>
        <w:t xml:space="preserve">. Significance was confirmed using the Friedman test (α = 0.05) prior to performing pairwise comparisons to determine specific model differences with the Nemenyi post-hoc test </w:t>
      </w:r>
      <w:r w:rsidR="009067BE"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{"citationID":"JFDXqYmB","properties":{"formattedCitation":"(Gardner and Brooks 2018)","plainCitation":"(Gardner and Brooks 2018)","noteIndex":0},"citationItems":[{"id":169,"uris":["http://zotero.org/users/local/emosa1lm/items/DZRCKW8C"],"itemData":{"id":169,"type":"paper-conference","abstract":"The field of learning analytics needs to adopt a more rigorous approach for predictive model evaluation that matches the complex practice of model-building. In this work, we present a procedure to statistically test hypotheses about model performance which goes beyond the state-of-the-practice in the community to analyze both algorithms and feature extraction methods from raw data. We apply this method to a series of algorithms and feature sets derived from a large sample of Massive Open Online Courses (MOOCs). While a complete comparison of all potential modeling approaches is beyond the scope of this paper, we show that this approach reveals a large gap in dropout prediction performance between forum-, assignment-, and clickstream-based feature extraction methods, where the latter is significantly better than the former two, which are in turn indistinguishable from one another. This work has methodological implications for evaluating predictive or AI-based models of student success, and practical implications for the design and targeting of at-risk student models and interventions.","container-title":"Proceedings of the AAAI Conference on Artificial Intelligence","DOI":"10.1609/aaai.v32i1.11392","ISSN":"2159-5399, 2374-3468","issue":"1","publisher":"Association for the Advancement of Artificial Intelligence","title":"Dropout Model Evaluation in MOOCs","URL":"https://doi.org/10.1609/aaai.v32i1.11392","volume":"32","author":[{"family":"Gardner","given":"Joshua"},{"family":"Brooks","given":"Christopher"}],"issued":{"date-parts":[["2018",4]]}}}],"schema":"https://github.com/citation-style-language/schema/raw/master/csl-citation.json"} </w:instrText>
      </w:r>
      <w:r w:rsidR="009067BE" w:rsidRPr="00340959">
        <w:rPr>
          <w:rFonts w:ascii="Arial" w:hAnsi="Arial" w:cs="Arial"/>
          <w:color w:val="000000"/>
          <w:sz w:val="21"/>
          <w:szCs w:val="21"/>
        </w:rPr>
        <w:fldChar w:fldCharType="separate"/>
      </w:r>
      <w:r w:rsidR="0050478C" w:rsidRPr="0050478C">
        <w:rPr>
          <w:rFonts w:ascii="Arial" w:hAnsi="Arial" w:cs="Arial"/>
          <w:sz w:val="21"/>
        </w:rPr>
        <w:t>(Gardner and Brooks 2018)</w:t>
      </w:r>
      <w:r w:rsidR="009067BE" w:rsidRPr="00340959">
        <w:rPr>
          <w:rFonts w:ascii="Arial" w:hAnsi="Arial" w:cs="Arial"/>
          <w:color w:val="000000"/>
          <w:sz w:val="21"/>
          <w:szCs w:val="21"/>
        </w:rPr>
        <w:fldChar w:fldCharType="end"/>
      </w:r>
      <w:r w:rsidRPr="00340959">
        <w:rPr>
          <w:rFonts w:ascii="Arial" w:hAnsi="Arial" w:cs="Arial"/>
          <w:color w:val="000000"/>
          <w:sz w:val="21"/>
          <w:szCs w:val="21"/>
        </w:rPr>
        <w:t>.</w:t>
      </w:r>
      <w:r w:rsidR="009067BE" w:rsidRPr="00340959">
        <w:rPr>
          <w:rFonts w:ascii="Arial" w:hAnsi="Arial" w:cs="Arial"/>
          <w:color w:val="000000"/>
          <w:sz w:val="21"/>
          <w:szCs w:val="21"/>
        </w:rPr>
        <w:t xml:space="preserve"> </w:t>
      </w:r>
    </w:p>
    <w:p w14:paraId="2B506021" w14:textId="6125BACE" w:rsidR="00904121" w:rsidRPr="00340959"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Following the statistical comparison, final model selection was performed using a weighted rank-based multi-criteria framework that integrates discrimination performance, spatial robustness, and probabilistic calibration. Each model was ranked across five criteria: (i) cross-validation MCC (20%), (ii) holdout MCC (35%), (iii) spatial block MCC (30%), (iv) holdout Brier score (10%, lower is better), and (v) holdout Expected Calibration Error (5%, lower is better)</w:t>
      </w:r>
      <w:r w:rsidR="009067BE" w:rsidRPr="00340959">
        <w:rPr>
          <w:rFonts w:ascii="Arial" w:hAnsi="Arial" w:cs="Arial"/>
          <w:color w:val="000000"/>
          <w:sz w:val="21"/>
          <w:szCs w:val="21"/>
        </w:rPr>
        <w:t xml:space="preserve"> </w:t>
      </w:r>
      <w:r w:rsidR="001B5C0A">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{"citationID":"08OnVhC1","properties":{"formattedCitation":"(O\\uc0\\u8217{}Malley et al. 2024)","plainCitation":"(O’Malley et al. 2024)","noteIndex":0},"citationItems":[{"id":358,"uris":["http://zotero.org/users/local/emosa1lm/items/WR8UY98Y"],"itemData":{"id":358,"type":"article-journal","abstract":"Resource selection functions are powerful tools for predicting habitat selection of animals. Recently, machine-learning methods such as random forest have gained popularity for predicting habitat selection due to their flexibility and strong predictive performance.","container-title":"Landscape Ecology","DOI":"10.1007/s10980-024-01903-2","ISSN":"1572-9761","issue":"5","journalAbbreviation":"Landsc Ecol","language":"en","page":"106","source":"Springer Link","title":"Machine learning allows for large-scale habitat prediction of a wide-ranging carnivore across diverse ecoregions","volume":"39","author":[{"family":"O’Malley","given":"W. Connor"},{"family":"Elbroch","given":"L. Mark"},{"family":"Zeller","given":"Katherine A."},{"family":"Beier","given":"Paul"},{"family":"Beale","given":"Meghan M."},{"family":"Beausoleil","given":"Richard A."},{"family":"Kertson","given":"Brian"},{"family":"Knopff","given":"Kyle"},{"family":"Kunkel","given":"Kryan"},{"family":"Maletzke","given":"Benjamin T."},{"family":"Martins","given":"Quinton"},{"family":"Matchett","given":"Marc R."},{"family":"Wilmers","given":"Christopher C."},{"family":"Wittmer","given":"Heiko U."},{"family":"Vickers","given":"Winston"},{"family":"Sager-Fradkin","given":"Kimberly"},{"family":"Robinson","given":"Hugh"}],"issued":{"date-parts":[["2024",5,15]]}}}],"schema":"https://github.com/citation-style-language/schema/raw/master/csl-citation.json"} </w:instrText>
      </w:r>
      <w:r w:rsidR="001B5C0A">
        <w:rPr>
          <w:rFonts w:ascii="Arial" w:hAnsi="Arial" w:cs="Arial"/>
          <w:color w:val="000000"/>
          <w:sz w:val="21"/>
          <w:szCs w:val="21"/>
        </w:rPr>
        <w:fldChar w:fldCharType="separate"/>
      </w:r>
      <w:r w:rsidR="0050478C" w:rsidRPr="0050478C">
        <w:rPr>
          <w:rFonts w:ascii="Arial" w:hAnsi="Arial" w:cs="Arial"/>
          <w:sz w:val="21"/>
        </w:rPr>
        <w:t>(O’Malley et al. 2024)</w:t>
      </w:r>
      <w:r w:rsidR="001B5C0A">
        <w:rPr>
          <w:rFonts w:ascii="Arial" w:hAnsi="Arial" w:cs="Arial"/>
          <w:color w:val="000000"/>
          <w:sz w:val="21"/>
          <w:szCs w:val="21"/>
        </w:rPr>
        <w:fldChar w:fldCharType="end"/>
      </w:r>
      <w:r w:rsidRPr="00340959">
        <w:rPr>
          <w:rFonts w:ascii="Arial" w:hAnsi="Arial" w:cs="Arial"/>
          <w:color w:val="000000"/>
          <w:sz w:val="21"/>
          <w:szCs w:val="21"/>
        </w:rPr>
        <w:t xml:space="preserve">. The composite score was computed as a weighted average of normalized ranks; deployment was restricted to </w:t>
      </w:r>
      <w:r w:rsidR="00E40E38" w:rsidRPr="00E40E38">
        <w:rPr>
          <w:rFonts w:ascii="Arial" w:hAnsi="Arial" w:cs="Arial"/>
          <w:i/>
          <w:iCs/>
          <w:color w:val="000000"/>
          <w:sz w:val="21"/>
          <w:szCs w:val="21"/>
        </w:rPr>
        <w:t xml:space="preserve"> ensure consistency between the susceptibility-mapping and uncertainty-representation objectives, as hazard management relies on well-calibrated probabilities rather than deterministic point</w:t>
      </w:r>
      <w:r w:rsidR="00864D5E">
        <w:rPr>
          <w:rFonts w:ascii="Arial" w:hAnsi="Arial" w:cs="Arial"/>
          <w:i/>
          <w:iCs/>
          <w:color w:val="000000"/>
          <w:sz w:val="21"/>
          <w:szCs w:val="21"/>
        </w:rPr>
        <w:t xml:space="preserve"> predictions.</w:t>
      </w:r>
      <w:r w:rsidR="00E40E38" w:rsidRPr="00E40E38">
        <w:rPr>
          <w:rFonts w:ascii="Arial" w:hAnsi="Arial" w:cs="Arial"/>
          <w:i/>
          <w:iCs/>
          <w:color w:val="000000"/>
          <w:sz w:val="21"/>
          <w:szCs w:val="21"/>
        </w:rPr>
        <w:t xml:space="preserve"> </w:t>
      </w:r>
      <w:r w:rsidRPr="00340959">
        <w:rPr>
          <w:rFonts w:ascii="Arial" w:hAnsi="Arial" w:cs="Arial"/>
          <w:color w:val="000000"/>
          <w:sz w:val="21"/>
          <w:szCs w:val="21"/>
        </w:rPr>
        <w:t xml:space="preserve"> </w:t>
      </w:r>
      <w:r w:rsidR="009067BE"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{"citationID":"D2mCG71Y","properties":{"formattedCitation":"(Torizin et al. 2024)","plainCitation":"(Torizin et al. 2024)","noteIndex":0},"citationItems":[{"id":171,"uris":["http://zotero.org/users/local/emosa1lm/items/XAFFQC6B"],"itemData":{"id":171,"type":"article-journal","abstract":"Abstract The paper presents the framework and discusses the outcomes of the \"Mass Movements in Germany\" project—a collaboration of five State Geological Surveys (SGSs) and the Federal Institute for Geosciences and Natural Resources (BGR) to conduct a feasibility study for a nationwide landslide susceptibility map in Germany using harmonized datasets. Therefore, distinct methods representing heuristic, physically-based, and data-driven approaches were employed. In 14 consecutive modeling cases, we investigated parameter selection and preparation, model building, evaluation, and transferability issues. The results show that nationally harmonized datasets, deemed high-quality, exhibited data generalization at regional scales, affecting the reliability of the landslide susceptibility patterns. While using regional datasets on larger scales mitigated some generalization effects, heterogeneities in inventory datasets among distinct federal states pose challenges in creating a nationwide applicable model. Heterogeneous data require locally adjusted model designs affecting the model's transferability and comparability of data-driven models across large regions. Heuristic methods operate without observational data but require in-depth knowledge of the regional-geological conditions by involving expert groups rather than single experts. The physically-based model shows promising results with parametrization based on the pedotransfer functions and soil database supplementing the national soil map. However, this approach is limited to shallow translational landslides. Thus, considering all mass movement types, a single comprehensive approach for creating a nationwide landslide susceptibility map for Germany is currently not feasible. Close collaboration and further harmonization of datasets and methods involving all SGSs are needed.","container-title":"Bulletin of Engineering Geology and the Environment","DOI":"10.1007/s10064-024-03691-0","ISSN":"1435-9529, 1435-9537","issue":"6","publisher":"Springer Science+Business Media","title":"Project ‘‘Mass Movements in Germany’’ and its implications for nationwide landslide susceptibility assessment","URL":"https://doi.org/10.1007/s10064-024-03691-0","volume":"83","author":[{"family":"Torizin","given":"Jewgenij"},{"family":"Fuchs","given":"Michael"},{"family":"Balzer","given":"Dirk"},{"family":"Kuhn","given":"Dirk"},{"family":"Glaser","given":"Stefan"},{"family":"Ehret","given":"Dominik"},{"family":"Wiedenmann","given":"Johannes"},{"family":"Dommaschk","given":"Peter"},{"family":"Henscheid","given":"Stefan"},{"family":"Strauß","given":"Roland"}],"issued":{"date-parts":[["2024",5]]}}}],"schema":"https://github.com/citation-style-language/schema/raw/master/csl-citation.json"} </w:instrText>
      </w:r>
      <w:r w:rsidR="009067BE" w:rsidRPr="00340959">
        <w:rPr>
          <w:rFonts w:ascii="Arial" w:hAnsi="Arial" w:cs="Arial"/>
          <w:color w:val="000000"/>
          <w:sz w:val="21"/>
          <w:szCs w:val="21"/>
        </w:rPr>
        <w:fldChar w:fldCharType="separate"/>
      </w:r>
      <w:r w:rsidR="0050478C" w:rsidRPr="0050478C">
        <w:rPr>
          <w:rFonts w:ascii="Arial" w:hAnsi="Arial" w:cs="Arial"/>
          <w:sz w:val="21"/>
        </w:rPr>
        <w:t>(Torizin et al. 2024)</w:t>
      </w:r>
      <w:r w:rsidR="009067BE" w:rsidRPr="00340959">
        <w:rPr>
          <w:rFonts w:ascii="Arial" w:hAnsi="Arial" w:cs="Arial"/>
          <w:color w:val="000000"/>
          <w:sz w:val="21"/>
          <w:szCs w:val="21"/>
        </w:rPr>
        <w:fldChar w:fldCharType="end"/>
      </w:r>
      <w:r w:rsidRPr="00340959">
        <w:rPr>
          <w:rFonts w:ascii="Arial" w:hAnsi="Arial" w:cs="Arial"/>
          <w:color w:val="000000"/>
          <w:sz w:val="21"/>
          <w:szCs w:val="21"/>
        </w:rPr>
        <w:t>.</w:t>
      </w:r>
    </w:p>
    <w:p w14:paraId="4584992C" w14:textId="6EC6B0DC" w:rsidR="00904121" w:rsidRPr="00340959" w:rsidRDefault="00904121"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In order to promote decision-oriented interpretation, susceptibility and predictive uncertainty were jointly visualized using a bivariate classification scheme</w:t>
      </w:r>
      <w:r w:rsidR="009067BE" w:rsidRPr="00340959">
        <w:rPr>
          <w:rFonts w:ascii="Arial" w:hAnsi="Arial" w:cs="Arial"/>
          <w:color w:val="000000"/>
          <w:sz w:val="21"/>
          <w:szCs w:val="21"/>
        </w:rPr>
        <w:t xml:space="preserve"> </w:t>
      </w:r>
      <w:r w:rsidR="00EC71F6">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{"citationID":"CCkWmYA5","properties":{"formattedCitation":"(Schl\\uc0\\u246{}gl et al. 2025)","plainCitation":"(Schlögl et al. 2025)","noteIndex":0},"citationItems":[{"id":314,"uris":["http://zotero.org/users/local/emosa1lm/items/IQKA5QEZ"],"itemData":{"id":314,"type":"article-journal","abstract":"Effectively communicating uncertainties inherent to statistical models is a challenging yet crucial aspect of the modelling process. This is particularly important in applied research, where output is used and interpreted by scientists and decision-makers alike. In disaster risk reduction, susceptibility maps for natural hazards are vital for spatial planning and risk assessment. We present a novel type of landslide susceptibility map that jointly visualizes the estimated susceptibility and the corresponding prediction uncertainty, using an example from a mountainous region in Carinthia, Austria. We also provide implementation guidelines to create such maps using popular free and open-source software packages.","container-title":"Natural Hazards and Earth System Sciences","DOI":"10.5194/nhess-25-1425-2025","ISSN":"1561-8633","issue":"4","language":"English","page":"1425-1437","publisher":"Copernicus GmbH","source":"Copernicus Online Journals","title":"Brief communication: Visualizing uncertainties in landslide susceptibility modelling using bivariate mapping","title-short":"Brief communication","volume":"25","author":[{"family":"Schlögl","given":"Matthias"},{"family":"Graser","given":"Anita"},{"family":"Spiekermann","given":"Raphael"},{"family":"Lampert","given":"Jasmin"},{"family":"Steger","given":"Stefan"}],"issued":{"date-parts":[["2025",4,14]]}}}],"schema":"https://github.com/citation-style-language/schema/raw/master/csl-citation.json"} </w:instrText>
      </w:r>
      <w:r w:rsidR="00EC71F6">
        <w:rPr>
          <w:rFonts w:ascii="Arial" w:hAnsi="Arial" w:cs="Arial"/>
          <w:color w:val="000000"/>
          <w:sz w:val="21"/>
          <w:szCs w:val="21"/>
        </w:rPr>
        <w:fldChar w:fldCharType="separate"/>
      </w:r>
      <w:r w:rsidR="0050478C" w:rsidRPr="0050478C">
        <w:rPr>
          <w:rFonts w:ascii="Arial" w:hAnsi="Arial" w:cs="Arial"/>
          <w:sz w:val="21"/>
        </w:rPr>
        <w:t>(Schlögl et al. 2025)</w:t>
      </w:r>
      <w:r w:rsidR="00EC71F6">
        <w:rPr>
          <w:rFonts w:ascii="Arial" w:hAnsi="Arial" w:cs="Arial"/>
          <w:color w:val="000000"/>
          <w:sz w:val="21"/>
          <w:szCs w:val="21"/>
        </w:rPr>
        <w:fldChar w:fldCharType="end"/>
      </w:r>
      <w:r w:rsidRPr="00340959">
        <w:rPr>
          <w:rFonts w:ascii="Arial" w:hAnsi="Arial" w:cs="Arial"/>
          <w:color w:val="000000"/>
          <w:sz w:val="21"/>
          <w:szCs w:val="21"/>
        </w:rPr>
        <w:t>. Quantile thresholds were applied to obtain three ordinal classes (low, moderate, and high) for continuous susceptibility probabilities</w:t>
      </w:r>
      <w:r w:rsidR="00EE403A">
        <w:rPr>
          <w:rFonts w:ascii="Arial" w:hAnsi="Arial" w:cs="Arial"/>
          <w:color w:val="000000"/>
          <w:sz w:val="21"/>
          <w:szCs w:val="21"/>
        </w:rPr>
        <w:t xml:space="preserve">, as well as for </w:t>
      </w:r>
      <w:r w:rsidR="00E40E38">
        <w:rPr>
          <w:rFonts w:ascii="Arial" w:hAnsi="Arial" w:cs="Arial"/>
          <w:color w:val="000000"/>
          <w:sz w:val="21"/>
          <w:szCs w:val="21"/>
        </w:rPr>
        <w:t xml:space="preserve">normalised </w:t>
      </w:r>
      <w:r w:rsidR="00EE403A">
        <w:rPr>
          <w:rFonts w:ascii="Arial" w:hAnsi="Arial" w:cs="Arial"/>
          <w:color w:val="000000"/>
          <w:sz w:val="21"/>
          <w:szCs w:val="21"/>
        </w:rPr>
        <w:t>predictive variance class variables, thereby preserving a</w:t>
      </w:r>
      <w:r w:rsidRPr="00340959">
        <w:rPr>
          <w:rFonts w:ascii="Arial" w:hAnsi="Arial" w:cs="Arial"/>
          <w:color w:val="000000"/>
          <w:sz w:val="21"/>
          <w:szCs w:val="21"/>
        </w:rPr>
        <w:t xml:space="preserve"> balanced spatial representation. The resulting 3 × 3 matrix was used to combine these classes into nine composite categories representing all combinations of susceptibility–uncertainty</w:t>
      </w:r>
      <w:r w:rsidR="009067BE" w:rsidRPr="00340959">
        <w:rPr>
          <w:rFonts w:ascii="Arial" w:hAnsi="Arial" w:cs="Arial"/>
          <w:color w:val="000000"/>
          <w:sz w:val="21"/>
          <w:szCs w:val="21"/>
        </w:rPr>
        <w:t xml:space="preserve"> </w:t>
      </w:r>
      <w:r w:rsidR="00C13C7B">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{"citationID":"J18cblo2","properties":{"formattedCitation":"(Ren et al. 2024)","plainCitation":"(Ren et al. 2024)","noteIndex":0},"citationItems":[{"id":312,"uris":["http://zotero.org/users/local/emosa1lm/items/E7AX23QN"],"itemData":{"id":312,"type":"article-journal","abstract":"Rain-induced landslides are one of the most recurrent geohazards around the world, posing great threats to the safety and property of people living in mountainous areas. One of the most effective strategies for rain-induced landslide risk management and reduction is to analyze landslide susceptibility during rain events. To characterize the impact of varying rainfall conditions on landslide occurrence, a maximum rolling rainfall index (MRRI) is proposed in this study for the spatiotemporal landslide susceptibility modeling. During rainfall, MRRI can be updated based on the real-time maximum rolling 2-, 4-, 6-, 8-, 12-, 18-, and 24-h rainfall data. Furthermore, a spatiotemporal landslide susceptibility modeling approach, in which the MRRI index is taken as a conditioning factor, is developed. To illustrate the effectiveness and versatility of the proposed approach, landslide susceptibility models based on the random forest technique are trained in the central area of Hong Kong. The resulting landslide susceptibility models are then applied to two historical rainstorms, and the application results show that derived time-series landslide susceptibility maps are in good agreement with the spatial distribution of real landslides.","container-title":"Landslides","DOI":"10.1007/s10346-023-02152-1","ISSN":"1612-5118","issue":"2","journalAbbreviation":"Landslides","language":"en","page":"257-273","source":"Springer Link","title":"An ensemble of dynamic rainfall index and machine learning method for spatiotemporal landslide susceptibility modeling","volume":"21","author":[{"family":"Ren","given":"Tianhe"},{"family":"Gao","given":"Liang"},{"family":"Gong","given":"Wenping"}],"issued":{"date-parts":[["2024",2,1]]}}}],"schema":"https://github.com/citation-style-language/schema/raw/master/csl-citation.json"} </w:instrText>
      </w:r>
      <w:r w:rsidR="00C13C7B">
        <w:rPr>
          <w:rFonts w:ascii="Arial" w:hAnsi="Arial" w:cs="Arial"/>
          <w:color w:val="000000"/>
          <w:sz w:val="21"/>
          <w:szCs w:val="21"/>
        </w:rPr>
        <w:fldChar w:fldCharType="separate"/>
      </w:r>
      <w:r w:rsidR="0050478C" w:rsidRPr="0050478C">
        <w:rPr>
          <w:rFonts w:ascii="Arial" w:hAnsi="Arial" w:cs="Arial"/>
          <w:sz w:val="21"/>
        </w:rPr>
        <w:t>(Ren et al. 2024)</w:t>
      </w:r>
      <w:r w:rsidR="00C13C7B">
        <w:rPr>
          <w:rFonts w:ascii="Arial" w:hAnsi="Arial" w:cs="Arial"/>
          <w:color w:val="000000"/>
          <w:sz w:val="21"/>
          <w:szCs w:val="21"/>
        </w:rPr>
        <w:fldChar w:fldCharType="end"/>
      </w:r>
      <w:r w:rsidRPr="00340959">
        <w:rPr>
          <w:rFonts w:ascii="Arial" w:hAnsi="Arial" w:cs="Arial"/>
          <w:color w:val="000000"/>
          <w:sz w:val="21"/>
          <w:szCs w:val="21"/>
        </w:rPr>
        <w:t xml:space="preserve">. In this way, it permits the concurrent identification of high-susceptibility regions, confirmed by low infrastructural estimates (high susceptibility–low uncertainty), midzones with mixed characteristics (moderate combinations), and spatially uncertain predictions associated with significant indeterminacy. The bivariate representation enhances transparency by </w:t>
      </w:r>
      <w:r w:rsidR="001813BC" w:rsidRPr="00340959">
        <w:rPr>
          <w:rFonts w:ascii="Arial" w:hAnsi="Arial" w:cs="Arial"/>
          <w:color w:val="000000"/>
          <w:sz w:val="21"/>
          <w:szCs w:val="21"/>
        </w:rPr>
        <w:t>clearly demarcating</w:t>
      </w:r>
      <w:r w:rsidRPr="00340959">
        <w:rPr>
          <w:rFonts w:ascii="Arial" w:hAnsi="Arial" w:cs="Arial"/>
          <w:color w:val="000000"/>
          <w:sz w:val="21"/>
          <w:szCs w:val="21"/>
        </w:rPr>
        <w:t xml:space="preserve"> confidently identified hazard hotspots from those where elevated susceptibility co-occurs with reduced certainty in the </w:t>
      </w:r>
      <w:r w:rsidR="00492B1B">
        <w:rPr>
          <w:rFonts w:ascii="Arial" w:hAnsi="Arial" w:cs="Arial"/>
          <w:color w:val="000000"/>
          <w:sz w:val="21"/>
          <w:szCs w:val="21"/>
        </w:rPr>
        <w:t>predictions of the model</w:t>
      </w:r>
      <w:r w:rsidR="009067BE" w:rsidRPr="00340959">
        <w:rPr>
          <w:rFonts w:ascii="Arial" w:hAnsi="Arial" w:cs="Arial"/>
          <w:color w:val="000000"/>
          <w:sz w:val="21"/>
          <w:szCs w:val="21"/>
        </w:rPr>
        <w:t xml:space="preserve"> </w:t>
      </w:r>
      <w:r w:rsidR="009067BE"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{"citationID":"hBGLWMnD","properties":{"formattedCitation":"(Agrawal and Dixit 2023)","plainCitation":"(Agrawal and Dixit 2023)","noteIndex":0},"citationItems":[{"id":174,"uris":["http://zotero.org/users/local/emosa1lm/items/EXYGHXR8"],"itemData":{"id":174,"type":"article-journal","container-title":"Bulletin of Engineering Geology and the Environment","DOI":"10.1007/s10064-023-03188-2","ISSN":"1435-9529, 1435-9537","issue":"5","publisher":"Springer Science+Business Media","title":"GIS-based landslide susceptibility mapping of the Meghalaya-Shillong Plateau region using machine learning algorithms","URL":"https://doi.org/10.1007/s10064-023-03188-2","volume":"82","author":[{"family":"Agrawal","given":"Navdeep"},{"family":"Dixit","given":"Jagabandhu"}],"issued":{"date-parts":[["2023",4]]}}}],"schema":"https://github.com/citation-style-language/schema/raw/master/csl-citation.json"} </w:instrText>
      </w:r>
      <w:r w:rsidR="009067BE" w:rsidRPr="00340959">
        <w:rPr>
          <w:rFonts w:ascii="Arial" w:hAnsi="Arial" w:cs="Arial"/>
          <w:color w:val="000000"/>
          <w:sz w:val="21"/>
          <w:szCs w:val="21"/>
        </w:rPr>
        <w:fldChar w:fldCharType="separate"/>
      </w:r>
      <w:r w:rsidR="0050478C" w:rsidRPr="0050478C">
        <w:rPr>
          <w:rFonts w:ascii="Arial" w:hAnsi="Arial" w:cs="Arial"/>
          <w:sz w:val="21"/>
        </w:rPr>
        <w:t>(Agrawal and Dixit 2023)</w:t>
      </w:r>
      <w:r w:rsidR="009067BE" w:rsidRPr="00340959">
        <w:rPr>
          <w:rFonts w:ascii="Arial" w:hAnsi="Arial" w:cs="Arial"/>
          <w:color w:val="000000"/>
          <w:sz w:val="21"/>
          <w:szCs w:val="21"/>
        </w:rPr>
        <w:fldChar w:fldCharType="end"/>
      </w:r>
      <w:r w:rsidRPr="00340959">
        <w:rPr>
          <w:rFonts w:ascii="Arial" w:hAnsi="Arial" w:cs="Arial"/>
          <w:color w:val="000000"/>
          <w:sz w:val="21"/>
          <w:szCs w:val="21"/>
        </w:rPr>
        <w:t>.</w:t>
      </w:r>
    </w:p>
    <w:p w14:paraId="6972E559" w14:textId="001E1C88" w:rsidR="005B28E8" w:rsidRPr="00340959" w:rsidRDefault="00904121" w:rsidP="00340959">
      <w:pPr>
        <w:spacing w:before="0" w:after="0" w:line="360" w:lineRule="auto"/>
        <w:jc w:val="both"/>
        <w:rPr>
          <w:rFonts w:ascii="Arial" w:hAnsi="Arial" w:cs="Arial"/>
          <w:sz w:val="21"/>
          <w:szCs w:val="21"/>
        </w:rPr>
      </w:pPr>
      <w:r w:rsidRPr="00340959">
        <w:rPr>
          <w:rFonts w:ascii="Arial" w:hAnsi="Arial" w:cs="Arial"/>
          <w:color w:val="000000"/>
          <w:sz w:val="21"/>
          <w:szCs w:val="21"/>
        </w:rPr>
        <w:t xml:space="preserve">To evaluate the </w:t>
      </w:r>
      <w:r w:rsidR="004C449E">
        <w:rPr>
          <w:rFonts w:ascii="Arial" w:hAnsi="Arial" w:cs="Arial"/>
          <w:color w:val="000000"/>
          <w:sz w:val="21"/>
          <w:szCs w:val="21"/>
        </w:rPr>
        <w:t>effectiveness of spatial concentration for</w:t>
      </w:r>
      <w:r w:rsidRPr="00340959">
        <w:rPr>
          <w:rFonts w:ascii="Arial" w:hAnsi="Arial" w:cs="Arial"/>
          <w:color w:val="000000"/>
          <w:sz w:val="21"/>
          <w:szCs w:val="21"/>
        </w:rPr>
        <w:t xml:space="preserve"> susceptibility classes, the Seed Cell Area Index (SCAI) was computed for each tier. SCAI quantifies the ratio between the spatial proportion of a susceptibility class and the proportion of landslides occurring within that class </w:t>
      </w:r>
      <w:r w:rsidR="009067BE"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{"citationID":"ImpnwvTl","properties":{"formattedCitation":"(Singh et al. 2024)","plainCitation":"(Singh et al. 2024)","noteIndex":0},"citationItems":[{"id":175,"uris":["http://zotero.org/users/local/emosa1lm/items/Q335T8UY"],"itemData":{"id":175,"type":"article-journal","abstract":"Landslide susceptibility map (LSM) plays an important role in providing the knowledge of slopes prone to future landslides. However, the applicability of LSM is often hindered due to high cost of data collection especially in mountainous region such as Himalayas. Therefore, this study proposes transfer learning approach (TL) to improve the performance of LSM by transferring the information from the data rich region (source) to data scare region (target). Two machine learning based model are trained in source area which is then transferred for prediction in target area and a source trained model combined with the knowledge of target is used for the prediction in the target area. The applicability of the proposed approach is tested considering Mandi district as source area and Kullu and Rudraprayag districts as target areas. Independent variables which included 11 landslide conducive factors from the source and target area, the independence was critically analysed using multi-collinearity test, while the geomorphic similarity was assessed using KL divergence method. Efficient machine learning method such as random forest (RF) and multi-layer perceptron (MLP) was used to train the models in both areas, statistical measure such as AUC-ROC, precision, recall, F-score, and accuracy were used to evaluate the performance of the LSMs. The results demonstrated the proposed approach for target area 1, the AUC value increased from 0.908 (Target trained on itself), to 0.942 (Target-Transfer Learned (TL)) and 0.959 (Target Combined) for RF and 0.896, 0.907 and 0.946 for MLP. Additionally, an increase in the precision was observed in RF while all other statistical measures increased to 0.023 for precision, 0.022 for recall, 0.023 for F-score and 0.066 for accuracy in the case of MLP. While on the other hand, in the case of target area 2, the AUC value for RF, ranged from 0.95 (Target area trained on itself), 0.80 (target TL) and 0.98 (target combined) and for MLP the AUC ranged from 0.82 for the source trained model while 0.84 for LSM obtained when both target and source data was used. Thus, the results revealed that proposed TL approach can be effective in improving the performance of LSM in data scare region in Himalayan region, thereby providing a promising approach in overcoming the issue of data limitation.","container-title":"Scientific Reports","DOI":"10.1038/s41598-024-76541-4","ISSN":"2045-2322","issue":"1","PMID":"39580472","publisher":"Nature Portfolio","title":"“Ensembled transfer learning approach for error reduction in landslide susceptibility mapping of the data scare region”","URL":"https://doi.org/10.1038/s41598-024-76541-4","volume":"14","author":[{"family":"Singh","given":"Ankit"},{"family":"Dhiman","given":"Nitesh"},{"family":"Niraj","given":"K. C."},{"family":"Shukla","given":"Dericks Praise"}],"issued":{"date-parts":[["2024",11]]}}}],"schema":"https://github.com/citation-style-language/schema/raw/master/csl-citation.json"} </w:instrText>
      </w:r>
      <w:r w:rsidR="009067BE" w:rsidRPr="00340959">
        <w:rPr>
          <w:rFonts w:ascii="Arial" w:hAnsi="Arial" w:cs="Arial"/>
          <w:color w:val="000000"/>
          <w:sz w:val="21"/>
          <w:szCs w:val="21"/>
        </w:rPr>
        <w:fldChar w:fldCharType="separate"/>
      </w:r>
      <w:r w:rsidR="0050478C" w:rsidRPr="0050478C">
        <w:rPr>
          <w:rFonts w:ascii="Arial" w:hAnsi="Arial" w:cs="Arial"/>
          <w:sz w:val="21"/>
        </w:rPr>
        <w:t>(Singh et al. 2024)</w:t>
      </w:r>
      <w:r w:rsidR="009067BE" w:rsidRPr="00340959">
        <w:rPr>
          <w:rFonts w:ascii="Arial" w:hAnsi="Arial" w:cs="Arial"/>
          <w:color w:val="000000"/>
          <w:sz w:val="21"/>
          <w:szCs w:val="21"/>
        </w:rPr>
        <w:fldChar w:fldCharType="end"/>
      </w:r>
      <w:r w:rsidRPr="00340959">
        <w:rPr>
          <w:rFonts w:ascii="Arial" w:hAnsi="Arial" w:cs="Arial"/>
          <w:color w:val="000000"/>
          <w:sz w:val="21"/>
          <w:szCs w:val="21"/>
        </w:rPr>
        <w:t xml:space="preserve">. Lower SCAI values in higher susceptibility tiers indicate improved concentration of landslides within smaller mapped areas, thereby reflecting more efficient hazard delineation </w:t>
      </w:r>
      <w:r w:rsidR="00C13C7B">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{"citationID":"Z0tjAUMZ","properties":{"formattedCitation":"(Di Napoli et al. 2023)","plainCitation":"(Di Napoli et al. 2023)","noteIndex":0},"citationItems":[{"id":310,"uris":["http://zotero.org/users/local/emosa1lm/items/EFKI7D2X"],"itemData":{"id":310,"type":"article-journal","abstract":"In recent decades, developing countries have experienced an increase in the impact of natural disasters due to ongoing climate change and the sustained expansion of urban areas. The intrinsic vulnerability of settlements, due to poverty and poor governance, as well as the lack of tools for urban occupation planning and mitigation protocols, has made such impacts particularly severe. Cuenca (Ecuador) is a significant example of a city that in recent decades has experienced considerable population growth (i.e. exposure) and an associated increase in loss due to landslide occurrence. Despite such effects, updated urban planning tools are absent, so an evaluation of multitemporal exposure to landslides and related risks is required. In this perspective, a potential urban planning tool is presented based on updated data depicting the spatial distribution of landslides and their predisposing factors, as well as population change between 2010 and 2020. In addition, a multitemporal analysis accounting for changes in exposure between 2010 and 2020 and an estimation of relative landside risk was carried out. Due to the absence of spatially distributed population data, energy supply contract data have been used as a proxy of the population. The results show that the current higher exposure and related relative risk are estimated for parishes (parroquias) located in the southern sector of the study area (i.e. Turi, Santa Ana, Tarqui, Nulti, Baños and Paccha). Moreover, the exposure multitemporal analysis indicates that most parishes located in the hilly areas bounding the city centre (i.e. Sayausi, San Joaquin, Tarqui, Sidcay, Baños, Ricaurte, Paccha and Chiquintad) are experiencing sustained population growth and will be potentially exposed to an increased risk with a consistently growing trend. The obtained relative risk map can be considered a valuable tool for guiding land planning, land management, occupation restriction and early warning strategy adoption in the area. The methodological approach used, which accounts for landslide susceptibility and population variation through proxy data analysis, has the potential to be applied in a similar context of growing population cities in low- to mid-income countries, where data usually needed for a comprehensive landslide risk analysis are non-existing or only partially available.","container-title":"Landslides","DOI":"10.1007/s10346-023-02065-z","ISSN":"1612-5118","issue":"9","journalAbbreviation":"Landslides","language":"en","page":"1781-1795","source":"Springer Link","title":"Multitemporal relative landslide exposure and risk analysis for the sustainable development of rapidly growing cities","volume":"20","author":[{"family":"Di Napoli","given":"Mariano"},{"family":"Miele","given":"Pietro"},{"family":"Guerriero","given":"Luigi"},{"family":"Annibali Corona","given":"Mariagiulia"},{"family":"Calcaterra","given":"Domenico"},{"family":"Ramondini","given":"Massimo"},{"family":"Sellers","given":"Chester"},{"family":"Di Martire","given":"Diego"}],"issued":{"date-parts":[["2023",9,1]]}}}],"schema":"https://github.com/citation-style-language/schema/raw/master/csl-citation.json"} </w:instrText>
      </w:r>
      <w:r w:rsidR="00C13C7B">
        <w:rPr>
          <w:rFonts w:ascii="Arial" w:hAnsi="Arial" w:cs="Arial"/>
          <w:color w:val="000000"/>
          <w:sz w:val="21"/>
          <w:szCs w:val="21"/>
        </w:rPr>
        <w:fldChar w:fldCharType="separate"/>
      </w:r>
      <w:r w:rsidR="0050478C" w:rsidRPr="0050478C">
        <w:rPr>
          <w:rFonts w:ascii="Arial" w:hAnsi="Arial" w:cs="Arial"/>
          <w:sz w:val="21"/>
        </w:rPr>
        <w:t>(Di Napoli et al. 2023)</w:t>
      </w:r>
      <w:r w:rsidR="00C13C7B">
        <w:rPr>
          <w:rFonts w:ascii="Arial" w:hAnsi="Arial" w:cs="Arial"/>
          <w:color w:val="000000"/>
          <w:sz w:val="21"/>
          <w:szCs w:val="21"/>
        </w:rPr>
        <w:fldChar w:fldCharType="end"/>
      </w:r>
      <w:r w:rsidRPr="00340959">
        <w:rPr>
          <w:rFonts w:ascii="Arial" w:hAnsi="Arial" w:cs="Arial"/>
          <w:color w:val="000000"/>
          <w:sz w:val="21"/>
          <w:szCs w:val="21"/>
        </w:rPr>
        <w:t>.</w:t>
      </w:r>
    </w:p>
    <w:p w14:paraId="50471CC9" w14:textId="77777777" w:rsidR="009F7D21" w:rsidRPr="00340959" w:rsidRDefault="009F7D21" w:rsidP="00340959">
      <w:pPr>
        <w:pStyle w:val="Heading1"/>
        <w:spacing w:before="0" w:after="0" w:line="360" w:lineRule="auto"/>
        <w:jc w:val="both"/>
        <w:rPr>
          <w:rFonts w:ascii="Arial" w:hAnsi="Arial" w:cs="Arial"/>
          <w:color w:val="000000"/>
          <w:sz w:val="21"/>
          <w:szCs w:val="21"/>
        </w:rPr>
      </w:pPr>
    </w:p>
    <w:p w14:paraId="77D566DD" w14:textId="44AED2C7" w:rsidR="005B28E8" w:rsidRPr="00B61B2F" w:rsidRDefault="00000000" w:rsidP="00340959">
      <w:pPr>
        <w:pStyle w:val="Heading1"/>
        <w:spacing w:before="0" w:after="0" w:line="360" w:lineRule="auto"/>
        <w:rPr>
          <w:rFonts w:ascii="Arial" w:hAnsi="Arial" w:cs="Arial"/>
          <w:b/>
          <w:bCs/>
          <w:color w:val="7030A0"/>
          <w:sz w:val="21"/>
          <w:szCs w:val="21"/>
        </w:rPr>
      </w:pPr>
      <w:r w:rsidRPr="00B61B2F">
        <w:rPr>
          <w:rFonts w:ascii="Arial" w:hAnsi="Arial" w:cs="Arial"/>
          <w:b/>
          <w:bCs/>
          <w:color w:val="7030A0"/>
          <w:sz w:val="21"/>
          <w:szCs w:val="21"/>
        </w:rPr>
        <w:t>Results</w:t>
      </w:r>
    </w:p>
    <w:p w14:paraId="50D81CD4" w14:textId="77777777" w:rsidR="005B28E8" w:rsidRPr="00B61B2F" w:rsidRDefault="00000000" w:rsidP="00340959">
      <w:pPr>
        <w:pStyle w:val="Heading2"/>
        <w:spacing w:before="0" w:after="0" w:line="360" w:lineRule="auto"/>
        <w:rPr>
          <w:rFonts w:ascii="Arial" w:hAnsi="Arial" w:cs="Arial"/>
          <w:b/>
          <w:bCs/>
          <w:color w:val="000000" w:themeColor="text1"/>
          <w:sz w:val="21"/>
          <w:szCs w:val="21"/>
        </w:rPr>
      </w:pPr>
      <w:r w:rsidRPr="00B61B2F">
        <w:rPr>
          <w:rFonts w:ascii="Arial" w:hAnsi="Arial" w:cs="Arial"/>
          <w:b/>
          <w:bCs/>
          <w:color w:val="000000" w:themeColor="text1"/>
          <w:sz w:val="21"/>
          <w:szCs w:val="21"/>
        </w:rPr>
        <w:t>Multicollinearity analysis</w:t>
      </w:r>
    </w:p>
    <w:p w14:paraId="0DD6C444" w14:textId="4DFBA26D" w:rsidR="005B28E8" w:rsidRPr="00340959"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Multicollinearity diagnostics confirmed that all fourteen conditioning factors met the predefined thresholds (VIF &lt; 5; TOL &gt; 0.20). No predictors were excluded in this dataset</w:t>
      </w:r>
      <w:r w:rsidR="00492B1B">
        <w:rPr>
          <w:rFonts w:ascii="Arial" w:hAnsi="Arial" w:cs="Arial"/>
          <w:color w:val="000000"/>
          <w:sz w:val="21"/>
          <w:szCs w:val="21"/>
        </w:rPr>
        <w:t>, as shown in Figure 4</w:t>
      </w:r>
      <w:r w:rsidRPr="00340959">
        <w:rPr>
          <w:rFonts w:ascii="Arial" w:hAnsi="Arial" w:cs="Arial"/>
          <w:color w:val="000000"/>
          <w:sz w:val="21"/>
          <w:szCs w:val="21"/>
        </w:rPr>
        <w:t xml:space="preserve">. VIF values ranged from 1.12 to 3.32, indicating low to moderate multicollinearity. Tolerance values (0.30–0.90) further confirmed the absence of critical redundancy in the data set. Overall, the predictor set was statistically stable and suitable for both Bayesian and benchmark </w:t>
      </w:r>
      <w:r w:rsidR="00162937">
        <w:rPr>
          <w:rFonts w:ascii="Arial" w:hAnsi="Arial" w:cs="Arial"/>
          <w:color w:val="000000"/>
          <w:sz w:val="21"/>
          <w:szCs w:val="21"/>
        </w:rPr>
        <w:t>modeling</w:t>
      </w:r>
      <w:r w:rsidR="0061123F" w:rsidRPr="00340959">
        <w:rPr>
          <w:rFonts w:ascii="Arial" w:hAnsi="Arial" w:cs="Arial"/>
          <w:color w:val="000000"/>
          <w:sz w:val="21"/>
          <w:szCs w:val="21"/>
        </w:rPr>
        <w:t xml:space="preserve"> </w:t>
      </w:r>
      <w:r w:rsidRPr="00340959">
        <w:rPr>
          <w:rFonts w:ascii="Arial" w:hAnsi="Arial" w:cs="Arial"/>
          <w:color w:val="000000"/>
          <w:sz w:val="21"/>
          <w:szCs w:val="21"/>
        </w:rPr>
        <w:t>for landslide susceptibility mapping.</w:t>
      </w:r>
    </w:p>
    <w:p w14:paraId="0334109D" w14:textId="51156D38" w:rsidR="005B28E8" w:rsidRPr="00340959" w:rsidRDefault="0061123F" w:rsidP="00417152">
      <w:pPr>
        <w:spacing w:before="0" w:after="0" w:line="360" w:lineRule="auto"/>
        <w:jc w:val="center"/>
        <w:rPr>
          <w:rFonts w:ascii="Arial" w:hAnsi="Arial" w:cs="Arial"/>
          <w:sz w:val="21"/>
          <w:szCs w:val="21"/>
        </w:rPr>
      </w:pPr>
      <w:r>
        <w:rPr>
          <w:rFonts w:ascii="Arial" w:hAnsi="Arial" w:cs="Arial"/>
          <w:noProof/>
          <w:sz w:val="21"/>
          <w:szCs w:val="21"/>
        </w:rPr>
        <w:lastRenderedPageBreak/>
        <w:drawing>
          <wp:inline distT="0" distB="0" distL="0" distR="0" wp14:anchorId="0EE3A841" wp14:editId="4A1A261A">
            <wp:extent cx="6280150" cy="4054475"/>
            <wp:effectExtent l="0" t="0" r="6350" b="3175"/>
            <wp:docPr id="1845551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1223" name="Picture 18455512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0150" cy="4054475"/>
                    </a:xfrm>
                    <a:prstGeom prst="rect">
                      <a:avLst/>
                    </a:prstGeom>
                  </pic:spPr>
                </pic:pic>
              </a:graphicData>
            </a:graphic>
          </wp:inline>
        </w:drawing>
      </w:r>
    </w:p>
    <w:p w14:paraId="7F6E1B71" w14:textId="7A1D6405" w:rsidR="005B28E8" w:rsidRPr="00340959" w:rsidRDefault="00000000" w:rsidP="00340959">
      <w:pPr>
        <w:spacing w:before="0" w:after="0" w:line="360" w:lineRule="auto"/>
        <w:jc w:val="center"/>
        <w:rPr>
          <w:rFonts w:ascii="Arial" w:hAnsi="Arial" w:cs="Arial"/>
          <w:i/>
          <w:iCs/>
          <w:color w:val="000000"/>
          <w:sz w:val="21"/>
          <w:szCs w:val="21"/>
        </w:rPr>
      </w:pPr>
      <w:commentRangeStart w:id="5"/>
      <w:commentRangeStart w:id="6"/>
      <w:r w:rsidRPr="00340959">
        <w:rPr>
          <w:rFonts w:ascii="Arial" w:hAnsi="Arial" w:cs="Arial"/>
          <w:i/>
          <w:iCs/>
          <w:color w:val="000000"/>
          <w:sz w:val="21"/>
          <w:szCs w:val="21"/>
        </w:rPr>
        <w:t>Figure 4</w:t>
      </w:r>
      <w:r w:rsidR="009F7D21" w:rsidRPr="00340959">
        <w:rPr>
          <w:rFonts w:ascii="Arial" w:hAnsi="Arial" w:cs="Arial"/>
          <w:i/>
          <w:iCs/>
          <w:color w:val="000000"/>
          <w:sz w:val="21"/>
          <w:szCs w:val="21"/>
        </w:rPr>
        <w:t>:</w:t>
      </w:r>
      <w:r w:rsidRPr="00340959">
        <w:rPr>
          <w:rFonts w:ascii="Arial" w:hAnsi="Arial" w:cs="Arial"/>
          <w:i/>
          <w:iCs/>
          <w:color w:val="000000"/>
          <w:sz w:val="21"/>
          <w:szCs w:val="21"/>
        </w:rPr>
        <w:t xml:space="preserve"> VIF and tolerance profile for the conditioning factors.</w:t>
      </w:r>
      <w:commentRangeEnd w:id="5"/>
      <w:r w:rsidR="0050478C" w:rsidRPr="00340959">
        <w:rPr>
          <w:rStyle w:val="CommentReference"/>
          <w:rFonts w:ascii="Arial" w:hAnsi="Arial" w:cs="Arial"/>
          <w:i/>
          <w:iCs/>
          <w:color w:val="000000"/>
          <w:sz w:val="21"/>
          <w:szCs w:val="21"/>
        </w:rPr>
        <w:commentReference w:id="5"/>
      </w:r>
      <w:commentRangeEnd w:id="6"/>
      <w:r w:rsidR="003406BA" w:rsidRPr="00340959">
        <w:rPr>
          <w:rStyle w:val="CommentReference"/>
          <w:rFonts w:ascii="Arial" w:hAnsi="Arial" w:cs="Arial"/>
          <w:i/>
          <w:iCs/>
          <w:color w:val="000000"/>
          <w:sz w:val="21"/>
          <w:szCs w:val="21"/>
        </w:rPr>
        <w:commentReference w:id="6"/>
      </w:r>
    </w:p>
    <w:p w14:paraId="78A8209E" w14:textId="77777777" w:rsidR="009F7D21" w:rsidRPr="00340959" w:rsidRDefault="009F7D21" w:rsidP="00340959">
      <w:pPr>
        <w:spacing w:before="0" w:after="0" w:line="360" w:lineRule="auto"/>
        <w:jc w:val="both"/>
        <w:rPr>
          <w:rFonts w:ascii="Arial" w:hAnsi="Arial" w:cs="Arial"/>
          <w:b/>
          <w:bCs/>
          <w:sz w:val="21"/>
          <w:szCs w:val="21"/>
        </w:rPr>
      </w:pPr>
    </w:p>
    <w:p w14:paraId="3E1FB809" w14:textId="03F409DB" w:rsidR="005B28E8" w:rsidRPr="00B61B2F" w:rsidRDefault="00000000" w:rsidP="00340959">
      <w:pPr>
        <w:pStyle w:val="Heading1"/>
        <w:spacing w:before="0" w:after="0" w:line="360" w:lineRule="auto"/>
        <w:rPr>
          <w:rFonts w:ascii="Arial" w:hAnsi="Arial" w:cs="Arial"/>
          <w:b/>
          <w:bCs/>
          <w:color w:val="000000" w:themeColor="text1"/>
          <w:sz w:val="21"/>
          <w:szCs w:val="21"/>
        </w:rPr>
      </w:pPr>
      <w:r w:rsidRPr="00B61B2F">
        <w:rPr>
          <w:rFonts w:ascii="Arial" w:hAnsi="Arial" w:cs="Arial"/>
          <w:b/>
          <w:bCs/>
          <w:color w:val="000000" w:themeColor="text1"/>
          <w:sz w:val="21"/>
          <w:szCs w:val="21"/>
        </w:rPr>
        <w:t>Holdout performance and multi-metric comparison</w:t>
      </w:r>
    </w:p>
    <w:p w14:paraId="4C5D83F3" w14:textId="1B210DF7" w:rsidR="00417152" w:rsidRDefault="00492F38" w:rsidP="003406BA">
      <w:pPr>
        <w:spacing w:before="0" w:after="0" w:line="360" w:lineRule="auto"/>
        <w:jc w:val="both"/>
        <w:rPr>
          <w:rFonts w:ascii="Arial" w:hAnsi="Arial" w:cs="Arial"/>
          <w:i/>
          <w:iCs/>
          <w:color w:val="000000"/>
          <w:sz w:val="21"/>
          <w:szCs w:val="21"/>
        </w:rPr>
      </w:pPr>
      <w:r w:rsidRPr="00340959">
        <w:rPr>
          <w:rFonts w:ascii="Arial" w:hAnsi="Arial" w:cs="Arial"/>
          <w:color w:val="000000"/>
          <w:sz w:val="21"/>
          <w:szCs w:val="21"/>
        </w:rPr>
        <w:t xml:space="preserve">In </w:t>
      </w:r>
      <w:r w:rsidR="00567FB5" w:rsidRPr="00340959">
        <w:rPr>
          <w:rFonts w:ascii="Arial" w:hAnsi="Arial" w:cs="Arial"/>
          <w:color w:val="000000"/>
          <w:sz w:val="21"/>
          <w:szCs w:val="21"/>
        </w:rPr>
        <w:t xml:space="preserve">the </w:t>
      </w:r>
      <w:r w:rsidRPr="00340959">
        <w:rPr>
          <w:rFonts w:ascii="Arial" w:hAnsi="Arial" w:cs="Arial"/>
          <w:color w:val="000000"/>
          <w:sz w:val="21"/>
          <w:szCs w:val="21"/>
        </w:rPr>
        <w:t xml:space="preserve">independent holdout evaluation </w:t>
      </w:r>
      <w:r w:rsidR="00492B1B">
        <w:rPr>
          <w:rFonts w:ascii="Arial" w:hAnsi="Arial" w:cs="Arial"/>
          <w:color w:val="000000"/>
          <w:sz w:val="21"/>
          <w:szCs w:val="21"/>
        </w:rPr>
        <w:t>given in Table 2</w:t>
      </w:r>
      <w:r w:rsidRPr="00340959">
        <w:rPr>
          <w:rFonts w:ascii="Arial" w:hAnsi="Arial" w:cs="Arial"/>
          <w:color w:val="000000"/>
          <w:sz w:val="21"/>
          <w:szCs w:val="21"/>
        </w:rPr>
        <w:t xml:space="preserve">, Random Forest showed the strongest discrimination (ROC-AUC = 0.866; PR-AUC = 0.865) and overall agreement (MCC = 0.611). GPC (ROC-AUC = 0.821) achieved competitive discrimination among the Bayesian candidates and yielded the lowest calibration error overall (ECE = 0.084), indicating that GPC produced more reliable probabilities compared with BLR. Despite a high recall (0.774) reported by Bayesian logistic regression, lower precision and </w:t>
      </w:r>
      <w:r w:rsidR="001813BC" w:rsidRPr="00340959">
        <w:rPr>
          <w:rFonts w:ascii="Arial" w:hAnsi="Arial" w:cs="Arial"/>
          <w:color w:val="000000"/>
          <w:sz w:val="21"/>
          <w:szCs w:val="21"/>
        </w:rPr>
        <w:t xml:space="preserve">a </w:t>
      </w:r>
      <w:r w:rsidRPr="00340959">
        <w:rPr>
          <w:rFonts w:ascii="Arial" w:hAnsi="Arial" w:cs="Arial"/>
          <w:color w:val="000000"/>
          <w:sz w:val="21"/>
          <w:szCs w:val="21"/>
        </w:rPr>
        <w:t xml:space="preserve">higher Brier score indicated weaker probabilistic performance. </w:t>
      </w:r>
      <w:r w:rsidR="00492B1B">
        <w:rPr>
          <w:rFonts w:ascii="Arial" w:hAnsi="Arial" w:cs="Arial"/>
          <w:color w:val="000000"/>
          <w:sz w:val="21"/>
          <w:szCs w:val="21"/>
        </w:rPr>
        <w:t xml:space="preserve">The performance curves in </w:t>
      </w:r>
      <w:r w:rsidR="0061123F">
        <w:rPr>
          <w:rFonts w:ascii="Arial" w:hAnsi="Arial" w:cs="Arial"/>
          <w:color w:val="000000"/>
          <w:sz w:val="21"/>
          <w:szCs w:val="21"/>
        </w:rPr>
        <w:t xml:space="preserve">Figure 5 for the AUC value </w:t>
      </w:r>
      <w:r w:rsidR="00492B1B">
        <w:rPr>
          <w:rFonts w:ascii="Arial" w:hAnsi="Arial" w:cs="Arial"/>
          <w:color w:val="000000"/>
          <w:sz w:val="21"/>
          <w:szCs w:val="21"/>
        </w:rPr>
        <w:t>confirm</w:t>
      </w:r>
      <w:r w:rsidRPr="00340959">
        <w:rPr>
          <w:rFonts w:ascii="Arial" w:hAnsi="Arial" w:cs="Arial"/>
          <w:color w:val="000000"/>
          <w:sz w:val="21"/>
          <w:szCs w:val="21"/>
        </w:rPr>
        <w:t xml:space="preserve"> that RF prevails in the discrimination space. </w:t>
      </w:r>
    </w:p>
    <w:p w14:paraId="0656EE28" w14:textId="7143AD55" w:rsidR="005B28E8" w:rsidRPr="00340959" w:rsidRDefault="00000000" w:rsidP="00417152">
      <w:pPr>
        <w:spacing w:before="0" w:after="0" w:line="360" w:lineRule="auto"/>
        <w:jc w:val="center"/>
        <w:rPr>
          <w:rFonts w:ascii="Arial" w:hAnsi="Arial" w:cs="Arial"/>
          <w:i/>
          <w:iCs/>
          <w:sz w:val="21"/>
          <w:szCs w:val="21"/>
        </w:rPr>
      </w:pPr>
      <w:r w:rsidRPr="00340959">
        <w:rPr>
          <w:rFonts w:ascii="Arial" w:hAnsi="Arial" w:cs="Arial"/>
          <w:i/>
          <w:iCs/>
          <w:color w:val="000000"/>
          <w:sz w:val="21"/>
          <w:szCs w:val="21"/>
        </w:rPr>
        <w:t>Table 2</w:t>
      </w:r>
      <w:r w:rsidR="009F1E39" w:rsidRPr="00340959">
        <w:rPr>
          <w:rFonts w:ascii="Arial" w:hAnsi="Arial" w:cs="Arial"/>
          <w:i/>
          <w:iCs/>
          <w:color w:val="000000"/>
          <w:sz w:val="21"/>
          <w:szCs w:val="21"/>
        </w:rPr>
        <w:t>:</w:t>
      </w:r>
      <w:r w:rsidRPr="00340959">
        <w:rPr>
          <w:rFonts w:ascii="Arial" w:hAnsi="Arial" w:cs="Arial"/>
          <w:i/>
          <w:iCs/>
          <w:color w:val="000000"/>
          <w:sz w:val="21"/>
          <w:szCs w:val="21"/>
        </w:rPr>
        <w:t xml:space="preserve"> Holdout test performance (20% split).</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1114"/>
        <w:gridCol w:w="1114"/>
        <w:gridCol w:w="761"/>
        <w:gridCol w:w="688"/>
        <w:gridCol w:w="688"/>
        <w:gridCol w:w="1260"/>
        <w:gridCol w:w="1041"/>
        <w:gridCol w:w="688"/>
        <w:gridCol w:w="688"/>
      </w:tblGrid>
      <w:tr w:rsidR="005B28E8" w:rsidRPr="00340959" w14:paraId="400D0C3B" w14:textId="77777777" w:rsidTr="00492B1B">
        <w:trPr>
          <w:trHeight w:val="432"/>
          <w:jc w:val="center"/>
        </w:trPr>
        <w:tc>
          <w:tcPr>
            <w:tcW w:w="0" w:type="auto"/>
            <w:vAlign w:val="center"/>
          </w:tcPr>
          <w:p w14:paraId="4FFB205D"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Model</w:t>
            </w:r>
          </w:p>
        </w:tc>
        <w:tc>
          <w:tcPr>
            <w:tcW w:w="0" w:type="auto"/>
            <w:vAlign w:val="center"/>
          </w:tcPr>
          <w:p w14:paraId="7015739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Accuracy</w:t>
            </w:r>
          </w:p>
        </w:tc>
        <w:tc>
          <w:tcPr>
            <w:tcW w:w="0" w:type="auto"/>
            <w:vAlign w:val="center"/>
          </w:tcPr>
          <w:p w14:paraId="02003F9A"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Precision</w:t>
            </w:r>
          </w:p>
        </w:tc>
        <w:tc>
          <w:tcPr>
            <w:tcW w:w="0" w:type="auto"/>
            <w:vAlign w:val="center"/>
          </w:tcPr>
          <w:p w14:paraId="5E949F08"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Recall</w:t>
            </w:r>
          </w:p>
        </w:tc>
        <w:tc>
          <w:tcPr>
            <w:tcW w:w="0" w:type="auto"/>
            <w:vAlign w:val="center"/>
          </w:tcPr>
          <w:p w14:paraId="06A5D69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F1</w:t>
            </w:r>
          </w:p>
        </w:tc>
        <w:tc>
          <w:tcPr>
            <w:tcW w:w="0" w:type="auto"/>
            <w:vAlign w:val="center"/>
          </w:tcPr>
          <w:p w14:paraId="23254F4C"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MCC</w:t>
            </w:r>
          </w:p>
        </w:tc>
        <w:tc>
          <w:tcPr>
            <w:tcW w:w="0" w:type="auto"/>
            <w:vAlign w:val="center"/>
          </w:tcPr>
          <w:p w14:paraId="695FC92F"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ROC-AUC</w:t>
            </w:r>
          </w:p>
        </w:tc>
        <w:tc>
          <w:tcPr>
            <w:tcW w:w="0" w:type="auto"/>
            <w:vAlign w:val="center"/>
          </w:tcPr>
          <w:p w14:paraId="1AB60138"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PR-AUC</w:t>
            </w:r>
          </w:p>
        </w:tc>
        <w:tc>
          <w:tcPr>
            <w:tcW w:w="0" w:type="auto"/>
            <w:vAlign w:val="center"/>
          </w:tcPr>
          <w:p w14:paraId="53597F75"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Brier</w:t>
            </w:r>
          </w:p>
        </w:tc>
        <w:tc>
          <w:tcPr>
            <w:tcW w:w="0" w:type="auto"/>
            <w:vAlign w:val="center"/>
          </w:tcPr>
          <w:p w14:paraId="2B7B9B99"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ECE</w:t>
            </w:r>
          </w:p>
        </w:tc>
      </w:tr>
      <w:tr w:rsidR="005B28E8" w:rsidRPr="00340959" w14:paraId="38A5F955" w14:textId="77777777" w:rsidTr="00492B1B">
        <w:trPr>
          <w:trHeight w:val="432"/>
          <w:jc w:val="center"/>
        </w:trPr>
        <w:tc>
          <w:tcPr>
            <w:tcW w:w="0" w:type="auto"/>
            <w:vAlign w:val="center"/>
          </w:tcPr>
          <w:p w14:paraId="4F9B107E"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RF</w:t>
            </w:r>
          </w:p>
        </w:tc>
        <w:tc>
          <w:tcPr>
            <w:tcW w:w="0" w:type="auto"/>
            <w:vAlign w:val="center"/>
          </w:tcPr>
          <w:p w14:paraId="0AD4A28B"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0.811</w:t>
            </w:r>
          </w:p>
        </w:tc>
        <w:tc>
          <w:tcPr>
            <w:tcW w:w="0" w:type="auto"/>
            <w:vAlign w:val="center"/>
          </w:tcPr>
          <w:p w14:paraId="1A6C7023"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0.774</w:t>
            </w:r>
          </w:p>
        </w:tc>
        <w:tc>
          <w:tcPr>
            <w:tcW w:w="0" w:type="auto"/>
            <w:vAlign w:val="center"/>
          </w:tcPr>
          <w:p w14:paraId="4D16A6B0"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0.774</w:t>
            </w:r>
          </w:p>
        </w:tc>
        <w:tc>
          <w:tcPr>
            <w:tcW w:w="0" w:type="auto"/>
            <w:vAlign w:val="center"/>
          </w:tcPr>
          <w:p w14:paraId="79057BB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0.774</w:t>
            </w:r>
          </w:p>
        </w:tc>
        <w:tc>
          <w:tcPr>
            <w:tcW w:w="0" w:type="auto"/>
            <w:vAlign w:val="center"/>
          </w:tcPr>
          <w:p w14:paraId="6267E3C9"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0.611</w:t>
            </w:r>
          </w:p>
        </w:tc>
        <w:tc>
          <w:tcPr>
            <w:tcW w:w="0" w:type="auto"/>
            <w:vAlign w:val="center"/>
          </w:tcPr>
          <w:p w14:paraId="469A7ACC"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0.866</w:t>
            </w:r>
          </w:p>
        </w:tc>
        <w:tc>
          <w:tcPr>
            <w:tcW w:w="0" w:type="auto"/>
            <w:vAlign w:val="center"/>
          </w:tcPr>
          <w:p w14:paraId="2F65C9B7"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0.865</w:t>
            </w:r>
          </w:p>
        </w:tc>
        <w:tc>
          <w:tcPr>
            <w:tcW w:w="0" w:type="auto"/>
            <w:vAlign w:val="center"/>
          </w:tcPr>
          <w:p w14:paraId="6EF830A4"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0.153</w:t>
            </w:r>
          </w:p>
        </w:tc>
        <w:tc>
          <w:tcPr>
            <w:tcW w:w="0" w:type="auto"/>
            <w:vAlign w:val="center"/>
          </w:tcPr>
          <w:p w14:paraId="426F0880"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0.120</w:t>
            </w:r>
          </w:p>
        </w:tc>
      </w:tr>
      <w:tr w:rsidR="005B28E8" w:rsidRPr="00340959" w14:paraId="5DE81CE3" w14:textId="77777777" w:rsidTr="00492B1B">
        <w:trPr>
          <w:trHeight w:val="432"/>
          <w:jc w:val="center"/>
        </w:trPr>
        <w:tc>
          <w:tcPr>
            <w:tcW w:w="0" w:type="auto"/>
            <w:vAlign w:val="center"/>
          </w:tcPr>
          <w:p w14:paraId="525AFBC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GPC</w:t>
            </w:r>
          </w:p>
        </w:tc>
        <w:tc>
          <w:tcPr>
            <w:tcW w:w="0" w:type="auto"/>
            <w:vAlign w:val="center"/>
          </w:tcPr>
          <w:p w14:paraId="07791F11"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0.743</w:t>
            </w:r>
          </w:p>
        </w:tc>
        <w:tc>
          <w:tcPr>
            <w:tcW w:w="0" w:type="auto"/>
            <w:vAlign w:val="center"/>
          </w:tcPr>
          <w:p w14:paraId="4CA97DA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0.676</w:t>
            </w:r>
          </w:p>
        </w:tc>
        <w:tc>
          <w:tcPr>
            <w:tcW w:w="0" w:type="auto"/>
            <w:vAlign w:val="center"/>
          </w:tcPr>
          <w:p w14:paraId="1D457B0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0.742</w:t>
            </w:r>
          </w:p>
        </w:tc>
        <w:tc>
          <w:tcPr>
            <w:tcW w:w="0" w:type="auto"/>
            <w:vAlign w:val="center"/>
          </w:tcPr>
          <w:p w14:paraId="0D8CB653"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0.708</w:t>
            </w:r>
          </w:p>
        </w:tc>
        <w:tc>
          <w:tcPr>
            <w:tcW w:w="0" w:type="auto"/>
            <w:vAlign w:val="center"/>
          </w:tcPr>
          <w:p w14:paraId="6A3B434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0.481</w:t>
            </w:r>
          </w:p>
        </w:tc>
        <w:tc>
          <w:tcPr>
            <w:tcW w:w="0" w:type="auto"/>
            <w:vAlign w:val="center"/>
          </w:tcPr>
          <w:p w14:paraId="7E90CC50"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0.821</w:t>
            </w:r>
          </w:p>
        </w:tc>
        <w:tc>
          <w:tcPr>
            <w:tcW w:w="0" w:type="auto"/>
            <w:vAlign w:val="center"/>
          </w:tcPr>
          <w:p w14:paraId="13FB0AE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0.814</w:t>
            </w:r>
          </w:p>
        </w:tc>
        <w:tc>
          <w:tcPr>
            <w:tcW w:w="0" w:type="auto"/>
            <w:vAlign w:val="center"/>
          </w:tcPr>
          <w:p w14:paraId="20DD3048"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0.172</w:t>
            </w:r>
          </w:p>
        </w:tc>
        <w:tc>
          <w:tcPr>
            <w:tcW w:w="0" w:type="auto"/>
            <w:vAlign w:val="center"/>
          </w:tcPr>
          <w:p w14:paraId="60920C20"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0.084</w:t>
            </w:r>
          </w:p>
        </w:tc>
      </w:tr>
      <w:tr w:rsidR="005B28E8" w:rsidRPr="00340959" w14:paraId="0EBF4AAD" w14:textId="77777777" w:rsidTr="00492B1B">
        <w:trPr>
          <w:trHeight w:val="432"/>
          <w:jc w:val="center"/>
        </w:trPr>
        <w:tc>
          <w:tcPr>
            <w:tcW w:w="0" w:type="auto"/>
            <w:vAlign w:val="center"/>
          </w:tcPr>
          <w:p w14:paraId="2CA9149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LogReg_L2</w:t>
            </w:r>
          </w:p>
        </w:tc>
        <w:tc>
          <w:tcPr>
            <w:tcW w:w="0" w:type="auto"/>
            <w:vAlign w:val="center"/>
          </w:tcPr>
          <w:p w14:paraId="6D86F24A"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0.703</w:t>
            </w:r>
          </w:p>
        </w:tc>
        <w:tc>
          <w:tcPr>
            <w:tcW w:w="0" w:type="auto"/>
            <w:vAlign w:val="center"/>
          </w:tcPr>
          <w:p w14:paraId="6D09E52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0.615</w:t>
            </w:r>
          </w:p>
        </w:tc>
        <w:tc>
          <w:tcPr>
            <w:tcW w:w="0" w:type="auto"/>
            <w:vAlign w:val="center"/>
          </w:tcPr>
          <w:p w14:paraId="2FA84B0E"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0.774</w:t>
            </w:r>
          </w:p>
        </w:tc>
        <w:tc>
          <w:tcPr>
            <w:tcW w:w="0" w:type="auto"/>
            <w:vAlign w:val="center"/>
          </w:tcPr>
          <w:p w14:paraId="66541BBF"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0.686</w:t>
            </w:r>
          </w:p>
        </w:tc>
        <w:tc>
          <w:tcPr>
            <w:tcW w:w="0" w:type="auto"/>
            <w:vAlign w:val="center"/>
          </w:tcPr>
          <w:p w14:paraId="43B9490D"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0.420</w:t>
            </w:r>
          </w:p>
        </w:tc>
        <w:tc>
          <w:tcPr>
            <w:tcW w:w="0" w:type="auto"/>
            <w:vAlign w:val="center"/>
          </w:tcPr>
          <w:p w14:paraId="3634495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0.768</w:t>
            </w:r>
          </w:p>
        </w:tc>
        <w:tc>
          <w:tcPr>
            <w:tcW w:w="0" w:type="auto"/>
            <w:vAlign w:val="center"/>
          </w:tcPr>
          <w:p w14:paraId="0EEDA137"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0.667</w:t>
            </w:r>
          </w:p>
        </w:tc>
        <w:tc>
          <w:tcPr>
            <w:tcW w:w="0" w:type="auto"/>
            <w:vAlign w:val="center"/>
          </w:tcPr>
          <w:p w14:paraId="4D4E66F7"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0.203</w:t>
            </w:r>
          </w:p>
        </w:tc>
        <w:tc>
          <w:tcPr>
            <w:tcW w:w="0" w:type="auto"/>
            <w:vAlign w:val="center"/>
          </w:tcPr>
          <w:p w14:paraId="53D0DD1C"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0.110</w:t>
            </w:r>
          </w:p>
        </w:tc>
      </w:tr>
      <w:tr w:rsidR="005B28E8" w:rsidRPr="00340959" w14:paraId="1DC6D001" w14:textId="77777777" w:rsidTr="00492B1B">
        <w:trPr>
          <w:trHeight w:val="432"/>
          <w:jc w:val="center"/>
        </w:trPr>
        <w:tc>
          <w:tcPr>
            <w:tcW w:w="0" w:type="auto"/>
            <w:vAlign w:val="center"/>
          </w:tcPr>
          <w:p w14:paraId="5BA0779B"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BLR</w:t>
            </w:r>
          </w:p>
        </w:tc>
        <w:tc>
          <w:tcPr>
            <w:tcW w:w="0" w:type="auto"/>
            <w:vAlign w:val="center"/>
          </w:tcPr>
          <w:p w14:paraId="36196E5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0.676</w:t>
            </w:r>
          </w:p>
        </w:tc>
        <w:tc>
          <w:tcPr>
            <w:tcW w:w="0" w:type="auto"/>
            <w:vAlign w:val="center"/>
          </w:tcPr>
          <w:p w14:paraId="08AA00AE"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0.606</w:t>
            </w:r>
          </w:p>
        </w:tc>
        <w:tc>
          <w:tcPr>
            <w:tcW w:w="0" w:type="auto"/>
            <w:vAlign w:val="center"/>
          </w:tcPr>
          <w:p w14:paraId="7CE8D239"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0.645</w:t>
            </w:r>
          </w:p>
        </w:tc>
        <w:tc>
          <w:tcPr>
            <w:tcW w:w="0" w:type="auto"/>
            <w:vAlign w:val="center"/>
          </w:tcPr>
          <w:p w14:paraId="0AD5CBB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0.625</w:t>
            </w:r>
          </w:p>
        </w:tc>
        <w:tc>
          <w:tcPr>
            <w:tcW w:w="0" w:type="auto"/>
            <w:vAlign w:val="center"/>
          </w:tcPr>
          <w:p w14:paraId="46F43039"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0.340</w:t>
            </w:r>
          </w:p>
        </w:tc>
        <w:tc>
          <w:tcPr>
            <w:tcW w:w="0" w:type="auto"/>
            <w:vAlign w:val="center"/>
          </w:tcPr>
          <w:p w14:paraId="20EADC44"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0.775</w:t>
            </w:r>
          </w:p>
        </w:tc>
        <w:tc>
          <w:tcPr>
            <w:tcW w:w="0" w:type="auto"/>
            <w:vAlign w:val="center"/>
          </w:tcPr>
          <w:p w14:paraId="6D10E335"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0.723</w:t>
            </w:r>
          </w:p>
        </w:tc>
        <w:tc>
          <w:tcPr>
            <w:tcW w:w="0" w:type="auto"/>
            <w:vAlign w:val="center"/>
          </w:tcPr>
          <w:p w14:paraId="3BE96589"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0.193</w:t>
            </w:r>
          </w:p>
        </w:tc>
        <w:tc>
          <w:tcPr>
            <w:tcW w:w="0" w:type="auto"/>
            <w:vAlign w:val="center"/>
          </w:tcPr>
          <w:p w14:paraId="03E90739"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0.112</w:t>
            </w:r>
          </w:p>
        </w:tc>
      </w:tr>
    </w:tbl>
    <w:p w14:paraId="3362353E" w14:textId="10D2ED1A" w:rsidR="00FE4492" w:rsidRDefault="00FE4492" w:rsidP="00FE4492">
      <w:pPr>
        <w:jc w:val="center"/>
        <w:rPr>
          <w:rFonts w:ascii="Arial" w:hAnsi="Arial" w:cs="Arial"/>
          <w:sz w:val="21"/>
          <w:szCs w:val="21"/>
        </w:rPr>
      </w:pPr>
      <w:r>
        <w:rPr>
          <w:noProof/>
        </w:rPr>
        <w:lastRenderedPageBreak/>
        <w:drawing>
          <wp:inline distT="0" distB="0" distL="0" distR="0" wp14:anchorId="06DEC688" wp14:editId="5A5E9F33">
            <wp:extent cx="5029200" cy="4023360"/>
            <wp:effectExtent l="0" t="0" r="0" b="0"/>
            <wp:docPr id="1623372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2909" name="Picture 16233729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4023360"/>
                    </a:xfrm>
                    <a:prstGeom prst="rect">
                      <a:avLst/>
                    </a:prstGeom>
                  </pic:spPr>
                </pic:pic>
              </a:graphicData>
            </a:graphic>
          </wp:inline>
        </w:drawing>
      </w:r>
    </w:p>
    <w:p w14:paraId="01D433EB" w14:textId="7B50D801" w:rsidR="00FE4492" w:rsidRPr="00860EF9" w:rsidRDefault="00FE4492" w:rsidP="00FE4492">
      <w:pPr>
        <w:spacing w:before="0" w:after="0" w:line="276" w:lineRule="auto"/>
        <w:jc w:val="center"/>
        <w:rPr>
          <w:rFonts w:ascii="Arial" w:hAnsi="Arial" w:cs="Arial"/>
          <w:i/>
          <w:iCs/>
          <w:color w:val="000000" w:themeColor="text1"/>
          <w:sz w:val="21"/>
          <w:szCs w:val="21"/>
        </w:rPr>
      </w:pPr>
      <w:r w:rsidRPr="00860EF9">
        <w:rPr>
          <w:rFonts w:ascii="Arial" w:hAnsi="Arial" w:cs="Arial"/>
          <w:i/>
          <w:iCs/>
          <w:color w:val="000000" w:themeColor="text1"/>
          <w:sz w:val="21"/>
          <w:szCs w:val="21"/>
        </w:rPr>
        <w:t>Figure 5: Holdout (test set) performance</w:t>
      </w:r>
      <w:r>
        <w:rPr>
          <w:rFonts w:ascii="Arial" w:hAnsi="Arial" w:cs="Arial"/>
          <w:i/>
          <w:iCs/>
          <w:color w:val="000000" w:themeColor="text1"/>
          <w:sz w:val="21"/>
          <w:szCs w:val="21"/>
        </w:rPr>
        <w:t xml:space="preserve">: </w:t>
      </w:r>
      <w:r w:rsidRPr="00860EF9">
        <w:rPr>
          <w:rFonts w:ascii="Arial" w:hAnsi="Arial" w:cs="Arial"/>
          <w:i/>
          <w:iCs/>
          <w:color w:val="000000" w:themeColor="text1"/>
          <w:sz w:val="21"/>
          <w:szCs w:val="21"/>
        </w:rPr>
        <w:t>ROC curves with AUC values</w:t>
      </w:r>
      <w:r w:rsidR="00B353DD" w:rsidRPr="00860EF9">
        <w:rPr>
          <w:rFonts w:ascii="Arial" w:hAnsi="Arial" w:cs="Arial"/>
          <w:i/>
          <w:iCs/>
          <w:color w:val="000000" w:themeColor="text1"/>
          <w:sz w:val="21"/>
          <w:szCs w:val="21"/>
        </w:rPr>
        <w:t>.</w:t>
      </w:r>
    </w:p>
    <w:p w14:paraId="2E377CB5" w14:textId="59C39CED" w:rsidR="00FE4492" w:rsidRDefault="00FE4492" w:rsidP="00FE4492">
      <w:pPr>
        <w:jc w:val="center"/>
        <w:rPr>
          <w:rFonts w:ascii="Arial" w:hAnsi="Arial" w:cs="Arial"/>
          <w:sz w:val="21"/>
          <w:szCs w:val="21"/>
        </w:rPr>
      </w:pPr>
      <w:r>
        <w:rPr>
          <w:noProof/>
        </w:rPr>
        <w:drawing>
          <wp:inline distT="0" distB="0" distL="0" distR="0" wp14:anchorId="406823B6" wp14:editId="4D4B3C8C">
            <wp:extent cx="5029200" cy="4023360"/>
            <wp:effectExtent l="0" t="0" r="0" b="0"/>
            <wp:docPr id="1845322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2391" name="Picture 18453223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200" cy="4023360"/>
                    </a:xfrm>
                    <a:prstGeom prst="rect">
                      <a:avLst/>
                    </a:prstGeom>
                  </pic:spPr>
                </pic:pic>
              </a:graphicData>
            </a:graphic>
          </wp:inline>
        </w:drawing>
      </w:r>
    </w:p>
    <w:p w14:paraId="4110FBBB" w14:textId="77777777" w:rsidR="001F2FF7" w:rsidRDefault="00FE4492" w:rsidP="00FE4492">
      <w:pPr>
        <w:jc w:val="center"/>
        <w:rPr>
          <w:rFonts w:ascii="Arial" w:hAnsi="Arial" w:cs="Arial"/>
          <w:i/>
          <w:iCs/>
          <w:color w:val="000000" w:themeColor="text1"/>
          <w:sz w:val="21"/>
          <w:szCs w:val="21"/>
        </w:rPr>
      </w:pPr>
      <w:r>
        <w:rPr>
          <w:rFonts w:ascii="Arial" w:hAnsi="Arial" w:cs="Arial"/>
          <w:i/>
          <w:iCs/>
          <w:color w:val="000000" w:themeColor="text1"/>
          <w:sz w:val="21"/>
          <w:szCs w:val="21"/>
        </w:rPr>
        <w:t xml:space="preserve">Figure 6: Holdout (test set) performance: </w:t>
      </w:r>
      <w:r w:rsidRPr="00860EF9">
        <w:rPr>
          <w:rFonts w:ascii="Arial" w:hAnsi="Arial" w:cs="Arial"/>
          <w:i/>
          <w:iCs/>
          <w:color w:val="000000" w:themeColor="text1"/>
          <w:sz w:val="21"/>
          <w:szCs w:val="21"/>
        </w:rPr>
        <w:t xml:space="preserve">Precision–Recall curves with PR-AUC values </w:t>
      </w:r>
    </w:p>
    <w:p w14:paraId="17B297CB" w14:textId="77777777" w:rsidR="003D475B" w:rsidRDefault="003D475B" w:rsidP="00340959">
      <w:pPr>
        <w:pStyle w:val="Heading1"/>
        <w:spacing w:before="0" w:after="0" w:line="360" w:lineRule="auto"/>
        <w:rPr>
          <w:rFonts w:ascii="Arial" w:hAnsi="Arial" w:cs="Arial"/>
          <w:b/>
          <w:bCs/>
          <w:color w:val="000000" w:themeColor="text1"/>
          <w:sz w:val="21"/>
          <w:szCs w:val="21"/>
        </w:rPr>
      </w:pPr>
    </w:p>
    <w:p w14:paraId="6B1D05A5" w14:textId="1A4129A7" w:rsidR="005B28E8" w:rsidRPr="00492B1B" w:rsidRDefault="00000000" w:rsidP="00340959">
      <w:pPr>
        <w:pStyle w:val="Heading1"/>
        <w:spacing w:before="0" w:after="0" w:line="360" w:lineRule="auto"/>
        <w:rPr>
          <w:rFonts w:ascii="Arial" w:hAnsi="Arial" w:cs="Arial"/>
          <w:b/>
          <w:bCs/>
          <w:color w:val="000000" w:themeColor="text1"/>
          <w:sz w:val="21"/>
          <w:szCs w:val="21"/>
        </w:rPr>
      </w:pPr>
      <w:r w:rsidRPr="00492B1B">
        <w:rPr>
          <w:rFonts w:ascii="Arial" w:hAnsi="Arial" w:cs="Arial"/>
          <w:b/>
          <w:bCs/>
          <w:color w:val="000000" w:themeColor="text1"/>
          <w:sz w:val="21"/>
          <w:szCs w:val="21"/>
        </w:rPr>
        <w:t xml:space="preserve">Cross-validation and spatial </w:t>
      </w:r>
      <w:r w:rsidR="003D475B">
        <w:rPr>
          <w:rFonts w:ascii="Arial" w:hAnsi="Arial" w:cs="Arial"/>
          <w:b/>
          <w:bCs/>
          <w:color w:val="000000" w:themeColor="text1"/>
          <w:sz w:val="21"/>
          <w:szCs w:val="21"/>
        </w:rPr>
        <w:t>generalisation</w:t>
      </w:r>
    </w:p>
    <w:p w14:paraId="536E8200" w14:textId="56CC9537" w:rsidR="005B28E8" w:rsidRPr="00340959" w:rsidRDefault="00492F38" w:rsidP="00340959">
      <w:pPr>
        <w:spacing w:before="0" w:after="0" w:line="360" w:lineRule="auto"/>
        <w:jc w:val="both"/>
        <w:rPr>
          <w:rFonts w:ascii="Arial" w:hAnsi="Arial" w:cs="Arial"/>
          <w:sz w:val="21"/>
          <w:szCs w:val="21"/>
        </w:rPr>
      </w:pPr>
      <w:r w:rsidRPr="00340959">
        <w:rPr>
          <w:rFonts w:ascii="Arial" w:hAnsi="Arial" w:cs="Arial"/>
          <w:color w:val="000000"/>
          <w:sz w:val="21"/>
          <w:szCs w:val="21"/>
        </w:rPr>
        <w:t xml:space="preserve">Repeated stratified CV produced higher MCC and ROC-AUC values than spatial block CV (Table 3), indicating performance inflation under non-spatial validation. Spatial blocking reduced MCC by </w:t>
      </w:r>
      <w:r w:rsidRPr="00340959">
        <w:rPr>
          <w:rFonts w:ascii="Arial" w:hAnsi="Arial" w:cs="Arial"/>
          <w:color w:val="000000"/>
          <w:sz w:val="21"/>
          <w:szCs w:val="21"/>
        </w:rPr>
        <w:lastRenderedPageBreak/>
        <w:t>approximately 35% for RF (0.498 to 0.323) and 42% for GPC (0.450 to 0.259), highlighting the challenge of geographic transferability. Despite this degradation, model ranking remained stable, with RF and GPC consistently outperforming linear baselines under both validation schemes.</w:t>
      </w:r>
    </w:p>
    <w:p w14:paraId="28B29E8D" w14:textId="77777777" w:rsidR="001F2FF7" w:rsidRDefault="001F2FF7" w:rsidP="00492B1B">
      <w:pPr>
        <w:spacing w:before="0" w:after="0" w:line="360" w:lineRule="auto"/>
        <w:jc w:val="center"/>
        <w:rPr>
          <w:rFonts w:ascii="Arial" w:hAnsi="Arial" w:cs="Arial"/>
          <w:i/>
          <w:iCs/>
          <w:color w:val="000000"/>
          <w:sz w:val="21"/>
          <w:szCs w:val="21"/>
        </w:rPr>
      </w:pPr>
    </w:p>
    <w:p w14:paraId="517E2BF7" w14:textId="3C5BCC1F" w:rsidR="005B28E8" w:rsidRPr="00340959" w:rsidRDefault="00000000" w:rsidP="00492B1B">
      <w:pPr>
        <w:spacing w:before="0" w:after="0" w:line="360" w:lineRule="auto"/>
        <w:jc w:val="center"/>
        <w:rPr>
          <w:rFonts w:ascii="Arial" w:hAnsi="Arial" w:cs="Arial"/>
          <w:i/>
          <w:iCs/>
          <w:sz w:val="21"/>
          <w:szCs w:val="21"/>
        </w:rPr>
      </w:pPr>
      <w:r w:rsidRPr="00340959">
        <w:rPr>
          <w:rFonts w:ascii="Arial" w:hAnsi="Arial" w:cs="Arial"/>
          <w:i/>
          <w:iCs/>
          <w:color w:val="000000"/>
          <w:sz w:val="21"/>
          <w:szCs w:val="21"/>
        </w:rPr>
        <w:t>Table 3</w:t>
      </w:r>
      <w:r w:rsidR="009F1E39" w:rsidRPr="00340959">
        <w:rPr>
          <w:rFonts w:ascii="Arial" w:hAnsi="Arial" w:cs="Arial"/>
          <w:i/>
          <w:iCs/>
          <w:color w:val="000000"/>
          <w:sz w:val="21"/>
          <w:szCs w:val="21"/>
        </w:rPr>
        <w:t>:</w:t>
      </w:r>
      <w:r w:rsidRPr="00340959">
        <w:rPr>
          <w:rFonts w:ascii="Arial" w:hAnsi="Arial" w:cs="Arial"/>
          <w:i/>
          <w:iCs/>
          <w:color w:val="000000"/>
          <w:sz w:val="21"/>
          <w:szCs w:val="21"/>
        </w:rPr>
        <w:t xml:space="preserve"> Repeated CV and spatial block CV summary</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6"/>
        <w:gridCol w:w="1560"/>
        <w:gridCol w:w="2055"/>
        <w:gridCol w:w="1906"/>
        <w:gridCol w:w="2400"/>
      </w:tblGrid>
      <w:tr w:rsidR="005B28E8" w:rsidRPr="00340959" w14:paraId="075AB5A6" w14:textId="77777777" w:rsidTr="00492B1B">
        <w:trPr>
          <w:trHeight w:val="288"/>
          <w:jc w:val="center"/>
        </w:trPr>
        <w:tc>
          <w:tcPr>
            <w:tcW w:w="0" w:type="auto"/>
            <w:vAlign w:val="center"/>
          </w:tcPr>
          <w:p w14:paraId="70698722"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Model</w:t>
            </w:r>
          </w:p>
        </w:tc>
        <w:tc>
          <w:tcPr>
            <w:tcW w:w="0" w:type="auto"/>
            <w:vAlign w:val="center"/>
          </w:tcPr>
          <w:p w14:paraId="1B720C7B"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CV MCC (mean)</w:t>
            </w:r>
          </w:p>
        </w:tc>
        <w:tc>
          <w:tcPr>
            <w:tcW w:w="0" w:type="auto"/>
            <w:vAlign w:val="center"/>
          </w:tcPr>
          <w:p w14:paraId="0155782B"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CV ROC-AUC (mean)</w:t>
            </w:r>
          </w:p>
        </w:tc>
        <w:tc>
          <w:tcPr>
            <w:tcW w:w="0" w:type="auto"/>
            <w:vAlign w:val="center"/>
          </w:tcPr>
          <w:p w14:paraId="46EFC6EA"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Spatial MCC (mean)</w:t>
            </w:r>
          </w:p>
        </w:tc>
        <w:tc>
          <w:tcPr>
            <w:tcW w:w="0" w:type="auto"/>
            <w:vAlign w:val="center"/>
          </w:tcPr>
          <w:p w14:paraId="77AEC8CF"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Spatial ROC-AUC (mean)</w:t>
            </w:r>
          </w:p>
        </w:tc>
      </w:tr>
      <w:tr w:rsidR="005B28E8" w:rsidRPr="00340959" w14:paraId="666B3AF1" w14:textId="77777777" w:rsidTr="00492B1B">
        <w:trPr>
          <w:trHeight w:val="288"/>
          <w:jc w:val="center"/>
        </w:trPr>
        <w:tc>
          <w:tcPr>
            <w:tcW w:w="0" w:type="auto"/>
            <w:vAlign w:val="center"/>
          </w:tcPr>
          <w:p w14:paraId="3DF74BF0"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RF</w:t>
            </w:r>
          </w:p>
        </w:tc>
        <w:tc>
          <w:tcPr>
            <w:tcW w:w="0" w:type="auto"/>
            <w:vAlign w:val="center"/>
          </w:tcPr>
          <w:p w14:paraId="53291D9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0.498</w:t>
            </w:r>
          </w:p>
        </w:tc>
        <w:tc>
          <w:tcPr>
            <w:tcW w:w="0" w:type="auto"/>
            <w:vAlign w:val="center"/>
          </w:tcPr>
          <w:p w14:paraId="6B60F6CE"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0.849</w:t>
            </w:r>
          </w:p>
        </w:tc>
        <w:tc>
          <w:tcPr>
            <w:tcW w:w="0" w:type="auto"/>
            <w:vAlign w:val="center"/>
          </w:tcPr>
          <w:p w14:paraId="01E92B9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0.323</w:t>
            </w:r>
          </w:p>
        </w:tc>
        <w:tc>
          <w:tcPr>
            <w:tcW w:w="0" w:type="auto"/>
            <w:vAlign w:val="center"/>
          </w:tcPr>
          <w:p w14:paraId="6939B89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0.805</w:t>
            </w:r>
          </w:p>
        </w:tc>
      </w:tr>
      <w:tr w:rsidR="005B28E8" w:rsidRPr="00340959" w14:paraId="17E906F2" w14:textId="77777777" w:rsidTr="00492B1B">
        <w:trPr>
          <w:trHeight w:val="288"/>
          <w:jc w:val="center"/>
        </w:trPr>
        <w:tc>
          <w:tcPr>
            <w:tcW w:w="0" w:type="auto"/>
            <w:vAlign w:val="center"/>
          </w:tcPr>
          <w:p w14:paraId="3AC1285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GPC</w:t>
            </w:r>
          </w:p>
        </w:tc>
        <w:tc>
          <w:tcPr>
            <w:tcW w:w="0" w:type="auto"/>
            <w:vAlign w:val="center"/>
          </w:tcPr>
          <w:p w14:paraId="1F353D97"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0.450</w:t>
            </w:r>
          </w:p>
        </w:tc>
        <w:tc>
          <w:tcPr>
            <w:tcW w:w="0" w:type="auto"/>
            <w:vAlign w:val="center"/>
          </w:tcPr>
          <w:p w14:paraId="5888953B"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0.836</w:t>
            </w:r>
          </w:p>
        </w:tc>
        <w:tc>
          <w:tcPr>
            <w:tcW w:w="0" w:type="auto"/>
            <w:vAlign w:val="center"/>
          </w:tcPr>
          <w:p w14:paraId="0AD1EE4D"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0.259</w:t>
            </w:r>
          </w:p>
        </w:tc>
        <w:tc>
          <w:tcPr>
            <w:tcW w:w="0" w:type="auto"/>
            <w:vAlign w:val="center"/>
          </w:tcPr>
          <w:p w14:paraId="32AFA8BC"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0.769</w:t>
            </w:r>
          </w:p>
        </w:tc>
      </w:tr>
      <w:tr w:rsidR="005B28E8" w:rsidRPr="00340959" w14:paraId="717BAAB4" w14:textId="77777777" w:rsidTr="00492B1B">
        <w:trPr>
          <w:trHeight w:val="288"/>
          <w:jc w:val="center"/>
        </w:trPr>
        <w:tc>
          <w:tcPr>
            <w:tcW w:w="0" w:type="auto"/>
            <w:vAlign w:val="center"/>
          </w:tcPr>
          <w:p w14:paraId="61BC32CD"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LogReg_L2</w:t>
            </w:r>
          </w:p>
        </w:tc>
        <w:tc>
          <w:tcPr>
            <w:tcW w:w="0" w:type="auto"/>
            <w:vAlign w:val="center"/>
          </w:tcPr>
          <w:p w14:paraId="0BF5C7DB"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0.433</w:t>
            </w:r>
          </w:p>
        </w:tc>
        <w:tc>
          <w:tcPr>
            <w:tcW w:w="0" w:type="auto"/>
            <w:vAlign w:val="center"/>
          </w:tcPr>
          <w:p w14:paraId="6F00C6D1"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0.756</w:t>
            </w:r>
          </w:p>
        </w:tc>
        <w:tc>
          <w:tcPr>
            <w:tcW w:w="0" w:type="auto"/>
            <w:vAlign w:val="center"/>
          </w:tcPr>
          <w:p w14:paraId="0BD82ADA"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0.214</w:t>
            </w:r>
          </w:p>
        </w:tc>
        <w:tc>
          <w:tcPr>
            <w:tcW w:w="0" w:type="auto"/>
            <w:vAlign w:val="center"/>
          </w:tcPr>
          <w:p w14:paraId="7EF0A87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0.709</w:t>
            </w:r>
          </w:p>
        </w:tc>
      </w:tr>
      <w:tr w:rsidR="005B28E8" w:rsidRPr="00340959" w14:paraId="7D0E0CB2" w14:textId="77777777" w:rsidTr="00492B1B">
        <w:trPr>
          <w:trHeight w:val="288"/>
          <w:jc w:val="center"/>
        </w:trPr>
        <w:tc>
          <w:tcPr>
            <w:tcW w:w="0" w:type="auto"/>
            <w:vAlign w:val="center"/>
          </w:tcPr>
          <w:p w14:paraId="3050B4B3"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BLR</w:t>
            </w:r>
          </w:p>
        </w:tc>
        <w:tc>
          <w:tcPr>
            <w:tcW w:w="0" w:type="auto"/>
            <w:vAlign w:val="center"/>
          </w:tcPr>
          <w:p w14:paraId="233113DE"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0.388</w:t>
            </w:r>
          </w:p>
        </w:tc>
        <w:tc>
          <w:tcPr>
            <w:tcW w:w="0" w:type="auto"/>
            <w:vAlign w:val="center"/>
          </w:tcPr>
          <w:p w14:paraId="2CD3E126"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0.757</w:t>
            </w:r>
          </w:p>
        </w:tc>
        <w:tc>
          <w:tcPr>
            <w:tcW w:w="0" w:type="auto"/>
            <w:vAlign w:val="center"/>
          </w:tcPr>
          <w:p w14:paraId="57713CCE"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0.226</w:t>
            </w:r>
          </w:p>
        </w:tc>
        <w:tc>
          <w:tcPr>
            <w:tcW w:w="0" w:type="auto"/>
            <w:vAlign w:val="center"/>
          </w:tcPr>
          <w:p w14:paraId="2E36880C" w14:textId="77777777" w:rsidR="005B28E8" w:rsidRPr="00340959" w:rsidRDefault="00000000" w:rsidP="00492B1B">
            <w:pPr>
              <w:spacing w:before="0" w:after="0"/>
              <w:jc w:val="center"/>
              <w:rPr>
                <w:rFonts w:ascii="Arial" w:hAnsi="Arial" w:cs="Arial"/>
                <w:sz w:val="21"/>
                <w:szCs w:val="21"/>
              </w:rPr>
            </w:pPr>
            <w:r w:rsidRPr="00340959">
              <w:rPr>
                <w:rFonts w:ascii="Arial" w:hAnsi="Arial" w:cs="Arial"/>
                <w:color w:val="000000"/>
                <w:sz w:val="21"/>
                <w:szCs w:val="21"/>
              </w:rPr>
              <w:t>0.709</w:t>
            </w:r>
          </w:p>
        </w:tc>
      </w:tr>
    </w:tbl>
    <w:p w14:paraId="1F0A0ECA" w14:textId="77777777" w:rsidR="005B28E8" w:rsidRPr="00340959" w:rsidRDefault="005B28E8" w:rsidP="00340959">
      <w:pPr>
        <w:spacing w:before="0" w:after="0" w:line="360" w:lineRule="auto"/>
        <w:jc w:val="both"/>
        <w:rPr>
          <w:rFonts w:ascii="Arial" w:hAnsi="Arial" w:cs="Arial"/>
          <w:sz w:val="21"/>
          <w:szCs w:val="21"/>
        </w:rPr>
      </w:pPr>
    </w:p>
    <w:p w14:paraId="5FE61440" w14:textId="456E89BB" w:rsidR="005B28E8" w:rsidRPr="00340959" w:rsidRDefault="00FE4492" w:rsidP="00492B1B">
      <w:pPr>
        <w:spacing w:before="0" w:after="0" w:line="360" w:lineRule="auto"/>
        <w:jc w:val="center"/>
        <w:rPr>
          <w:rFonts w:ascii="Arial" w:hAnsi="Arial" w:cs="Arial"/>
          <w:sz w:val="21"/>
          <w:szCs w:val="21"/>
        </w:rPr>
      </w:pPr>
      <w:r>
        <w:rPr>
          <w:noProof/>
        </w:rPr>
        <w:drawing>
          <wp:inline distT="0" distB="0" distL="0" distR="0" wp14:anchorId="3CA69BDB" wp14:editId="1A947B4F">
            <wp:extent cx="6217920" cy="2634120"/>
            <wp:effectExtent l="0" t="0" r="0" b="0"/>
            <wp:docPr id="140521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613" name="Picture 1405216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17920" cy="2634120"/>
                    </a:xfrm>
                    <a:prstGeom prst="rect">
                      <a:avLst/>
                    </a:prstGeom>
                  </pic:spPr>
                </pic:pic>
              </a:graphicData>
            </a:graphic>
          </wp:inline>
        </w:drawing>
      </w:r>
    </w:p>
    <w:p w14:paraId="18A3D649" w14:textId="0522E695" w:rsidR="005B28E8" w:rsidRPr="00340959" w:rsidRDefault="00000000" w:rsidP="00492B1B">
      <w:pPr>
        <w:spacing w:before="0" w:after="0" w:line="276" w:lineRule="auto"/>
        <w:jc w:val="center"/>
        <w:rPr>
          <w:rFonts w:ascii="Arial" w:hAnsi="Arial" w:cs="Arial"/>
          <w:i/>
          <w:iCs/>
          <w:sz w:val="21"/>
          <w:szCs w:val="21"/>
        </w:rPr>
      </w:pPr>
      <w:r w:rsidRPr="00340959">
        <w:rPr>
          <w:rFonts w:ascii="Arial" w:hAnsi="Arial" w:cs="Arial"/>
          <w:i/>
          <w:iCs/>
          <w:color w:val="000000"/>
          <w:sz w:val="21"/>
          <w:szCs w:val="21"/>
        </w:rPr>
        <w:t xml:space="preserve">Figure </w:t>
      </w:r>
      <w:r w:rsidR="003D475B">
        <w:rPr>
          <w:rFonts w:ascii="Arial" w:hAnsi="Arial" w:cs="Arial"/>
          <w:i/>
          <w:iCs/>
          <w:color w:val="000000"/>
          <w:sz w:val="21"/>
          <w:szCs w:val="21"/>
        </w:rPr>
        <w:t>7</w:t>
      </w:r>
      <w:r w:rsidR="009F1E39" w:rsidRPr="00340959">
        <w:rPr>
          <w:rFonts w:ascii="Arial" w:hAnsi="Arial" w:cs="Arial"/>
          <w:i/>
          <w:iCs/>
          <w:color w:val="000000"/>
          <w:sz w:val="21"/>
          <w:szCs w:val="21"/>
        </w:rPr>
        <w:t>:</w:t>
      </w:r>
      <w:r w:rsidRPr="00340959">
        <w:rPr>
          <w:rFonts w:ascii="Arial" w:hAnsi="Arial" w:cs="Arial"/>
          <w:i/>
          <w:iCs/>
          <w:color w:val="000000"/>
          <w:sz w:val="21"/>
          <w:szCs w:val="21"/>
        </w:rPr>
        <w:t xml:space="preserve"> Comparison of repeated stratified CV and spatial block CV performance (MCC and ROC-AUC) across models.</w:t>
      </w:r>
    </w:p>
    <w:p w14:paraId="43E947B4" w14:textId="77777777" w:rsidR="009F7D21" w:rsidRPr="00340959" w:rsidRDefault="009F7D21" w:rsidP="00340959">
      <w:pPr>
        <w:pStyle w:val="Heading2"/>
        <w:spacing w:before="0" w:after="0" w:line="360" w:lineRule="auto"/>
        <w:jc w:val="both"/>
        <w:rPr>
          <w:rFonts w:ascii="Arial" w:hAnsi="Arial" w:cs="Arial"/>
          <w:color w:val="000000"/>
          <w:sz w:val="21"/>
          <w:szCs w:val="21"/>
        </w:rPr>
      </w:pPr>
    </w:p>
    <w:p w14:paraId="60606BBC" w14:textId="3F052856" w:rsidR="005B28E8" w:rsidRPr="00492B1B" w:rsidRDefault="00000000" w:rsidP="00340959">
      <w:pPr>
        <w:pStyle w:val="Heading1"/>
        <w:spacing w:before="0" w:after="0" w:line="360" w:lineRule="auto"/>
        <w:rPr>
          <w:rFonts w:ascii="Arial" w:hAnsi="Arial" w:cs="Arial"/>
          <w:b/>
          <w:bCs/>
          <w:color w:val="000000" w:themeColor="text1"/>
          <w:sz w:val="21"/>
          <w:szCs w:val="21"/>
        </w:rPr>
      </w:pPr>
      <w:r w:rsidRPr="00492B1B">
        <w:rPr>
          <w:rFonts w:ascii="Arial" w:hAnsi="Arial" w:cs="Arial"/>
          <w:b/>
          <w:bCs/>
          <w:color w:val="000000" w:themeColor="text1"/>
          <w:sz w:val="21"/>
          <w:szCs w:val="21"/>
        </w:rPr>
        <w:t>Statistical significance and model ranking</w:t>
      </w:r>
    </w:p>
    <w:p w14:paraId="0F9AC8A7" w14:textId="107096F5" w:rsidR="003D475B"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The Friedman test on repeated cross-validation F1 scores showed significant differences between models (χ² = 17.73, p &lt; 0.001). Weighted multi-metric ranking was performed next; Random Forest was ranked first, GPC, LogReg_L2, and BLR performed last. However, only Bayesian candidates were deployed because </w:t>
      </w:r>
      <w:r w:rsidR="006D4BC0">
        <w:rPr>
          <w:rFonts w:ascii="Arial" w:hAnsi="Arial" w:cs="Arial"/>
          <w:color w:val="000000"/>
          <w:sz w:val="21"/>
          <w:szCs w:val="21"/>
        </w:rPr>
        <w:t>explicit representation</w:t>
      </w:r>
      <w:r w:rsidRPr="00340959">
        <w:rPr>
          <w:rFonts w:ascii="Arial" w:hAnsi="Arial" w:cs="Arial"/>
          <w:color w:val="000000"/>
          <w:sz w:val="21"/>
          <w:szCs w:val="21"/>
        </w:rPr>
        <w:t xml:space="preserve"> </w:t>
      </w:r>
      <w:r w:rsidR="006D4BC0">
        <w:rPr>
          <w:rFonts w:ascii="Arial" w:hAnsi="Arial" w:cs="Arial"/>
          <w:color w:val="000000"/>
          <w:sz w:val="21"/>
          <w:szCs w:val="21"/>
        </w:rPr>
        <w:t xml:space="preserve">of </w:t>
      </w:r>
      <w:r w:rsidRPr="00340959">
        <w:rPr>
          <w:rFonts w:ascii="Arial" w:hAnsi="Arial" w:cs="Arial"/>
          <w:color w:val="000000"/>
          <w:sz w:val="21"/>
          <w:szCs w:val="21"/>
        </w:rPr>
        <w:t xml:space="preserve">uncertainty </w:t>
      </w:r>
      <w:r w:rsidR="006D4BC0">
        <w:rPr>
          <w:rFonts w:ascii="Arial" w:hAnsi="Arial" w:cs="Arial"/>
          <w:color w:val="000000"/>
          <w:sz w:val="21"/>
          <w:szCs w:val="21"/>
        </w:rPr>
        <w:t>was needed</w:t>
      </w:r>
      <w:r w:rsidRPr="00340959">
        <w:rPr>
          <w:rFonts w:ascii="Arial" w:hAnsi="Arial" w:cs="Arial"/>
          <w:color w:val="000000"/>
          <w:sz w:val="21"/>
          <w:szCs w:val="21"/>
        </w:rPr>
        <w:t>, and RF scored the highest composite rank. Of these, GPC exhibited the highest overall calibration stability and spatial robustness and thus was chosen for final susceptibility and uncertainty mapping.</w:t>
      </w:r>
    </w:p>
    <w:p w14:paraId="6FD92DFE" w14:textId="226B82DA" w:rsidR="003D475B" w:rsidRPr="003406BA" w:rsidRDefault="003D475B" w:rsidP="00340959">
      <w:pPr>
        <w:spacing w:before="0" w:after="0" w:line="360" w:lineRule="auto"/>
        <w:jc w:val="both"/>
        <w:rPr>
          <w:rFonts w:ascii="Arial" w:hAnsi="Arial" w:cs="Arial"/>
          <w:color w:val="000000" w:themeColor="text1"/>
          <w:sz w:val="21"/>
          <w:szCs w:val="21"/>
        </w:rPr>
      </w:pPr>
    </w:p>
    <w:p w14:paraId="0DFB47BA" w14:textId="28A8D96C" w:rsidR="00050108" w:rsidRPr="003406BA" w:rsidRDefault="008D58D4" w:rsidP="003406BA">
      <w:pPr>
        <w:spacing w:before="0" w:after="0" w:line="360" w:lineRule="auto"/>
        <w:jc w:val="both"/>
        <w:rPr>
          <w:rFonts w:ascii="Arial" w:hAnsi="Arial" w:cs="Arial"/>
          <w:color w:val="EE0000"/>
          <w:sz w:val="21"/>
          <w:szCs w:val="21"/>
        </w:rPr>
      </w:pPr>
      <w:r w:rsidRPr="003406BA">
        <w:rPr>
          <w:rFonts w:ascii="Arial" w:hAnsi="Arial" w:cs="Arial"/>
          <w:color w:val="EE0000"/>
          <w:sz w:val="21"/>
          <w:szCs w:val="21"/>
        </w:rPr>
        <w:t xml:space="preserve">In terms of calibration, the leading mode, i.e., random forest, in </w:t>
      </w:r>
      <w:r w:rsidR="00C10773">
        <w:rPr>
          <w:rFonts w:ascii="Arial" w:hAnsi="Arial" w:cs="Arial"/>
          <w:color w:val="EE0000"/>
          <w:sz w:val="21"/>
          <w:szCs w:val="21"/>
        </w:rPr>
        <w:t>this</w:t>
      </w:r>
      <w:r w:rsidRPr="003406BA">
        <w:rPr>
          <w:rFonts w:ascii="Arial" w:hAnsi="Arial" w:cs="Arial"/>
          <w:color w:val="EE0000"/>
          <w:sz w:val="21"/>
          <w:szCs w:val="21"/>
        </w:rPr>
        <w:t xml:space="preserve"> study performs poorly, with an Expected Calibration Error (ECE) of 0.120. Figure </w:t>
      </w:r>
      <w:r w:rsidR="00C10773">
        <w:rPr>
          <w:rFonts w:ascii="Arial" w:hAnsi="Arial" w:cs="Arial"/>
          <w:color w:val="EE0000"/>
          <w:sz w:val="21"/>
          <w:szCs w:val="21"/>
        </w:rPr>
        <w:t>8</w:t>
      </w:r>
      <w:r w:rsidRPr="003406BA">
        <w:rPr>
          <w:rFonts w:ascii="Arial" w:hAnsi="Arial" w:cs="Arial"/>
          <w:color w:val="EE0000"/>
          <w:sz w:val="21"/>
          <w:szCs w:val="21"/>
        </w:rPr>
        <w:t xml:space="preserve"> </w:t>
      </w:r>
      <w:r w:rsidR="00C10773">
        <w:rPr>
          <w:rFonts w:ascii="Arial" w:hAnsi="Arial" w:cs="Arial"/>
          <w:color w:val="EE0000"/>
          <w:sz w:val="21"/>
          <w:szCs w:val="21"/>
        </w:rPr>
        <w:t>shows the calibration curve (reliability diagram), which assesses how well predicted probabilities align with</w:t>
      </w:r>
      <w:r w:rsidRPr="003406BA">
        <w:rPr>
          <w:rFonts w:ascii="Arial" w:hAnsi="Arial" w:cs="Arial"/>
          <w:color w:val="EE0000"/>
          <w:sz w:val="21"/>
          <w:szCs w:val="21"/>
        </w:rPr>
        <w:t xml:space="preserve"> actual outcomes.  The closer a model’s curve follows the diagonal, the better calibrated it is. The reported ECE quantifies this deviation: lower ECE indicates better calibration. Here, random forest fails. Highlight that GPC achieved the lowest Expected Calibration Error (ECE = 0.084</w:t>
      </w:r>
      <w:r w:rsidR="0058719A">
        <w:rPr>
          <w:rFonts w:ascii="Arial" w:hAnsi="Arial" w:cs="Arial"/>
          <w:color w:val="EE0000"/>
          <w:sz w:val="21"/>
          <w:szCs w:val="21"/>
        </w:rPr>
        <w:t xml:space="preserve">; hence, it implicitly portrays the </w:t>
      </w:r>
      <w:r w:rsidRPr="003406BA">
        <w:rPr>
          <w:rFonts w:ascii="Arial" w:hAnsi="Arial" w:cs="Arial"/>
          <w:color w:val="EE0000"/>
          <w:sz w:val="21"/>
          <w:szCs w:val="21"/>
        </w:rPr>
        <w:t xml:space="preserve">best model in terms of calibration. Gaussian Processes yield well-calibrated probabilities because they are fully Bayesian, explicitly model uncertainty, and adapt smoothly to nonlinear patterns without becoming overconfident. Areas like the Chittagong Hill Tracts, where data are limited, </w:t>
      </w:r>
      <w:r w:rsidRPr="003406BA">
        <w:rPr>
          <w:rFonts w:ascii="Arial" w:hAnsi="Arial" w:cs="Arial"/>
          <w:color w:val="EE0000"/>
          <w:sz w:val="21"/>
          <w:szCs w:val="21"/>
        </w:rPr>
        <w:lastRenderedPageBreak/>
        <w:t>require reliability over deterministic classification. Gaussian Processes meet this requirement, with good calibration, and other accuracy metrics are also second-best in our study.</w:t>
      </w:r>
    </w:p>
    <w:p w14:paraId="78BADB29" w14:textId="7BFB6097" w:rsidR="003D475B" w:rsidRPr="0058719A" w:rsidRDefault="003D475B" w:rsidP="00050108">
      <w:pPr>
        <w:spacing w:before="0" w:after="0" w:line="360" w:lineRule="auto"/>
        <w:jc w:val="both"/>
        <w:rPr>
          <w:rFonts w:ascii="Arial" w:hAnsi="Arial" w:cs="Arial"/>
          <w:sz w:val="21"/>
          <w:szCs w:val="21"/>
        </w:rPr>
      </w:pPr>
    </w:p>
    <w:p w14:paraId="13E9819D" w14:textId="77777777" w:rsidR="003D475B" w:rsidRDefault="003D475B" w:rsidP="003D475B">
      <w:pPr>
        <w:jc w:val="center"/>
        <w:rPr>
          <w:rFonts w:ascii="Arial" w:hAnsi="Arial" w:cs="Arial"/>
          <w:sz w:val="21"/>
          <w:szCs w:val="21"/>
        </w:rPr>
      </w:pPr>
      <w:r>
        <w:rPr>
          <w:noProof/>
        </w:rPr>
        <w:drawing>
          <wp:inline distT="0" distB="0" distL="0" distR="0" wp14:anchorId="2138E312" wp14:editId="490331A6">
            <wp:extent cx="4603185" cy="4023360"/>
            <wp:effectExtent l="0" t="0" r="6985" b="0"/>
            <wp:docPr id="1522048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5687" name="Picture 13196156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03185" cy="4023360"/>
                    </a:xfrm>
                    <a:prstGeom prst="rect">
                      <a:avLst/>
                    </a:prstGeom>
                  </pic:spPr>
                </pic:pic>
              </a:graphicData>
            </a:graphic>
          </wp:inline>
        </w:drawing>
      </w:r>
    </w:p>
    <w:p w14:paraId="001E308B" w14:textId="343DB7BD" w:rsidR="003D475B" w:rsidRDefault="003D475B" w:rsidP="003D475B">
      <w:pPr>
        <w:jc w:val="center"/>
        <w:rPr>
          <w:rFonts w:ascii="Arial" w:hAnsi="Arial" w:cs="Arial"/>
          <w:sz w:val="21"/>
          <w:szCs w:val="21"/>
        </w:rPr>
      </w:pPr>
      <w:r>
        <w:rPr>
          <w:rFonts w:ascii="Arial" w:hAnsi="Arial" w:cs="Arial"/>
          <w:i/>
          <w:iCs/>
          <w:color w:val="000000" w:themeColor="text1"/>
          <w:sz w:val="21"/>
          <w:szCs w:val="21"/>
        </w:rPr>
        <w:t xml:space="preserve">Figure </w:t>
      </w:r>
      <w:r w:rsidR="00E40E38">
        <w:rPr>
          <w:rFonts w:ascii="Arial" w:hAnsi="Arial" w:cs="Arial"/>
          <w:i/>
          <w:iCs/>
          <w:color w:val="000000" w:themeColor="text1"/>
          <w:sz w:val="21"/>
          <w:szCs w:val="21"/>
        </w:rPr>
        <w:t>8</w:t>
      </w:r>
      <w:r>
        <w:rPr>
          <w:rFonts w:ascii="Arial" w:hAnsi="Arial" w:cs="Arial"/>
          <w:i/>
          <w:iCs/>
          <w:color w:val="000000" w:themeColor="text1"/>
          <w:sz w:val="21"/>
          <w:szCs w:val="21"/>
        </w:rPr>
        <w:t xml:space="preserve">: Holdout (test set) performance: </w:t>
      </w:r>
      <w:r w:rsidRPr="00860EF9">
        <w:rPr>
          <w:rFonts w:ascii="Arial" w:hAnsi="Arial" w:cs="Arial"/>
          <w:i/>
          <w:iCs/>
          <w:color w:val="000000" w:themeColor="text1"/>
          <w:sz w:val="21"/>
          <w:szCs w:val="21"/>
        </w:rPr>
        <w:t>Smoothed calibration curves; the dashed line indicates perfect calibration</w:t>
      </w:r>
    </w:p>
    <w:p w14:paraId="731AA6DE" w14:textId="77777777" w:rsidR="003D475B" w:rsidRPr="00340959" w:rsidRDefault="003D475B" w:rsidP="00340959">
      <w:pPr>
        <w:spacing w:before="0" w:after="0" w:line="360" w:lineRule="auto"/>
        <w:jc w:val="both"/>
        <w:rPr>
          <w:rFonts w:ascii="Arial" w:hAnsi="Arial" w:cs="Arial"/>
          <w:sz w:val="21"/>
          <w:szCs w:val="21"/>
        </w:rPr>
      </w:pPr>
    </w:p>
    <w:p w14:paraId="41DD86E0" w14:textId="4B15FA0B" w:rsidR="005B28E8" w:rsidRPr="006D4BC0" w:rsidRDefault="00000000" w:rsidP="00340959">
      <w:pPr>
        <w:pStyle w:val="Heading1"/>
        <w:spacing w:before="0" w:after="0" w:line="360" w:lineRule="auto"/>
        <w:rPr>
          <w:rFonts w:ascii="Arial" w:hAnsi="Arial" w:cs="Arial"/>
          <w:b/>
          <w:bCs/>
          <w:color w:val="000000" w:themeColor="text1"/>
          <w:sz w:val="21"/>
          <w:szCs w:val="21"/>
        </w:rPr>
      </w:pPr>
      <w:r w:rsidRPr="006D4BC0">
        <w:rPr>
          <w:rFonts w:ascii="Arial" w:hAnsi="Arial" w:cs="Arial"/>
          <w:b/>
          <w:bCs/>
          <w:color w:val="000000" w:themeColor="text1"/>
          <w:sz w:val="21"/>
          <w:szCs w:val="21"/>
        </w:rPr>
        <w:t>Interpretation of Conditioning Factor Contributions</w:t>
      </w:r>
    </w:p>
    <w:p w14:paraId="1B8226B9" w14:textId="36E4F19D" w:rsidR="00FE4492"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SHAP analysis (Fig</w:t>
      </w:r>
      <w:r w:rsidR="006D4BC0">
        <w:rPr>
          <w:rFonts w:ascii="Arial" w:hAnsi="Arial" w:cs="Arial"/>
          <w:color w:val="000000"/>
          <w:sz w:val="21"/>
          <w:szCs w:val="21"/>
        </w:rPr>
        <w:t>ure</w:t>
      </w:r>
      <w:r w:rsidRPr="00340959">
        <w:rPr>
          <w:rFonts w:ascii="Arial" w:hAnsi="Arial" w:cs="Arial"/>
          <w:color w:val="000000"/>
          <w:sz w:val="21"/>
          <w:szCs w:val="21"/>
        </w:rPr>
        <w:t xml:space="preserve"> </w:t>
      </w:r>
      <w:r w:rsidR="00FE4492">
        <w:rPr>
          <w:rFonts w:ascii="Arial" w:hAnsi="Arial" w:cs="Arial"/>
          <w:color w:val="000000"/>
          <w:sz w:val="21"/>
          <w:szCs w:val="21"/>
        </w:rPr>
        <w:t>9</w:t>
      </w:r>
      <w:r w:rsidRPr="00340959">
        <w:rPr>
          <w:rFonts w:ascii="Arial" w:hAnsi="Arial" w:cs="Arial"/>
          <w:color w:val="000000"/>
          <w:sz w:val="21"/>
          <w:szCs w:val="21"/>
        </w:rPr>
        <w:t xml:space="preserve">a) identified Elevation, Precipitation, and LULC as the most dominant predictors. Increased gravitational stress and slope-gradient effects at higher elevations positively contribute to SHAP, while the positive contributions </w:t>
      </w:r>
      <w:r w:rsidR="006D4BC0">
        <w:rPr>
          <w:rFonts w:ascii="Arial" w:hAnsi="Arial" w:cs="Arial"/>
          <w:color w:val="000000"/>
          <w:sz w:val="21"/>
          <w:szCs w:val="21"/>
        </w:rPr>
        <w:t>from high precipitation values arise from hydrological destabilization mechanisms via</w:t>
      </w:r>
      <w:r w:rsidRPr="00340959">
        <w:rPr>
          <w:rFonts w:ascii="Arial" w:hAnsi="Arial" w:cs="Arial"/>
          <w:color w:val="000000"/>
          <w:sz w:val="21"/>
          <w:szCs w:val="21"/>
        </w:rPr>
        <w:t xml:space="preserve"> </w:t>
      </w:r>
      <w:r w:rsidR="0058719A">
        <w:rPr>
          <w:rFonts w:ascii="Arial" w:hAnsi="Arial" w:cs="Arial"/>
          <w:color w:val="000000"/>
          <w:sz w:val="21"/>
          <w:szCs w:val="21"/>
        </w:rPr>
        <w:t>increased</w:t>
      </w:r>
      <w:r w:rsidRPr="00340959">
        <w:rPr>
          <w:rFonts w:ascii="Arial" w:hAnsi="Arial" w:cs="Arial"/>
          <w:color w:val="000000"/>
          <w:sz w:val="21"/>
          <w:szCs w:val="21"/>
        </w:rPr>
        <w:t xml:space="preserve"> pore-water pressure. The effect of LULC was found to be class-specific, </w:t>
      </w:r>
      <w:r w:rsidR="006D4BC0">
        <w:rPr>
          <w:rFonts w:ascii="Arial" w:hAnsi="Arial" w:cs="Arial"/>
          <w:color w:val="000000"/>
          <w:sz w:val="21"/>
          <w:szCs w:val="21"/>
        </w:rPr>
        <w:t>suggesting that slope stability depends on vegetation cover</w:t>
      </w:r>
      <w:r w:rsidRPr="00340959">
        <w:rPr>
          <w:rFonts w:ascii="Arial" w:hAnsi="Arial" w:cs="Arial"/>
          <w:color w:val="000000"/>
          <w:sz w:val="21"/>
          <w:szCs w:val="21"/>
        </w:rPr>
        <w:t xml:space="preserve"> and human disturbance. The waterfall plot (Fig</w:t>
      </w:r>
      <w:r w:rsidR="006D4BC0">
        <w:rPr>
          <w:rFonts w:ascii="Arial" w:hAnsi="Arial" w:cs="Arial"/>
          <w:color w:val="000000"/>
          <w:sz w:val="21"/>
          <w:szCs w:val="21"/>
        </w:rPr>
        <w:t xml:space="preserve">ure </w:t>
      </w:r>
      <w:r w:rsidR="00FE4492">
        <w:rPr>
          <w:rFonts w:ascii="Arial" w:hAnsi="Arial" w:cs="Arial"/>
          <w:color w:val="000000"/>
          <w:sz w:val="21"/>
          <w:szCs w:val="21"/>
        </w:rPr>
        <w:t>9</w:t>
      </w:r>
      <w:r w:rsidRPr="00340959">
        <w:rPr>
          <w:rFonts w:ascii="Arial" w:hAnsi="Arial" w:cs="Arial"/>
          <w:color w:val="000000"/>
          <w:sz w:val="21"/>
          <w:szCs w:val="21"/>
        </w:rPr>
        <w:t>b) shows that combined feature interactions propel predictions from the baseline of the model to a high-susceptibility local outcome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8985"/>
      </w:tblGrid>
      <w:tr w:rsidR="00FE4492" w14:paraId="3B374447" w14:textId="77777777" w:rsidTr="002F170D">
        <w:tc>
          <w:tcPr>
            <w:tcW w:w="895" w:type="dxa"/>
          </w:tcPr>
          <w:p w14:paraId="034F05BD" w14:textId="01C0194B" w:rsidR="00FE4492" w:rsidRDefault="00FE4492" w:rsidP="00340959">
            <w:pPr>
              <w:spacing w:line="360" w:lineRule="auto"/>
              <w:jc w:val="both"/>
              <w:rPr>
                <w:rFonts w:ascii="Arial" w:hAnsi="Arial" w:cs="Arial"/>
                <w:sz w:val="21"/>
                <w:szCs w:val="21"/>
              </w:rPr>
            </w:pPr>
            <w:r>
              <w:rPr>
                <w:rFonts w:ascii="Arial" w:hAnsi="Arial" w:cs="Arial"/>
                <w:sz w:val="21"/>
                <w:szCs w:val="21"/>
              </w:rPr>
              <w:lastRenderedPageBreak/>
              <w:t>a)</w:t>
            </w:r>
          </w:p>
        </w:tc>
        <w:tc>
          <w:tcPr>
            <w:tcW w:w="8985" w:type="dxa"/>
          </w:tcPr>
          <w:p w14:paraId="099BDB43" w14:textId="25CAF7EC" w:rsidR="00FE4492" w:rsidRDefault="00FE4492" w:rsidP="00FE4492">
            <w:pPr>
              <w:spacing w:line="360" w:lineRule="auto"/>
              <w:jc w:val="center"/>
              <w:rPr>
                <w:rFonts w:ascii="Arial" w:hAnsi="Arial" w:cs="Arial"/>
                <w:sz w:val="21"/>
                <w:szCs w:val="21"/>
              </w:rPr>
            </w:pPr>
            <w:r>
              <w:rPr>
                <w:noProof/>
              </w:rPr>
              <w:drawing>
                <wp:inline distT="0" distB="0" distL="0" distR="0" wp14:anchorId="7695EB3A" wp14:editId="3CDC143D">
                  <wp:extent cx="4090338" cy="3749040"/>
                  <wp:effectExtent l="0" t="0" r="5715" b="3810"/>
                  <wp:docPr id="1220638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8613" name="Picture 1220638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0338" cy="3749040"/>
                          </a:xfrm>
                          <a:prstGeom prst="rect">
                            <a:avLst/>
                          </a:prstGeom>
                          <a:ln w="3175">
                            <a:noFill/>
                          </a:ln>
                        </pic:spPr>
                      </pic:pic>
                    </a:graphicData>
                  </a:graphic>
                </wp:inline>
              </w:drawing>
            </w:r>
          </w:p>
        </w:tc>
      </w:tr>
      <w:tr w:rsidR="00FE4492" w14:paraId="073367D1" w14:textId="77777777" w:rsidTr="002F170D">
        <w:tc>
          <w:tcPr>
            <w:tcW w:w="895" w:type="dxa"/>
          </w:tcPr>
          <w:p w14:paraId="52432555" w14:textId="4104F733" w:rsidR="00FE4492" w:rsidRDefault="00FE4492" w:rsidP="00340959">
            <w:pPr>
              <w:spacing w:line="360" w:lineRule="auto"/>
              <w:jc w:val="both"/>
              <w:rPr>
                <w:rFonts w:ascii="Arial" w:hAnsi="Arial" w:cs="Arial"/>
                <w:sz w:val="21"/>
                <w:szCs w:val="21"/>
              </w:rPr>
            </w:pPr>
            <w:r>
              <w:rPr>
                <w:rFonts w:ascii="Arial" w:hAnsi="Arial" w:cs="Arial"/>
                <w:sz w:val="21"/>
                <w:szCs w:val="21"/>
              </w:rPr>
              <w:t>b)</w:t>
            </w:r>
          </w:p>
        </w:tc>
        <w:tc>
          <w:tcPr>
            <w:tcW w:w="8985" w:type="dxa"/>
          </w:tcPr>
          <w:p w14:paraId="74FC1EB8" w14:textId="732A2CFD" w:rsidR="00FE4492" w:rsidRDefault="00FE4492" w:rsidP="00FE4492">
            <w:pPr>
              <w:spacing w:line="360" w:lineRule="auto"/>
              <w:jc w:val="center"/>
              <w:rPr>
                <w:rFonts w:ascii="Arial" w:hAnsi="Arial" w:cs="Arial"/>
                <w:sz w:val="21"/>
                <w:szCs w:val="21"/>
              </w:rPr>
            </w:pPr>
            <w:r>
              <w:rPr>
                <w:noProof/>
              </w:rPr>
              <w:drawing>
                <wp:inline distT="0" distB="0" distL="0" distR="0" wp14:anchorId="340CDA46" wp14:editId="61F795E7">
                  <wp:extent cx="3602405" cy="3749040"/>
                  <wp:effectExtent l="0" t="0" r="0" b="3810"/>
                  <wp:docPr id="883454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4035" name="Picture 8834540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2405" cy="3749040"/>
                          </a:xfrm>
                          <a:prstGeom prst="rect">
                            <a:avLst/>
                          </a:prstGeom>
                          <a:ln w="3175">
                            <a:noFill/>
                          </a:ln>
                        </pic:spPr>
                      </pic:pic>
                    </a:graphicData>
                  </a:graphic>
                </wp:inline>
              </w:drawing>
            </w:r>
          </w:p>
        </w:tc>
      </w:tr>
    </w:tbl>
    <w:p w14:paraId="3AC84502" w14:textId="62203782" w:rsidR="009F7D21" w:rsidRDefault="00FE4492" w:rsidP="006D4BC0">
      <w:pPr>
        <w:spacing w:before="0" w:after="0" w:line="276" w:lineRule="auto"/>
        <w:jc w:val="center"/>
        <w:rPr>
          <w:rFonts w:ascii="Arial" w:hAnsi="Arial" w:cs="Arial"/>
          <w:i/>
          <w:iCs/>
          <w:sz w:val="21"/>
          <w:szCs w:val="21"/>
        </w:rPr>
      </w:pPr>
      <w:r>
        <w:rPr>
          <w:rFonts w:ascii="Arial" w:hAnsi="Arial" w:cs="Arial"/>
          <w:i/>
          <w:iCs/>
          <w:color w:val="000000"/>
          <w:sz w:val="21"/>
          <w:szCs w:val="21"/>
        </w:rPr>
        <w:t>F</w:t>
      </w:r>
      <w:r w:rsidR="00492F38" w:rsidRPr="00340959">
        <w:rPr>
          <w:rFonts w:ascii="Arial" w:hAnsi="Arial" w:cs="Arial"/>
          <w:i/>
          <w:iCs/>
          <w:color w:val="000000"/>
          <w:sz w:val="21"/>
          <w:szCs w:val="21"/>
        </w:rPr>
        <w:t xml:space="preserve">igure </w:t>
      </w:r>
      <w:r>
        <w:rPr>
          <w:rFonts w:ascii="Arial" w:hAnsi="Arial" w:cs="Arial"/>
          <w:i/>
          <w:iCs/>
          <w:color w:val="000000"/>
          <w:sz w:val="21"/>
          <w:szCs w:val="21"/>
        </w:rPr>
        <w:t>9</w:t>
      </w:r>
      <w:r w:rsidR="009F1E39" w:rsidRPr="00340959">
        <w:rPr>
          <w:rFonts w:ascii="Arial" w:hAnsi="Arial" w:cs="Arial"/>
          <w:i/>
          <w:iCs/>
          <w:color w:val="000000"/>
          <w:sz w:val="21"/>
          <w:szCs w:val="21"/>
        </w:rPr>
        <w:t>:</w:t>
      </w:r>
      <w:r w:rsidR="00492F38" w:rsidRPr="00340959">
        <w:rPr>
          <w:rFonts w:ascii="Arial" w:hAnsi="Arial" w:cs="Arial"/>
          <w:i/>
          <w:iCs/>
          <w:color w:val="000000"/>
          <w:sz w:val="21"/>
          <w:szCs w:val="21"/>
        </w:rPr>
        <w:t xml:space="preserve"> Interpretation of the GPC via SHAP on holdout dataset (a) SHAP summary (beeswarm) plot of the aggregated contribution and direction of influence of each conditioning factor to model predictions. (b) SHAP waterfall plot for a representative holdout sample showing the cumulative contribution of individual features from </w:t>
      </w:r>
      <w:r w:rsidR="006F3ED4">
        <w:rPr>
          <w:rFonts w:ascii="Arial" w:hAnsi="Arial" w:cs="Arial"/>
          <w:i/>
          <w:iCs/>
          <w:color w:val="000000"/>
          <w:sz w:val="21"/>
          <w:szCs w:val="21"/>
        </w:rPr>
        <w:t xml:space="preserve">the </w:t>
      </w:r>
      <w:r w:rsidR="00492F38" w:rsidRPr="00340959">
        <w:rPr>
          <w:rFonts w:ascii="Arial" w:hAnsi="Arial" w:cs="Arial"/>
          <w:i/>
          <w:iCs/>
          <w:color w:val="000000"/>
          <w:sz w:val="21"/>
          <w:szCs w:val="21"/>
        </w:rPr>
        <w:t xml:space="preserve">expected value </w:t>
      </w:r>
      <m:oMath>
        <m:r>
          <w:rPr>
            <w:rFonts w:ascii="Cambria Math" w:hAnsi="Cambria Math" w:cs="Arial"/>
            <w:sz w:val="21"/>
            <w:szCs w:val="21"/>
          </w:rPr>
          <m:t>E[f(X)]</m:t>
        </m:r>
      </m:oMath>
      <w:r w:rsidR="009F7D21" w:rsidRPr="00340959">
        <w:rPr>
          <w:rFonts w:ascii="Arial" w:hAnsi="Arial" w:cs="Arial"/>
          <w:i/>
          <w:iCs/>
          <w:sz w:val="21"/>
          <w:szCs w:val="21"/>
        </w:rPr>
        <w:t xml:space="preserve">to the final predicted output </w:t>
      </w:r>
      <m:oMath>
        <m:r>
          <w:rPr>
            <w:rFonts w:ascii="Cambria Math" w:hAnsi="Cambria Math" w:cs="Arial"/>
            <w:sz w:val="21"/>
            <w:szCs w:val="21"/>
          </w:rPr>
          <m:t>f(x)</m:t>
        </m:r>
      </m:oMath>
      <w:r w:rsidR="00492F38" w:rsidRPr="00340959">
        <w:rPr>
          <w:rFonts w:ascii="Arial" w:hAnsi="Arial" w:cs="Arial"/>
          <w:i/>
          <w:iCs/>
          <w:sz w:val="21"/>
          <w:szCs w:val="21"/>
        </w:rPr>
        <w:t>.</w:t>
      </w:r>
    </w:p>
    <w:p w14:paraId="7C568815" w14:textId="77777777" w:rsidR="006D4BC0" w:rsidRPr="006D4BC0" w:rsidRDefault="006D4BC0" w:rsidP="006D4BC0">
      <w:pPr>
        <w:spacing w:before="0" w:after="0" w:line="276" w:lineRule="auto"/>
        <w:jc w:val="center"/>
        <w:rPr>
          <w:rFonts w:ascii="Arial" w:hAnsi="Arial" w:cs="Arial"/>
          <w:b/>
          <w:bCs/>
          <w:i/>
          <w:iCs/>
          <w:color w:val="000000" w:themeColor="text1"/>
          <w:sz w:val="21"/>
          <w:szCs w:val="21"/>
        </w:rPr>
      </w:pPr>
    </w:p>
    <w:p w14:paraId="267698E8" w14:textId="77777777" w:rsidR="001F2FF7" w:rsidRDefault="001F2FF7">
      <w:pPr>
        <w:rPr>
          <w:rFonts w:ascii="Arial" w:hAnsi="Arial" w:cs="Arial"/>
          <w:b/>
          <w:bCs/>
          <w:color w:val="000000" w:themeColor="text1"/>
          <w:sz w:val="21"/>
          <w:szCs w:val="21"/>
        </w:rPr>
      </w:pPr>
      <w:r>
        <w:rPr>
          <w:rFonts w:ascii="Arial" w:hAnsi="Arial" w:cs="Arial"/>
          <w:b/>
          <w:bCs/>
          <w:color w:val="000000" w:themeColor="text1"/>
          <w:sz w:val="21"/>
          <w:szCs w:val="21"/>
        </w:rPr>
        <w:br w:type="page"/>
      </w:r>
    </w:p>
    <w:p w14:paraId="7B2C8FB1" w14:textId="10945B13" w:rsidR="005B28E8" w:rsidRPr="006D4BC0" w:rsidRDefault="00000000" w:rsidP="00340959">
      <w:pPr>
        <w:pStyle w:val="Heading1"/>
        <w:spacing w:before="0" w:after="0" w:line="360" w:lineRule="auto"/>
        <w:rPr>
          <w:rFonts w:ascii="Arial" w:hAnsi="Arial" w:cs="Arial"/>
          <w:b/>
          <w:bCs/>
          <w:color w:val="000000" w:themeColor="text1"/>
          <w:sz w:val="21"/>
          <w:szCs w:val="21"/>
        </w:rPr>
      </w:pPr>
      <w:r w:rsidRPr="006D4BC0">
        <w:rPr>
          <w:rFonts w:ascii="Arial" w:hAnsi="Arial" w:cs="Arial"/>
          <w:b/>
          <w:bCs/>
          <w:color w:val="000000" w:themeColor="text1"/>
          <w:sz w:val="21"/>
          <w:szCs w:val="21"/>
        </w:rPr>
        <w:lastRenderedPageBreak/>
        <w:t>Integrated Susceptibility–Uncertainty Patterns</w:t>
      </w:r>
    </w:p>
    <w:p w14:paraId="19DAB875" w14:textId="09BAF80B" w:rsidR="00492F38" w:rsidRPr="00340959"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Figure </w:t>
      </w:r>
      <w:r w:rsidR="002F170D">
        <w:rPr>
          <w:rFonts w:ascii="Arial" w:hAnsi="Arial" w:cs="Arial"/>
          <w:color w:val="000000"/>
          <w:sz w:val="21"/>
          <w:szCs w:val="21"/>
        </w:rPr>
        <w:t>10</w:t>
      </w:r>
      <w:r w:rsidRPr="00340959">
        <w:rPr>
          <w:rFonts w:ascii="Arial" w:hAnsi="Arial" w:cs="Arial"/>
          <w:color w:val="000000"/>
          <w:sz w:val="21"/>
          <w:szCs w:val="21"/>
        </w:rPr>
        <w:t xml:space="preserve"> illustrates a 3×3 bivariate classification of susceptibility and predictive uncertainty jointly conditioned on the output of the deployed GPC model. This </w:t>
      </w:r>
      <w:r w:rsidR="003D475B">
        <w:rPr>
          <w:rFonts w:ascii="Arial" w:hAnsi="Arial" w:cs="Arial"/>
          <w:color w:val="000000"/>
          <w:sz w:val="21"/>
          <w:szCs w:val="21"/>
        </w:rPr>
        <w:t>modelling</w:t>
      </w:r>
      <w:r w:rsidR="003D475B" w:rsidRPr="00340959">
        <w:rPr>
          <w:rFonts w:ascii="Arial" w:hAnsi="Arial" w:cs="Arial"/>
          <w:color w:val="000000"/>
          <w:sz w:val="21"/>
          <w:szCs w:val="21"/>
        </w:rPr>
        <w:t xml:space="preserve"> </w:t>
      </w:r>
      <w:r w:rsidRPr="00340959">
        <w:rPr>
          <w:rFonts w:ascii="Arial" w:hAnsi="Arial" w:cs="Arial"/>
          <w:color w:val="000000"/>
          <w:sz w:val="21"/>
          <w:szCs w:val="21"/>
        </w:rPr>
        <w:t>facilitates joint evaluation of forecasted hazard strength and model certainty in a spatial context.</w:t>
      </w:r>
    </w:p>
    <w:p w14:paraId="76E328CF" w14:textId="155AA5E8" w:rsidR="00492F38" w:rsidRPr="00340959"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Areas of high susceptibility are mostly clustered along the central and southeastern hill sectors of the study area, exhibiting well-defined </w:t>
      </w:r>
      <w:r w:rsidR="006F3ED4">
        <w:rPr>
          <w:rFonts w:ascii="Arial" w:hAnsi="Arial" w:cs="Arial"/>
          <w:color w:val="000000"/>
          <w:sz w:val="21"/>
          <w:szCs w:val="21"/>
        </w:rPr>
        <w:t>spatial clusters</w:t>
      </w:r>
      <w:r w:rsidRPr="00340959">
        <w:rPr>
          <w:rFonts w:ascii="Arial" w:hAnsi="Arial" w:cs="Arial"/>
          <w:color w:val="000000"/>
          <w:sz w:val="21"/>
          <w:szCs w:val="21"/>
        </w:rPr>
        <w:t xml:space="preserve"> that track steep terrain and anthropogenically disturbed slopes. A significant fraction of these zones falls into classes with uncertainty on the low- or medium-side of the scale, implying that the local density of training data supports stable posterior predictions. Regions like these are </w:t>
      </w:r>
      <w:r w:rsidR="00335676">
        <w:rPr>
          <w:rFonts w:ascii="Arial" w:hAnsi="Arial" w:cs="Arial"/>
          <w:color w:val="000000"/>
          <w:sz w:val="21"/>
          <w:szCs w:val="21"/>
        </w:rPr>
        <w:t>high-confidence landslide hotspots</w:t>
      </w:r>
      <w:r w:rsidRPr="00340959">
        <w:rPr>
          <w:rFonts w:ascii="Arial" w:hAnsi="Arial" w:cs="Arial"/>
          <w:color w:val="000000"/>
          <w:sz w:val="21"/>
          <w:szCs w:val="21"/>
        </w:rPr>
        <w:t>.</w:t>
      </w:r>
    </w:p>
    <w:p w14:paraId="03A171E8" w14:textId="0364FC0C" w:rsidR="00492F38" w:rsidRPr="00340959"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On the other hand, localized patches exhibit high susceptibility and high uncertainty. These zones primarily develop in border terrain</w:t>
      </w:r>
      <w:r w:rsidR="00335676">
        <w:rPr>
          <w:rFonts w:ascii="Arial" w:hAnsi="Arial" w:cs="Arial"/>
          <w:color w:val="000000"/>
          <w:sz w:val="21"/>
          <w:szCs w:val="21"/>
        </w:rPr>
        <w:t>, vadose zones,</w:t>
      </w:r>
      <w:r w:rsidRPr="00340959">
        <w:rPr>
          <w:rFonts w:ascii="Arial" w:hAnsi="Arial" w:cs="Arial"/>
          <w:color w:val="000000"/>
          <w:sz w:val="21"/>
          <w:szCs w:val="21"/>
        </w:rPr>
        <w:t xml:space="preserve"> and peripheral hill zones. Areas </w:t>
      </w:r>
      <w:r w:rsidR="00335676">
        <w:rPr>
          <w:rFonts w:ascii="Arial" w:hAnsi="Arial" w:cs="Arial"/>
          <w:color w:val="000000"/>
          <w:sz w:val="21"/>
          <w:szCs w:val="21"/>
        </w:rPr>
        <w:t>where the predicted probability and variance were both high indicate lower posterior stability, perhaps due to heterogeneous geomorphological conditions or a training inventory that is not representative of</w:t>
      </w:r>
      <w:r w:rsidRPr="00340959">
        <w:rPr>
          <w:rFonts w:ascii="Arial" w:hAnsi="Arial" w:cs="Arial"/>
          <w:color w:val="000000"/>
          <w:sz w:val="21"/>
          <w:szCs w:val="21"/>
        </w:rPr>
        <w:t xml:space="preserve"> those areas. Data in these areas should be interpreted with caution and potentially could benefit from localized field-based validation.</w:t>
      </w:r>
    </w:p>
    <w:p w14:paraId="639B898D" w14:textId="784DF610" w:rsidR="00492F38" w:rsidRPr="00340959"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Low-susceptibility areas predominate in the northeastern and relatively flat sectors of the study area. These areas are typically regions of low predictive uncertainty</w:t>
      </w:r>
      <w:r w:rsidR="00335676">
        <w:rPr>
          <w:rFonts w:ascii="Arial" w:hAnsi="Arial" w:cs="Arial"/>
          <w:color w:val="000000"/>
          <w:sz w:val="21"/>
          <w:szCs w:val="21"/>
        </w:rPr>
        <w:t>,</w:t>
      </w:r>
      <w:r w:rsidRPr="00340959">
        <w:rPr>
          <w:rFonts w:ascii="Arial" w:hAnsi="Arial" w:cs="Arial"/>
          <w:color w:val="000000"/>
          <w:sz w:val="21"/>
          <w:szCs w:val="21"/>
        </w:rPr>
        <w:t xml:space="preserve"> providing confidence in mapped stable terrain. Nonetheless, neighborhoods of moderate uncertainty on low-susceptibility classes reveal model sensitivity near the susceptibility threshold for isolated sectors.</w:t>
      </w:r>
    </w:p>
    <w:p w14:paraId="7309463C" w14:textId="6362E288" w:rsidR="005B28E8" w:rsidRPr="00340959"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Overall, the bivariate analysis shows that most high-susceptibility clusters are underpinned by relatively low uncertainty, providing greater confidence in hazard delineation while transparently highlighting areas where predictive certainty is lessened.</w:t>
      </w:r>
    </w:p>
    <w:p w14:paraId="45D86568" w14:textId="77777777" w:rsidR="005B28E8" w:rsidRPr="00340959" w:rsidRDefault="00000000" w:rsidP="00340959">
      <w:pPr>
        <w:spacing w:before="0" w:after="0" w:line="360" w:lineRule="auto"/>
        <w:jc w:val="center"/>
        <w:rPr>
          <w:rFonts w:ascii="Arial" w:hAnsi="Arial" w:cs="Arial"/>
          <w:sz w:val="21"/>
          <w:szCs w:val="21"/>
        </w:rPr>
      </w:pPr>
      <w:r w:rsidRPr="00340959">
        <w:rPr>
          <w:rFonts w:ascii="Arial" w:hAnsi="Arial" w:cs="Arial"/>
          <w:noProof/>
          <w:sz w:val="21"/>
          <w:szCs w:val="21"/>
        </w:rPr>
        <w:lastRenderedPageBreak/>
        <w:drawing>
          <wp:inline distT="0" distB="0" distL="0" distR="0" wp14:anchorId="1155E356" wp14:editId="0F4C9199">
            <wp:extent cx="6297808" cy="8153400"/>
            <wp:effectExtent l="0" t="0" r="8255" b="0"/>
            <wp:docPr id="1921723542" name="Picture 192172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02470" cy="8159436"/>
                    </a:xfrm>
                    <a:prstGeom prst="rect">
                      <a:avLst/>
                    </a:prstGeom>
                  </pic:spPr>
                </pic:pic>
              </a:graphicData>
            </a:graphic>
          </wp:inline>
        </w:drawing>
      </w:r>
    </w:p>
    <w:p w14:paraId="0005B86C" w14:textId="6E6C1294" w:rsidR="00492F38" w:rsidRDefault="00492F38" w:rsidP="006D4BC0">
      <w:pPr>
        <w:spacing w:before="0" w:after="0" w:line="276" w:lineRule="auto"/>
        <w:jc w:val="center"/>
        <w:rPr>
          <w:rFonts w:ascii="Arial" w:hAnsi="Arial" w:cs="Arial"/>
          <w:i/>
          <w:iCs/>
          <w:color w:val="000000"/>
          <w:sz w:val="21"/>
          <w:szCs w:val="21"/>
        </w:rPr>
      </w:pPr>
      <w:r w:rsidRPr="006D4BC0">
        <w:rPr>
          <w:rFonts w:ascii="Arial" w:hAnsi="Arial" w:cs="Arial"/>
          <w:i/>
          <w:iCs/>
          <w:color w:val="000000"/>
          <w:sz w:val="21"/>
          <w:szCs w:val="21"/>
        </w:rPr>
        <w:t xml:space="preserve">Figure </w:t>
      </w:r>
      <w:r w:rsidR="002F170D">
        <w:rPr>
          <w:rFonts w:ascii="Arial" w:hAnsi="Arial" w:cs="Arial"/>
          <w:i/>
          <w:iCs/>
          <w:color w:val="000000"/>
          <w:sz w:val="21"/>
          <w:szCs w:val="21"/>
        </w:rPr>
        <w:t>10</w:t>
      </w:r>
      <w:r w:rsidR="006D1AD2" w:rsidRPr="006D4BC0">
        <w:rPr>
          <w:rFonts w:ascii="Arial" w:hAnsi="Arial" w:cs="Arial"/>
          <w:i/>
          <w:iCs/>
          <w:color w:val="000000"/>
          <w:sz w:val="21"/>
          <w:szCs w:val="21"/>
        </w:rPr>
        <w:t>:</w:t>
      </w:r>
      <w:r w:rsidRPr="006D4BC0">
        <w:rPr>
          <w:rFonts w:ascii="Arial" w:hAnsi="Arial" w:cs="Arial"/>
          <w:i/>
          <w:iCs/>
          <w:color w:val="000000"/>
          <w:sz w:val="21"/>
          <w:szCs w:val="21"/>
        </w:rPr>
        <w:t xml:space="preserve"> Bivariate landslide susceptibility–uncertainty map based on deployed Gaussian Process Classifier. Susceptibility (vertical axis) and predictive uncertainty (horizontal axis) were categorized into three ordinal classes </w:t>
      </w:r>
      <w:r w:rsidR="00335676">
        <w:rPr>
          <w:rFonts w:ascii="Arial" w:hAnsi="Arial" w:cs="Arial"/>
          <w:i/>
          <w:iCs/>
          <w:color w:val="000000"/>
          <w:sz w:val="21"/>
          <w:szCs w:val="21"/>
        </w:rPr>
        <w:t>using quantile thresholds</w:t>
      </w:r>
      <w:r w:rsidR="00162937">
        <w:rPr>
          <w:rFonts w:ascii="Arial" w:hAnsi="Arial" w:cs="Arial"/>
          <w:i/>
          <w:iCs/>
          <w:color w:val="000000"/>
          <w:sz w:val="21"/>
          <w:szCs w:val="21"/>
        </w:rPr>
        <w:t>, and the resulting categories were</w:t>
      </w:r>
      <w:r w:rsidR="00335676">
        <w:rPr>
          <w:rFonts w:ascii="Arial" w:hAnsi="Arial" w:cs="Arial"/>
          <w:i/>
          <w:iCs/>
          <w:color w:val="000000"/>
          <w:sz w:val="21"/>
          <w:szCs w:val="21"/>
        </w:rPr>
        <w:t xml:space="preserve"> </w:t>
      </w:r>
      <w:r w:rsidRPr="006D4BC0">
        <w:rPr>
          <w:rFonts w:ascii="Arial" w:hAnsi="Arial" w:cs="Arial"/>
          <w:i/>
          <w:iCs/>
          <w:color w:val="000000"/>
          <w:sz w:val="21"/>
          <w:szCs w:val="21"/>
        </w:rPr>
        <w:t>combined into a 3 × 3 matrix. The color of the squares indicates the combined classification of susceptibility and predictive uncertainty.</w:t>
      </w:r>
    </w:p>
    <w:p w14:paraId="283D53D5" w14:textId="77777777" w:rsidR="001F2FF7" w:rsidRPr="006D4BC0" w:rsidRDefault="001F2FF7" w:rsidP="006D4BC0">
      <w:pPr>
        <w:spacing w:before="0" w:after="0" w:line="276" w:lineRule="auto"/>
        <w:jc w:val="center"/>
        <w:rPr>
          <w:rFonts w:ascii="Arial" w:hAnsi="Arial" w:cs="Arial"/>
          <w:i/>
          <w:iCs/>
          <w:color w:val="000000"/>
          <w:sz w:val="21"/>
          <w:szCs w:val="21"/>
        </w:rPr>
      </w:pPr>
    </w:p>
    <w:p w14:paraId="255D4BF2" w14:textId="77777777" w:rsidR="0058719A" w:rsidRDefault="00492F38" w:rsidP="001F2FF7">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lastRenderedPageBreak/>
        <w:t>Susceptibility stratification is robust</w:t>
      </w:r>
      <w:r w:rsidR="00335676">
        <w:rPr>
          <w:rFonts w:ascii="Arial" w:hAnsi="Arial" w:cs="Arial"/>
          <w:color w:val="000000"/>
          <w:sz w:val="21"/>
          <w:szCs w:val="21"/>
        </w:rPr>
        <w:t>, as shown by SCAI analysis (Table 4</w:t>
      </w:r>
      <w:r w:rsidRPr="00340959">
        <w:rPr>
          <w:rFonts w:ascii="Arial" w:hAnsi="Arial" w:cs="Arial"/>
          <w:color w:val="000000"/>
          <w:sz w:val="21"/>
          <w:szCs w:val="21"/>
        </w:rPr>
        <w:t xml:space="preserve">). More specifically, the Very High class was predictive because it </w:t>
      </w:r>
      <w:r w:rsidR="00335676">
        <w:rPr>
          <w:rFonts w:ascii="Arial" w:hAnsi="Arial" w:cs="Arial"/>
          <w:color w:val="000000"/>
          <w:sz w:val="21"/>
          <w:szCs w:val="21"/>
        </w:rPr>
        <w:t>accounted for 78.71% of all mapped landslides but covered</w:t>
      </w:r>
      <w:r w:rsidRPr="00340959">
        <w:rPr>
          <w:rFonts w:ascii="Arial" w:hAnsi="Arial" w:cs="Arial"/>
          <w:color w:val="000000"/>
          <w:sz w:val="21"/>
          <w:szCs w:val="21"/>
        </w:rPr>
        <w:t xml:space="preserve"> only 9.47% of the study area. On the other hand, </w:t>
      </w:r>
      <w:r w:rsidR="00567FB5" w:rsidRPr="00340959">
        <w:rPr>
          <w:rFonts w:ascii="Arial" w:hAnsi="Arial" w:cs="Arial"/>
          <w:color w:val="000000"/>
          <w:sz w:val="21"/>
          <w:szCs w:val="21"/>
        </w:rPr>
        <w:t>the Very Low and Low classes, which together cover over 50% of the area, account for</w:t>
      </w:r>
      <w:r w:rsidRPr="00340959">
        <w:rPr>
          <w:rFonts w:ascii="Arial" w:hAnsi="Arial" w:cs="Arial"/>
          <w:color w:val="000000"/>
          <w:sz w:val="21"/>
          <w:szCs w:val="21"/>
        </w:rPr>
        <w:t xml:space="preserve"> only 1.3% of the landslides</w:t>
      </w:r>
      <w:r w:rsidR="00567FB5" w:rsidRPr="00340959">
        <w:rPr>
          <w:rFonts w:ascii="Arial" w:hAnsi="Arial" w:cs="Arial"/>
          <w:color w:val="000000"/>
          <w:sz w:val="21"/>
          <w:szCs w:val="21"/>
        </w:rPr>
        <w:t>.</w:t>
      </w:r>
      <w:r w:rsidRPr="00340959">
        <w:rPr>
          <w:rFonts w:ascii="Arial" w:hAnsi="Arial" w:cs="Arial"/>
          <w:color w:val="000000"/>
          <w:sz w:val="21"/>
          <w:szCs w:val="21"/>
        </w:rPr>
        <w:t xml:space="preserve"> The significant decrease in SCAI from Very Low (45.53) to Very High (0.12) </w:t>
      </w:r>
      <w:r w:rsidR="00335676">
        <w:rPr>
          <w:rFonts w:ascii="Arial" w:hAnsi="Arial" w:cs="Arial"/>
          <w:color w:val="000000"/>
          <w:sz w:val="21"/>
          <w:szCs w:val="21"/>
        </w:rPr>
        <w:t>indicates good spatial discrimination and the importance</w:t>
      </w:r>
      <w:r w:rsidRPr="00340959">
        <w:rPr>
          <w:rFonts w:ascii="Arial" w:hAnsi="Arial" w:cs="Arial"/>
          <w:color w:val="000000"/>
          <w:sz w:val="21"/>
          <w:szCs w:val="21"/>
        </w:rPr>
        <w:t xml:space="preserve"> of hazard zonation.</w:t>
      </w:r>
    </w:p>
    <w:p w14:paraId="17D22FA6" w14:textId="25BA35D9" w:rsidR="005B28E8" w:rsidRPr="005E73F7" w:rsidRDefault="00000000" w:rsidP="00335676">
      <w:pPr>
        <w:spacing w:before="0" w:after="0" w:line="360" w:lineRule="auto"/>
        <w:jc w:val="center"/>
        <w:rPr>
          <w:rFonts w:ascii="Arial" w:hAnsi="Arial" w:cs="Arial"/>
          <w:sz w:val="21"/>
          <w:szCs w:val="21"/>
        </w:rPr>
      </w:pPr>
      <w:r w:rsidRPr="005E73F7">
        <w:rPr>
          <w:rFonts w:ascii="Arial" w:hAnsi="Arial" w:cs="Arial"/>
          <w:color w:val="000000"/>
          <w:sz w:val="21"/>
          <w:szCs w:val="21"/>
        </w:rPr>
        <w:t>Table 4 SCAI by susceptibility tier</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6"/>
        <w:gridCol w:w="1304"/>
        <w:gridCol w:w="2143"/>
        <w:gridCol w:w="2829"/>
        <w:gridCol w:w="1004"/>
      </w:tblGrid>
      <w:tr w:rsidR="005B28E8" w:rsidRPr="00340959" w14:paraId="36C0A8ED" w14:textId="77777777" w:rsidTr="00335676">
        <w:trPr>
          <w:trHeight w:val="288"/>
          <w:jc w:val="center"/>
        </w:trPr>
        <w:tc>
          <w:tcPr>
            <w:tcW w:w="0" w:type="auto"/>
            <w:vAlign w:val="center"/>
          </w:tcPr>
          <w:p w14:paraId="757AC26D"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Tier</w:t>
            </w:r>
          </w:p>
        </w:tc>
        <w:tc>
          <w:tcPr>
            <w:tcW w:w="0" w:type="auto"/>
            <w:vAlign w:val="center"/>
          </w:tcPr>
          <w:p w14:paraId="0181C89C"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Area %</w:t>
            </w:r>
          </w:p>
        </w:tc>
        <w:tc>
          <w:tcPr>
            <w:tcW w:w="0" w:type="auto"/>
            <w:vAlign w:val="center"/>
          </w:tcPr>
          <w:p w14:paraId="6AF9C9A2"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Landslide %</w:t>
            </w:r>
          </w:p>
        </w:tc>
        <w:tc>
          <w:tcPr>
            <w:tcW w:w="0" w:type="auto"/>
            <w:vAlign w:val="center"/>
          </w:tcPr>
          <w:p w14:paraId="0BB93834"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Landslide Count</w:t>
            </w:r>
          </w:p>
        </w:tc>
        <w:tc>
          <w:tcPr>
            <w:tcW w:w="0" w:type="auto"/>
            <w:vAlign w:val="center"/>
          </w:tcPr>
          <w:p w14:paraId="5BADD491"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SCAI</w:t>
            </w:r>
          </w:p>
        </w:tc>
      </w:tr>
      <w:tr w:rsidR="005B28E8" w:rsidRPr="00340959" w14:paraId="37E18EF7" w14:textId="77777777" w:rsidTr="00335676">
        <w:trPr>
          <w:trHeight w:val="288"/>
          <w:jc w:val="center"/>
        </w:trPr>
        <w:tc>
          <w:tcPr>
            <w:tcW w:w="0" w:type="auto"/>
            <w:vAlign w:val="center"/>
          </w:tcPr>
          <w:p w14:paraId="181D554E"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Very Low</w:t>
            </w:r>
          </w:p>
        </w:tc>
        <w:tc>
          <w:tcPr>
            <w:tcW w:w="0" w:type="auto"/>
            <w:vAlign w:val="center"/>
          </w:tcPr>
          <w:p w14:paraId="385E5692"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29.37</w:t>
            </w:r>
          </w:p>
        </w:tc>
        <w:tc>
          <w:tcPr>
            <w:tcW w:w="0" w:type="auto"/>
            <w:vAlign w:val="center"/>
          </w:tcPr>
          <w:p w14:paraId="162BF296"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0.65</w:t>
            </w:r>
          </w:p>
        </w:tc>
        <w:tc>
          <w:tcPr>
            <w:tcW w:w="0" w:type="auto"/>
            <w:vAlign w:val="center"/>
          </w:tcPr>
          <w:p w14:paraId="2F062C46"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1</w:t>
            </w:r>
          </w:p>
        </w:tc>
        <w:tc>
          <w:tcPr>
            <w:tcW w:w="0" w:type="auto"/>
            <w:vAlign w:val="center"/>
          </w:tcPr>
          <w:p w14:paraId="1ADD53B9"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45.53</w:t>
            </w:r>
          </w:p>
        </w:tc>
      </w:tr>
      <w:tr w:rsidR="005B28E8" w:rsidRPr="00340959" w14:paraId="4CA85A9B" w14:textId="77777777" w:rsidTr="00335676">
        <w:trPr>
          <w:trHeight w:val="288"/>
          <w:jc w:val="center"/>
        </w:trPr>
        <w:tc>
          <w:tcPr>
            <w:tcW w:w="0" w:type="auto"/>
            <w:vAlign w:val="center"/>
          </w:tcPr>
          <w:p w14:paraId="63365A64"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Low</w:t>
            </w:r>
          </w:p>
        </w:tc>
        <w:tc>
          <w:tcPr>
            <w:tcW w:w="0" w:type="auto"/>
            <w:vAlign w:val="center"/>
          </w:tcPr>
          <w:p w14:paraId="3736A52A"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23.16</w:t>
            </w:r>
          </w:p>
        </w:tc>
        <w:tc>
          <w:tcPr>
            <w:tcW w:w="0" w:type="auto"/>
            <w:vAlign w:val="center"/>
          </w:tcPr>
          <w:p w14:paraId="466B193E"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0.65</w:t>
            </w:r>
          </w:p>
        </w:tc>
        <w:tc>
          <w:tcPr>
            <w:tcW w:w="0" w:type="auto"/>
            <w:vAlign w:val="center"/>
          </w:tcPr>
          <w:p w14:paraId="15B44953"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1</w:t>
            </w:r>
          </w:p>
        </w:tc>
        <w:tc>
          <w:tcPr>
            <w:tcW w:w="0" w:type="auto"/>
            <w:vAlign w:val="center"/>
          </w:tcPr>
          <w:p w14:paraId="406DBAE9"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35.90</w:t>
            </w:r>
          </w:p>
        </w:tc>
      </w:tr>
      <w:tr w:rsidR="005B28E8" w:rsidRPr="00340959" w14:paraId="0CAFECBF" w14:textId="77777777" w:rsidTr="00335676">
        <w:trPr>
          <w:trHeight w:val="288"/>
          <w:jc w:val="center"/>
        </w:trPr>
        <w:tc>
          <w:tcPr>
            <w:tcW w:w="0" w:type="auto"/>
            <w:vAlign w:val="center"/>
          </w:tcPr>
          <w:p w14:paraId="71A8BD9A"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Moderate</w:t>
            </w:r>
          </w:p>
        </w:tc>
        <w:tc>
          <w:tcPr>
            <w:tcW w:w="0" w:type="auto"/>
            <w:vAlign w:val="center"/>
          </w:tcPr>
          <w:p w14:paraId="717EC038"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24.04</w:t>
            </w:r>
          </w:p>
        </w:tc>
        <w:tc>
          <w:tcPr>
            <w:tcW w:w="0" w:type="auto"/>
            <w:vAlign w:val="center"/>
          </w:tcPr>
          <w:p w14:paraId="26A1072D"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5.81</w:t>
            </w:r>
          </w:p>
        </w:tc>
        <w:tc>
          <w:tcPr>
            <w:tcW w:w="0" w:type="auto"/>
            <w:vAlign w:val="center"/>
          </w:tcPr>
          <w:p w14:paraId="0A9D134E"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9</w:t>
            </w:r>
          </w:p>
        </w:tc>
        <w:tc>
          <w:tcPr>
            <w:tcW w:w="0" w:type="auto"/>
            <w:vAlign w:val="center"/>
          </w:tcPr>
          <w:p w14:paraId="46FA5587"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4.14</w:t>
            </w:r>
          </w:p>
        </w:tc>
      </w:tr>
      <w:tr w:rsidR="005B28E8" w:rsidRPr="00340959" w14:paraId="0F50187A" w14:textId="77777777" w:rsidTr="00335676">
        <w:trPr>
          <w:trHeight w:val="288"/>
          <w:jc w:val="center"/>
        </w:trPr>
        <w:tc>
          <w:tcPr>
            <w:tcW w:w="0" w:type="auto"/>
            <w:vAlign w:val="center"/>
          </w:tcPr>
          <w:p w14:paraId="541A008D"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High</w:t>
            </w:r>
          </w:p>
        </w:tc>
        <w:tc>
          <w:tcPr>
            <w:tcW w:w="0" w:type="auto"/>
            <w:vAlign w:val="center"/>
          </w:tcPr>
          <w:p w14:paraId="0493FEAA"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13.96</w:t>
            </w:r>
          </w:p>
        </w:tc>
        <w:tc>
          <w:tcPr>
            <w:tcW w:w="0" w:type="auto"/>
            <w:vAlign w:val="center"/>
          </w:tcPr>
          <w:p w14:paraId="3C9D6047"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14.19</w:t>
            </w:r>
          </w:p>
        </w:tc>
        <w:tc>
          <w:tcPr>
            <w:tcW w:w="0" w:type="auto"/>
            <w:vAlign w:val="center"/>
          </w:tcPr>
          <w:p w14:paraId="7C83572F"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22</w:t>
            </w:r>
          </w:p>
        </w:tc>
        <w:tc>
          <w:tcPr>
            <w:tcW w:w="0" w:type="auto"/>
            <w:vAlign w:val="center"/>
          </w:tcPr>
          <w:p w14:paraId="55B4ACA5"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0.98</w:t>
            </w:r>
          </w:p>
        </w:tc>
      </w:tr>
      <w:tr w:rsidR="005B28E8" w:rsidRPr="00340959" w14:paraId="0FC624D9" w14:textId="77777777" w:rsidTr="00335676">
        <w:trPr>
          <w:trHeight w:val="288"/>
          <w:jc w:val="center"/>
        </w:trPr>
        <w:tc>
          <w:tcPr>
            <w:tcW w:w="0" w:type="auto"/>
            <w:vAlign w:val="center"/>
          </w:tcPr>
          <w:p w14:paraId="0EC7AE54"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Very High</w:t>
            </w:r>
          </w:p>
        </w:tc>
        <w:tc>
          <w:tcPr>
            <w:tcW w:w="0" w:type="auto"/>
            <w:vAlign w:val="center"/>
          </w:tcPr>
          <w:p w14:paraId="1D779439"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9.47</w:t>
            </w:r>
          </w:p>
        </w:tc>
        <w:tc>
          <w:tcPr>
            <w:tcW w:w="0" w:type="auto"/>
            <w:vAlign w:val="center"/>
          </w:tcPr>
          <w:p w14:paraId="0F7E2208"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78.71</w:t>
            </w:r>
          </w:p>
        </w:tc>
        <w:tc>
          <w:tcPr>
            <w:tcW w:w="0" w:type="auto"/>
            <w:vAlign w:val="center"/>
          </w:tcPr>
          <w:p w14:paraId="74EC3FC8"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122</w:t>
            </w:r>
          </w:p>
        </w:tc>
        <w:tc>
          <w:tcPr>
            <w:tcW w:w="0" w:type="auto"/>
            <w:vAlign w:val="center"/>
          </w:tcPr>
          <w:p w14:paraId="2657C24F" w14:textId="77777777" w:rsidR="005B28E8" w:rsidRPr="00340959" w:rsidRDefault="00000000" w:rsidP="00335676">
            <w:pPr>
              <w:spacing w:before="0" w:after="0" w:line="276" w:lineRule="auto"/>
              <w:jc w:val="center"/>
              <w:rPr>
                <w:rFonts w:ascii="Arial" w:hAnsi="Arial" w:cs="Arial"/>
                <w:sz w:val="21"/>
                <w:szCs w:val="21"/>
              </w:rPr>
            </w:pPr>
            <w:r w:rsidRPr="00340959">
              <w:rPr>
                <w:rFonts w:ascii="Arial" w:hAnsi="Arial" w:cs="Arial"/>
                <w:color w:val="000000"/>
                <w:sz w:val="21"/>
                <w:szCs w:val="21"/>
              </w:rPr>
              <w:t>0.12</w:t>
            </w:r>
          </w:p>
        </w:tc>
      </w:tr>
    </w:tbl>
    <w:p w14:paraId="38DF00A4" w14:textId="77777777" w:rsidR="00E104DB" w:rsidRPr="00340959" w:rsidRDefault="00E104DB" w:rsidP="00340959">
      <w:pPr>
        <w:pStyle w:val="Heading1"/>
        <w:spacing w:before="0" w:after="0" w:line="360" w:lineRule="auto"/>
        <w:jc w:val="both"/>
        <w:rPr>
          <w:rFonts w:ascii="Arial" w:hAnsi="Arial" w:cs="Arial"/>
          <w:color w:val="000000"/>
          <w:sz w:val="21"/>
          <w:szCs w:val="21"/>
        </w:rPr>
      </w:pPr>
    </w:p>
    <w:p w14:paraId="3F804BA2" w14:textId="322E64D5" w:rsidR="005B28E8" w:rsidRPr="005E73F7" w:rsidRDefault="00000000" w:rsidP="00340959">
      <w:pPr>
        <w:pStyle w:val="Heading1"/>
        <w:spacing w:before="0" w:after="0" w:line="360" w:lineRule="auto"/>
        <w:rPr>
          <w:rFonts w:ascii="Arial" w:hAnsi="Arial" w:cs="Arial"/>
          <w:b/>
          <w:bCs/>
          <w:color w:val="7030A0"/>
          <w:sz w:val="21"/>
          <w:szCs w:val="21"/>
        </w:rPr>
      </w:pPr>
      <w:r w:rsidRPr="005E73F7">
        <w:rPr>
          <w:rFonts w:ascii="Arial" w:hAnsi="Arial" w:cs="Arial"/>
          <w:b/>
          <w:bCs/>
          <w:color w:val="7030A0"/>
          <w:sz w:val="21"/>
          <w:szCs w:val="21"/>
        </w:rPr>
        <w:t>Discussion</w:t>
      </w:r>
    </w:p>
    <w:p w14:paraId="7D1BC178" w14:textId="73CB595C" w:rsidR="00492F38" w:rsidRPr="00340959"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The comparative evaluation of deterministic and Bayesian classifiers reveals the trade-off between discriminative strength and probabilistic reliability. Random Forest showed the best discrimination on </w:t>
      </w:r>
      <w:r w:rsidR="00B4552B">
        <w:rPr>
          <w:rFonts w:ascii="Arial" w:hAnsi="Arial" w:cs="Arial"/>
          <w:color w:val="000000"/>
          <w:sz w:val="21"/>
          <w:szCs w:val="21"/>
        </w:rPr>
        <w:t xml:space="preserve">the </w:t>
      </w:r>
      <w:r w:rsidRPr="00340959">
        <w:rPr>
          <w:rFonts w:ascii="Arial" w:hAnsi="Arial" w:cs="Arial"/>
          <w:color w:val="000000"/>
          <w:sz w:val="21"/>
          <w:szCs w:val="21"/>
        </w:rPr>
        <w:t xml:space="preserve">independent holdout dataset, confirming its ability to model nonlinear interactions between geomorphological and hydrological predictors. </w:t>
      </w:r>
      <w:r w:rsidR="005E73F7">
        <w:rPr>
          <w:rFonts w:ascii="Arial" w:hAnsi="Arial" w:cs="Arial"/>
          <w:color w:val="000000"/>
          <w:sz w:val="21"/>
          <w:szCs w:val="21"/>
        </w:rPr>
        <w:t>Although the Random Forest achieved the highest ROC-AUC and MCC scores</w:t>
      </w:r>
      <w:r w:rsidR="006D1AD2" w:rsidRPr="00340959">
        <w:rPr>
          <w:rFonts w:ascii="Arial" w:hAnsi="Arial" w:cs="Arial"/>
          <w:color w:val="000000"/>
          <w:sz w:val="21"/>
          <w:szCs w:val="21"/>
        </w:rPr>
        <w:t>, the Gaussian Process Classifier (GPC) exhibited the lowest Expected Calibration Error, indicating the best agreement between predicted probabilities and</w:t>
      </w:r>
      <w:r w:rsidRPr="00340959">
        <w:rPr>
          <w:rFonts w:ascii="Arial" w:hAnsi="Arial" w:cs="Arial"/>
          <w:color w:val="000000"/>
          <w:sz w:val="21"/>
          <w:szCs w:val="21"/>
        </w:rPr>
        <w:t xml:space="preserve"> observed landslide frequency. Hence, the multi-criteria framework with weights </w:t>
      </w:r>
      <w:r w:rsidR="001813BC" w:rsidRPr="00340959">
        <w:rPr>
          <w:rFonts w:ascii="Arial" w:hAnsi="Arial" w:cs="Arial"/>
          <w:color w:val="000000"/>
          <w:sz w:val="21"/>
          <w:szCs w:val="21"/>
        </w:rPr>
        <w:t>focuses on achieving balanced performance across discrimination, calibration, and spatial robustness to select which one to deploy from</w:t>
      </w:r>
      <w:r w:rsidRPr="00340959">
        <w:rPr>
          <w:rFonts w:ascii="Arial" w:hAnsi="Arial" w:cs="Arial"/>
          <w:color w:val="000000"/>
          <w:sz w:val="21"/>
          <w:szCs w:val="21"/>
        </w:rPr>
        <w:t xml:space="preserve"> GPC. Its selection in the current study was additionally justified by its improved predictive </w:t>
      </w:r>
      <w:r w:rsidR="00D53A16" w:rsidRPr="00340959">
        <w:rPr>
          <w:rFonts w:ascii="Arial" w:hAnsi="Arial" w:cs="Arial"/>
          <w:color w:val="000000"/>
          <w:sz w:val="21"/>
          <w:szCs w:val="21"/>
        </w:rPr>
        <w:t>performance and lower false-positive rates compared with other models</w:t>
      </w:r>
      <w:r w:rsidRPr="00340959">
        <w:rPr>
          <w:rFonts w:ascii="Arial" w:hAnsi="Arial" w:cs="Arial"/>
          <w:color w:val="000000"/>
          <w:sz w:val="21"/>
          <w:szCs w:val="21"/>
        </w:rPr>
        <w:t xml:space="preserve">, resulting in a more reliable and robust evaluation of landslide susceptibility </w:t>
      </w:r>
      <w:r w:rsidR="009067BE"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{"citationID":"FwkptklF","properties":{"formattedCitation":"(Singh et al. 2025)","plainCitation":"(Singh et al. 2025)","noteIndex":0},"citationItems":[{"id":164,"uris":["http://zotero.org/users/local/emosa1lm/items/TEZX9J5N"],"itemData":{"id":164,"type":"article-journal","abstract":"Abstract Invasive species management is often constrained by limited resources and complicated by ecological and socio-economic variability across landscapes, leading to inconsistent outcomes. We use water hyacinth ( Pontederia crassipes ) in South Africa as a case study to demonstrate how combining earth observation (EO) data, species distribution models (SDMs), and explainable artificial intelligence (xAI) can support more spatially explicit and context-sensitive management strategies. Despite decades of control efforts, water hyacinth remains widespread, with its proliferation shaped by ecological and socio-economic contexts in which the weed proliferates. Using SHapley Additive exPlanations (SHAP), we studied the environmental and socio-economic contexts impacting water hyacinth prevalence across multiple spatial scales in South Africa. Consistent patterns emerged with known physiological constraints, such as minimum temperature, while novel spatial trends were revealed—highlighting temperature effects along the coast and the role of vegetation type in inland regions. These insights offer opportunities for targeted fieldwork to investigate emergent non-linear relationships and interaction effects between covariates. The spatially explicit outputs, covering all South African water bodies, provide a low-cost, scalable tool to guide the prioritization of risk, inform monitoring and early detection efforts, and support the selection of locally appropriate management strategies. While focused on water hyacinth, our approach is generalizable to other invasive species, illustrating the value of integrating EO data and xAI to enhance understanding of species-environment dynamics and enable adaptive, data-driven intervention planning.","container-title":"Environmental Monitoring and Assessment","DOI":"10.1007/s10661-025-14517-1","ISSN":"0167-6369, 1573-2959","issue":"11","PMID":"41044279","publisher":"Springer Science+Business Media","title":"An earth observation and explainable machine learning approach for determining the drivers of invasive species — a water hyacinth case study","URL":"https://doi.org/10.1007/s10661-025-14517-1","volume":"197","author":[{"family":"Singh","given":"Geethen"},{"family":"Rosman","given":"Benjamin"},{"family":"Byrne","given":"Marcus J."},{"family":"Reynolds","given":"Chevonne"}],"issued":{"date-parts":[["2025",10]]}}}],"schema":"https://github.com/citation-style-language/schema/raw/master/csl-citation.json"} </w:instrText>
      </w:r>
      <w:r w:rsidR="009067BE" w:rsidRPr="00340959">
        <w:rPr>
          <w:rFonts w:ascii="Arial" w:hAnsi="Arial" w:cs="Arial"/>
          <w:color w:val="000000"/>
          <w:sz w:val="21"/>
          <w:szCs w:val="21"/>
        </w:rPr>
        <w:fldChar w:fldCharType="separate"/>
      </w:r>
      <w:r w:rsidR="0050478C" w:rsidRPr="0050478C">
        <w:rPr>
          <w:rFonts w:ascii="Arial" w:hAnsi="Arial" w:cs="Arial"/>
          <w:sz w:val="21"/>
        </w:rPr>
        <w:t>(Singh et al. 2025)</w:t>
      </w:r>
      <w:r w:rsidR="009067BE" w:rsidRPr="00340959">
        <w:rPr>
          <w:rFonts w:ascii="Arial" w:hAnsi="Arial" w:cs="Arial"/>
          <w:color w:val="000000"/>
          <w:sz w:val="21"/>
          <w:szCs w:val="21"/>
        </w:rPr>
        <w:fldChar w:fldCharType="end"/>
      </w:r>
      <w:r w:rsidRPr="00340959">
        <w:rPr>
          <w:rFonts w:ascii="Arial" w:hAnsi="Arial" w:cs="Arial"/>
          <w:color w:val="000000"/>
          <w:sz w:val="21"/>
          <w:szCs w:val="21"/>
        </w:rPr>
        <w:t xml:space="preserve">. </w:t>
      </w:r>
    </w:p>
    <w:p w14:paraId="404643FC" w14:textId="5EA61810" w:rsidR="005B28E8" w:rsidRPr="00340959" w:rsidRDefault="00492F38"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The explicit comparison between repeated stratified cross-validation and spatial block cross-validation highlights the necessity of geographically realistic validation schemes</w:t>
      </w:r>
      <w:r w:rsidR="009067BE" w:rsidRPr="00340959">
        <w:rPr>
          <w:rFonts w:ascii="Arial" w:hAnsi="Arial" w:cs="Arial"/>
          <w:color w:val="000000"/>
          <w:sz w:val="21"/>
          <w:szCs w:val="21"/>
        </w:rPr>
        <w:t xml:space="preserve"> </w:t>
      </w:r>
      <w:r w:rsidR="009067BE"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{"citationID":"8k7Z7Vq9","properties":{"formattedCitation":"(Wang et al. 2023)","plainCitation":"(Wang et al. 2023)","noteIndex":0},"citationItems":[{"id":179,"uris":["http://zotero.org/users/local/emosa1lm/items/583VG9NB"],"itemData":{"id":179,"type":"article-journal","abstract":"Random cross-validation (CV) is often used to evaluate geospatial machine learning models, particularly when a limited amount of sample data are available, and collecting an extra test set is unfeasible. However, the prediction locations can be substantially different from the available sample, leading to over-optimistic evaluation results. This has fostered the development of spatial CV methods. Yet these methods only focus on spatial autocorrelation and cannot sufficiently guarantee that the validation subset is a good proxy of the test set with significant differences. In this paper, we propose the spatial+ cross-validation (SP-CV) method. This method, which considers both the geographic and feature spaces, is composed of two stages. The first stage addresses spatial autocorrelation issues by using agglomerative hierarchical clustering to divide the available sample into blocks. The second stage deals with multiple sources of differences. It uses cluster ensembles to split the blocks into training and validation folds based on the locations of the sample data and the values of the covariates and target variable. The proposed method is compared against random and block CV methods in a series of experiments with Amazon basin above ground biomass and California houseprice datasets. Our results show that SP-CV provided the smallest error differences with respect to the reference error. This means that SP-CV produced more representative splits and led to more reliable model evaluations. It suggests that a reliable model evaluation requires to consider both the geographic and the feature spaces in a comprehensive manner.","container-title":"International Journal of Applied Earth Observation and Geoinformation","DOI":"10.1016/j.jag.2023.103364","ISSN":"1569-8432, 1872-826X","page":"103364-103364","publisher":"Elsevier BV","title":"Spatial+: A new cross-validation method to evaluate geospatial machine learning models","volume":"121","author":[{"family"</w:instrText>
      </w:r>
      <w:r w:rsidR="0050478C">
        <w:rPr>
          <w:rFonts w:ascii="Arial" w:hAnsi="Arial" w:cs="Arial" w:hint="eastAsia"/>
          <w:color w:val="000000"/>
          <w:sz w:val="21"/>
          <w:szCs w:val="21"/>
        </w:rPr>
        <w:instrText>:"Wang","given":"Yanwen"},{"family":"Khodadadzadeh","given":"Mahdi"},{"family":"Zurita</w:instrText>
      </w:r>
      <w:r w:rsidR="0050478C">
        <w:rPr>
          <w:rFonts w:ascii="Cambria Math" w:hAnsi="Cambria Math" w:cs="Cambria Math"/>
          <w:color w:val="000000"/>
          <w:sz w:val="21"/>
          <w:szCs w:val="21"/>
        </w:rPr>
        <w:instrText>‐</w:instrText>
      </w:r>
      <w:r w:rsidR="0050478C">
        <w:rPr>
          <w:rFonts w:ascii="Arial" w:hAnsi="Arial" w:cs="Arial" w:hint="eastAsia"/>
          <w:color w:val="000000"/>
          <w:sz w:val="21"/>
          <w:szCs w:val="21"/>
        </w:rPr>
        <w:instrText xml:space="preserve">Milla","given":"R."}],"issued":{"date-parts":[["2023",5]]}}}],"schema":"https://github.com/citation-style-language/schema/raw/master/csl-citation.json"} </w:instrText>
      </w:r>
      <w:r w:rsidR="009067BE" w:rsidRPr="00340959">
        <w:rPr>
          <w:rFonts w:ascii="Arial" w:hAnsi="Arial" w:cs="Arial"/>
          <w:color w:val="000000"/>
          <w:sz w:val="21"/>
          <w:szCs w:val="21"/>
        </w:rPr>
        <w:fldChar w:fldCharType="separate"/>
      </w:r>
      <w:r w:rsidR="0050478C" w:rsidRPr="0050478C">
        <w:rPr>
          <w:rFonts w:ascii="Arial" w:hAnsi="Arial" w:cs="Arial"/>
          <w:sz w:val="21"/>
        </w:rPr>
        <w:t>(Wang et al. 2023)</w:t>
      </w:r>
      <w:r w:rsidR="009067BE" w:rsidRPr="00340959">
        <w:rPr>
          <w:rFonts w:ascii="Arial" w:hAnsi="Arial" w:cs="Arial"/>
          <w:color w:val="000000"/>
          <w:sz w:val="21"/>
          <w:szCs w:val="21"/>
        </w:rPr>
        <w:fldChar w:fldCharType="end"/>
      </w:r>
      <w:r w:rsidRPr="00340959">
        <w:rPr>
          <w:rFonts w:ascii="Arial" w:hAnsi="Arial" w:cs="Arial"/>
          <w:color w:val="000000"/>
          <w:sz w:val="21"/>
          <w:szCs w:val="21"/>
        </w:rPr>
        <w:t xml:space="preserve">. Performance under spatial blocking </w:t>
      </w:r>
      <w:r w:rsidR="00F85F55" w:rsidRPr="00340959">
        <w:rPr>
          <w:rFonts w:ascii="Arial" w:hAnsi="Arial" w:cs="Arial"/>
          <w:color w:val="000000"/>
          <w:sz w:val="21"/>
          <w:szCs w:val="21"/>
        </w:rPr>
        <w:t>validates</w:t>
      </w:r>
      <w:r w:rsidRPr="00340959">
        <w:rPr>
          <w:rFonts w:ascii="Arial" w:hAnsi="Arial" w:cs="Arial"/>
          <w:color w:val="000000"/>
          <w:sz w:val="21"/>
          <w:szCs w:val="21"/>
        </w:rPr>
        <w:t xml:space="preserve"> that random cross-validation overestimates metrics due to spatial autocorrelation effects in training and testing samples </w:t>
      </w:r>
      <w:r w:rsidR="00AC4CAA" w:rsidRPr="0034095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{"citationID":"Aj0wnWDP","properties":{"formattedCitation":"(Wang et al. 2023)","plainCitation":"(Wang et al. 2023)","noteIndex":0},"citationItems":[{"id":179,"uris":["http://zotero.org/users/local/emosa1lm/items/583VG9NB"],"itemData":{"id":179,"type":"article-journal","abstract":"Random cross-validation (CV) is often used to evaluate geospatial machine learning models, particularly when a limited amount of sample data are available, and collecting an extra test set is unfeasible. However, the prediction locations can be substantially different from the available sample, leading to over-optimistic evaluation results. This has fostered the development of spatial CV methods. Yet these methods only focus on spatial autocorrelation and cannot sufficiently guarantee that the validation subset is a good proxy of the test set with significant differences. In this paper, we propose the spatial+ cross-validation (SP-CV) method. This method, which considers both the geographic and feature spaces, is composed of two stages. The first stage addresses spatial autocorrelation issues by using agglomerative hierarchical clustering to divide the available sample into blocks. The second stage deals with multiple sources of differences. It uses cluster ensembles to split the blocks into training and validation folds based on the locations of the sample data and the values of the covariates and target variable. The proposed method is compared against random and block CV methods in a series of experiments with Amazon basin above ground biomass and California houseprice datasets. Our results show that SP-CV provided the smallest error differences with respect to the reference error. This means that SP-CV produced more representative splits and led to more reliable model evaluations. It suggests that a reliable model evaluation requires to consider both the geographic and the feature spaces in a comprehensive manner.","container-title":"International Journal of Applied Earth Observation and Geoinformation","DOI":"10.1016/j.jag.2023.103364","ISSN":"1569-8432, 1872-826X","page":"103364-103364","publisher":"Elsevier BV","title":"Spatial+: A new cross-validation method to evaluate geospatial machine learning models","volume":"121","author":[{"family"</w:instrText>
      </w:r>
      <w:r w:rsidR="0050478C">
        <w:rPr>
          <w:rFonts w:ascii="Arial" w:hAnsi="Arial" w:cs="Arial" w:hint="eastAsia"/>
          <w:color w:val="000000"/>
          <w:sz w:val="21"/>
          <w:szCs w:val="21"/>
        </w:rPr>
        <w:instrText>:"Wang","given":"Yanwen"},{"family":"Khodadadzadeh","given":"Mahdi"},{"family":"Zurita</w:instrText>
      </w:r>
      <w:r w:rsidR="0050478C">
        <w:rPr>
          <w:rFonts w:ascii="Cambria Math" w:hAnsi="Cambria Math" w:cs="Cambria Math"/>
          <w:color w:val="000000"/>
          <w:sz w:val="21"/>
          <w:szCs w:val="21"/>
        </w:rPr>
        <w:instrText>‐</w:instrText>
      </w:r>
      <w:r w:rsidR="0050478C">
        <w:rPr>
          <w:rFonts w:ascii="Arial" w:hAnsi="Arial" w:cs="Arial" w:hint="eastAsia"/>
          <w:color w:val="000000"/>
          <w:sz w:val="21"/>
          <w:szCs w:val="21"/>
        </w:rPr>
        <w:instrText xml:space="preserve">Milla","given":"R."}],"issued":{"date-parts":[["2023",5]]}}}],"schema":"https://github.com/citation-style-language/schema/raw/master/csl-citation.json"} </w:instrText>
      </w:r>
      <w:r w:rsidR="00AC4CAA" w:rsidRPr="00340959">
        <w:rPr>
          <w:rFonts w:ascii="Arial" w:hAnsi="Arial" w:cs="Arial"/>
          <w:color w:val="000000"/>
          <w:sz w:val="21"/>
          <w:szCs w:val="21"/>
        </w:rPr>
        <w:fldChar w:fldCharType="separate"/>
      </w:r>
      <w:r w:rsidR="0050478C" w:rsidRPr="0050478C">
        <w:rPr>
          <w:rFonts w:ascii="Arial" w:hAnsi="Arial" w:cs="Arial"/>
          <w:sz w:val="21"/>
        </w:rPr>
        <w:t>(Wang et al. 2023)</w:t>
      </w:r>
      <w:r w:rsidR="00AC4CAA" w:rsidRPr="00340959">
        <w:rPr>
          <w:rFonts w:ascii="Arial" w:hAnsi="Arial" w:cs="Arial"/>
          <w:color w:val="000000"/>
          <w:sz w:val="21"/>
          <w:szCs w:val="21"/>
        </w:rPr>
        <w:fldChar w:fldCharType="end"/>
      </w:r>
      <w:r w:rsidRPr="00340959">
        <w:rPr>
          <w:rFonts w:ascii="Arial" w:hAnsi="Arial" w:cs="Arial"/>
          <w:color w:val="000000"/>
          <w:sz w:val="21"/>
          <w:szCs w:val="21"/>
        </w:rPr>
        <w:t xml:space="preserve">. However, differences between models </w:t>
      </w:r>
      <w:r w:rsidR="006D1AD2" w:rsidRPr="00340959">
        <w:rPr>
          <w:rFonts w:ascii="Arial" w:hAnsi="Arial" w:cs="Arial"/>
          <w:color w:val="000000"/>
          <w:sz w:val="21"/>
          <w:szCs w:val="21"/>
        </w:rPr>
        <w:t>persisted across test schemes, indicating stable</w:t>
      </w:r>
      <w:r w:rsidRPr="00340959">
        <w:rPr>
          <w:rFonts w:ascii="Arial" w:hAnsi="Arial" w:cs="Arial"/>
          <w:color w:val="000000"/>
          <w:sz w:val="21"/>
          <w:szCs w:val="21"/>
        </w:rPr>
        <w:t xml:space="preserve"> model </w:t>
      </w:r>
      <w:r w:rsidR="00F85F55">
        <w:rPr>
          <w:rFonts w:ascii="Arial" w:hAnsi="Arial" w:cs="Arial"/>
          <w:color w:val="000000"/>
          <w:sz w:val="21"/>
          <w:szCs w:val="21"/>
        </w:rPr>
        <w:t>behavior</w:t>
      </w:r>
      <w:r w:rsidRPr="00340959">
        <w:rPr>
          <w:rFonts w:ascii="Arial" w:hAnsi="Arial" w:cs="Arial"/>
          <w:color w:val="000000"/>
          <w:sz w:val="21"/>
          <w:szCs w:val="21"/>
        </w:rPr>
        <w:t xml:space="preserve">. Bayesian models can </w:t>
      </w:r>
      <w:r w:rsidR="00D53A16" w:rsidRPr="00340959">
        <w:rPr>
          <w:rFonts w:ascii="Arial" w:hAnsi="Arial" w:cs="Arial"/>
          <w:color w:val="000000"/>
          <w:sz w:val="21"/>
          <w:szCs w:val="21"/>
        </w:rPr>
        <w:t>further reduce overconfidence by representing the uncertainty in</w:t>
      </w:r>
      <w:r w:rsidRPr="00340959">
        <w:rPr>
          <w:rFonts w:ascii="Arial" w:hAnsi="Arial" w:cs="Arial"/>
          <w:color w:val="000000"/>
          <w:sz w:val="21"/>
          <w:szCs w:val="21"/>
        </w:rPr>
        <w:t xml:space="preserve"> extrapolated regions</w:t>
      </w:r>
      <w:r w:rsidR="007E51DD">
        <w:rPr>
          <w:rFonts w:ascii="Arial" w:hAnsi="Arial" w:cs="Arial"/>
          <w:color w:val="000000"/>
          <w:sz w:val="21"/>
          <w:szCs w:val="21"/>
        </w:rPr>
        <w:t xml:space="preserve"> </w:t>
      </w:r>
      <w:r w:rsidR="007E51DD">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{"citationID":"Wn587Bqm","properties":{"formattedCitation":"(Naceur et al. 2026)","plainCitation":"(Naceur et al. 2026)","noteIndex":0},"citationItems":[{"id":177,"uris":["http://zotero.org/users/local/emosa1lm/items/5A5PI5QE"],"itemData":{"id":177,"type":"article-journal","container-title":"Geomatics Natural Hazards and Risk","DOI":"10.1080/19475705.2026.2625403","ISSN":"1947-5705, 1947-5713","issue":"1","publisher":"Taylor &amp; Francis","title":"Integrating geospatial data and hybrid machine learning models for landslide susceptibility assessment in semi-arid environments","URL":"https://doi.org/10.1080/19475705.2026.2625403","volume":"17","author":[{"family":"Naceur","given":"Hassan Ait"},{"family":"Igmoullan","given":"Brahim"},{"family":"Namous","given":"Mustapha"},{"family":"Lassiane","given":"Youssef"},{"family":"Benazun","given":"Hoda"},{"family":"Mallick","given":"Javed"},{"family":"Hang","given":"Hoang Thi"},{"family":"Abdo","given":"Hazem Ghassan"}],"issued":{"date-parts":[["2026",2]]}}}],"schema":"https://github.com/citation-style-language/schema/raw/master/csl-citation.json"} </w:instrText>
      </w:r>
      <w:r w:rsidR="007E51DD">
        <w:rPr>
          <w:rFonts w:ascii="Arial" w:hAnsi="Arial" w:cs="Arial"/>
          <w:color w:val="000000"/>
          <w:sz w:val="21"/>
          <w:szCs w:val="21"/>
        </w:rPr>
        <w:fldChar w:fldCharType="separate"/>
      </w:r>
      <w:r w:rsidR="0050478C" w:rsidRPr="0050478C">
        <w:rPr>
          <w:rFonts w:ascii="Arial" w:hAnsi="Arial" w:cs="Arial"/>
          <w:sz w:val="21"/>
        </w:rPr>
        <w:t>(Naceur et al. 2026)</w:t>
      </w:r>
      <w:r w:rsidR="007E51DD">
        <w:rPr>
          <w:rFonts w:ascii="Arial" w:hAnsi="Arial" w:cs="Arial"/>
          <w:color w:val="000000"/>
          <w:sz w:val="21"/>
          <w:szCs w:val="21"/>
        </w:rPr>
        <w:fldChar w:fldCharType="end"/>
      </w:r>
      <w:r w:rsidR="007E51DD">
        <w:rPr>
          <w:rFonts w:ascii="Arial" w:hAnsi="Arial" w:cs="Arial"/>
          <w:color w:val="000000"/>
          <w:sz w:val="21"/>
          <w:szCs w:val="21"/>
        </w:rPr>
        <w:t>.</w:t>
      </w:r>
      <w:r w:rsidRPr="00340959">
        <w:rPr>
          <w:rFonts w:ascii="Arial" w:hAnsi="Arial" w:cs="Arial"/>
          <w:color w:val="000000"/>
          <w:sz w:val="21"/>
          <w:szCs w:val="21"/>
        </w:rPr>
        <w:t xml:space="preserve"> The increased predictive variance at </w:t>
      </w:r>
      <w:r w:rsidR="00E40E38">
        <w:rPr>
          <w:rFonts w:ascii="Arial" w:hAnsi="Arial" w:cs="Arial"/>
          <w:color w:val="000000"/>
          <w:sz w:val="21"/>
          <w:szCs w:val="21"/>
        </w:rPr>
        <w:t xml:space="preserve">susceptibility transition zones </w:t>
      </w:r>
      <w:r w:rsidRPr="00340959">
        <w:rPr>
          <w:rFonts w:ascii="Arial" w:hAnsi="Arial" w:cs="Arial"/>
          <w:color w:val="000000"/>
          <w:sz w:val="21"/>
          <w:szCs w:val="21"/>
        </w:rPr>
        <w:t>indicates either insufficient local training support or lower posterior certainty.</w:t>
      </w:r>
    </w:p>
    <w:p w14:paraId="3C9BF991" w14:textId="77777777" w:rsidR="00D53A16" w:rsidRPr="00340959" w:rsidRDefault="00D53A16" w:rsidP="00340959">
      <w:pPr>
        <w:spacing w:before="0" w:after="0" w:line="360" w:lineRule="auto"/>
        <w:jc w:val="both"/>
        <w:rPr>
          <w:rFonts w:ascii="Arial" w:hAnsi="Arial" w:cs="Arial"/>
          <w:sz w:val="21"/>
          <w:szCs w:val="21"/>
        </w:rPr>
      </w:pPr>
      <w:r w:rsidRPr="00340959">
        <w:rPr>
          <w:rFonts w:ascii="Arial" w:hAnsi="Arial" w:cs="Arial"/>
          <w:color w:val="000000"/>
          <w:sz w:val="21"/>
          <w:szCs w:val="21"/>
        </w:rPr>
        <w:t xml:space="preserve">The bivariate susceptibility–uncertainty representation refines hazard interpretation by differentiating between robust and uncertain hotspots. In central hill sectors, high susceptibility coincides with low posterior variance, indicating strong model support. Peripheral hill margins exhibit elevated susceptibility with higher uncertainty, suggesting extrapolation beyond well-represented conditions. The Seed Cell Area Index (SCAI) results validate the spatial concentration efficiency of the final model. The Very High susceptibility class contains nearly four-fifths of mapped landslides while occupying less than one-tenth of the study area, indicating strong stratification. The monotonic decline in SCAI values confirms the effectiveness of hazard zonation. </w:t>
      </w:r>
    </w:p>
    <w:p w14:paraId="46C208B1" w14:textId="77777777" w:rsidR="00D53A16" w:rsidRPr="00340959" w:rsidRDefault="00D53A16" w:rsidP="00340959">
      <w:pPr>
        <w:spacing w:before="0" w:after="0" w:line="360" w:lineRule="auto"/>
        <w:jc w:val="both"/>
        <w:rPr>
          <w:rFonts w:ascii="Arial" w:hAnsi="Arial" w:cs="Arial"/>
          <w:sz w:val="21"/>
          <w:szCs w:val="21"/>
        </w:rPr>
      </w:pPr>
      <w:r w:rsidRPr="00340959">
        <w:rPr>
          <w:rFonts w:ascii="Arial" w:hAnsi="Arial" w:cs="Arial"/>
          <w:color w:val="000000"/>
          <w:sz w:val="21"/>
          <w:szCs w:val="21"/>
        </w:rPr>
        <w:lastRenderedPageBreak/>
        <w:t>Interpretability analysis based on SHAP values provides geomorphological plausibility. Elevation, precipitation, and land use/land cover emerged as dominant predictors. The consistency of feature importance across validation schemes indicates alignment with established physical understanding.</w:t>
      </w:r>
    </w:p>
    <w:p w14:paraId="1CD4400D" w14:textId="0165FD7D" w:rsidR="00D53A16" w:rsidRPr="00340959" w:rsidRDefault="00D53A16" w:rsidP="00340959">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Despite its methodological </w:t>
      </w:r>
      <w:r w:rsidR="00162937">
        <w:rPr>
          <w:rFonts w:ascii="Arial" w:hAnsi="Arial" w:cs="Arial"/>
          <w:color w:val="000000"/>
          <w:sz w:val="21"/>
          <w:szCs w:val="21"/>
        </w:rPr>
        <w:t>rigor</w:t>
      </w:r>
      <w:r w:rsidRPr="00340959">
        <w:rPr>
          <w:rFonts w:ascii="Arial" w:hAnsi="Arial" w:cs="Arial"/>
          <w:color w:val="000000"/>
          <w:sz w:val="21"/>
          <w:szCs w:val="21"/>
        </w:rPr>
        <w:t>, the study has limitations. The landslide inventory remains modest in size, and additional temporal records could enhance posterior stability. Rainfall was incorporated as a climatological layer rather than event-based intensity, limiting temporal sensitivity</w:t>
      </w:r>
      <w:r w:rsidR="00AC4CAA" w:rsidRPr="00340959">
        <w:rPr>
          <w:rFonts w:ascii="Arial" w:hAnsi="Arial" w:cs="Arial"/>
          <w:color w:val="000000"/>
          <w:sz w:val="21"/>
          <w:szCs w:val="21"/>
        </w:rPr>
        <w:t xml:space="preserve"> </w:t>
      </w:r>
      <w:r w:rsidR="001B5C0A">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{"citationID":"2GJOo5CN","properties":{"formattedCitation":"(Shi et al. 2025)","plainCitation":"(Shi et al. 2025)","noteIndex":0},"citationItems":[{"id":357,"uris":["http://zotero.org/users/local/emosa1lm/items/ENJHUH34"],"itemData":{"id":357,"type":"article-journal","abstract":"With the increasing frequency of extreme weather events in recent years, geological disasters triggered by heavy rainfall have posed significant threats to the ecological environment and residents’ safety. The mountainous areas of Hebei Province, which form part of the Beijing-Tianjin-Hebei ecological barrier, face prominent geological disaster risks due to complex geological conditions and frequent heavy rainfall. This study focused on Hebei’s mountainous areas, by establishing a geological disaster susceptibility assessment system to explore the spatial distribution patterns of the geological disaster risks. Historical disaster data were used to calculate the probability of geological disasters triggered by heavy rainfall using a Naive Bayes model. The results indicated that areas of high and moderately high geological disaster susceptibility covered 66,442 km², accounting for 57.75% of the total area, mainly in the western mountains and the hilly regions of Tangshan and Qinhuangdao. High and moderately high-risk areas triggered by heavy rainfall covered 61,214 km², and were not only distributed in high-susceptibility areas but were also concentrated in the northern mountainous regions. These findings provide a scientific basis for policy development for geological disaster prevention in the mountainous areas of Hebei Province, helping to reduce the threats posed by disasters to the ecological environment and residents’ lives and property.","container-title":"Applied Ecology and Environmental Research","DOI":"10.15666/aeer/2303_54435460","ISSN":"15891623, 17850037","issue":"3","journalAbbreviation":"Appl. Ecol. Env. Res.","language":"en","page":"5443-5460","source":"DOI.org (Crossref)","title":"RISK ASSESSMENT OF GEOLOGICAL DISASTERS TRIGGERED BY HEAVY RAINFALL IN MOUNTAINOUS AREAS: A CASE STUDY IN HEBEI PROVINCE, CHINA","title-short":"RISK ASSESSMENT OF GEOLOGICAL DISASTERS TRIGGERED BY HEAVY RAINFALL IN MOUNTAINOUS AREAS","volume":"23","author":[{"family":"Shi","given":"S.Y."},{"family":"Zhou","given":"J."},{"family":"Chen","given":"X.J."},{"family":"Xu","given":"Y.J."},{"family":"Tao","given":"J."}],"issued":{"date-parts":[["2025"]]}}}],"schema":"https://github.com/citation-style-language/schema/raw/master/csl-citation.json"} </w:instrText>
      </w:r>
      <w:r w:rsidR="001B5C0A">
        <w:rPr>
          <w:rFonts w:ascii="Arial" w:hAnsi="Arial" w:cs="Arial"/>
          <w:color w:val="000000"/>
          <w:sz w:val="21"/>
          <w:szCs w:val="21"/>
        </w:rPr>
        <w:fldChar w:fldCharType="separate"/>
      </w:r>
      <w:r w:rsidR="0050478C" w:rsidRPr="0050478C">
        <w:rPr>
          <w:rFonts w:ascii="Arial" w:hAnsi="Arial" w:cs="Arial"/>
          <w:sz w:val="21"/>
        </w:rPr>
        <w:t>(Shi et al. 2025)</w:t>
      </w:r>
      <w:r w:rsidR="001B5C0A">
        <w:rPr>
          <w:rFonts w:ascii="Arial" w:hAnsi="Arial" w:cs="Arial"/>
          <w:color w:val="000000"/>
          <w:sz w:val="21"/>
          <w:szCs w:val="21"/>
        </w:rPr>
        <w:fldChar w:fldCharType="end"/>
      </w:r>
      <w:r w:rsidRPr="00340959">
        <w:rPr>
          <w:rFonts w:ascii="Arial" w:hAnsi="Arial" w:cs="Arial"/>
          <w:color w:val="000000"/>
          <w:sz w:val="21"/>
          <w:szCs w:val="21"/>
        </w:rPr>
        <w:t xml:space="preserve">. Spatial interpolation may smooth </w:t>
      </w:r>
      <w:r w:rsidR="00162937">
        <w:rPr>
          <w:rFonts w:ascii="Arial" w:hAnsi="Arial" w:cs="Arial"/>
          <w:color w:val="000000"/>
          <w:sz w:val="21"/>
          <w:szCs w:val="21"/>
        </w:rPr>
        <w:t>localized</w:t>
      </w:r>
      <w:r w:rsidR="00ED19A0" w:rsidRPr="00340959">
        <w:rPr>
          <w:rFonts w:ascii="Arial" w:hAnsi="Arial" w:cs="Arial"/>
          <w:color w:val="000000"/>
          <w:sz w:val="21"/>
          <w:szCs w:val="21"/>
        </w:rPr>
        <w:t xml:space="preserve"> </w:t>
      </w:r>
      <w:r w:rsidRPr="00340959">
        <w:rPr>
          <w:rFonts w:ascii="Arial" w:hAnsi="Arial" w:cs="Arial"/>
          <w:color w:val="000000"/>
          <w:sz w:val="21"/>
          <w:szCs w:val="21"/>
        </w:rPr>
        <w:t>micro-topographic effects. Future research may incorporate event-scale rainfall thresholds, hierarchical spatial priors, or hybrid physics–Bayesian neural network frameworks</w:t>
      </w:r>
      <w:r w:rsidR="00AC4CAA" w:rsidRPr="00340959">
        <w:rPr>
          <w:rFonts w:ascii="Arial" w:hAnsi="Arial" w:cs="Arial"/>
          <w:color w:val="000000"/>
          <w:sz w:val="21"/>
          <w:szCs w:val="21"/>
        </w:rPr>
        <w:t xml:space="preserve"> </w:t>
      </w:r>
      <w:r w:rsidR="00CC13C9">
        <w:rPr>
          <w:rFonts w:ascii="Arial" w:hAnsi="Arial" w:cs="Arial"/>
          <w:color w:val="000000"/>
          <w:sz w:val="21"/>
          <w:szCs w:val="21"/>
        </w:rPr>
        <w:fldChar w:fldCharType="begin"/>
      </w:r>
      <w:r w:rsidR="0050478C">
        <w:rPr>
          <w:rFonts w:ascii="Arial" w:hAnsi="Arial" w:cs="Arial"/>
          <w:color w:val="000000"/>
          <w:sz w:val="21"/>
          <w:szCs w:val="21"/>
        </w:rPr>
        <w:instrText xml:space="preserve"> ADDIN ZOTERO_ITEM CSL_CITATION {"citationID":"OPeL3JiA","properties":{"formattedCitation":"(Mafigiri et al. 2025)","plainCitation":"(Mafigiri et al. 2025)","noteIndex":0},"citationItems":[{"id":306,"uris":["http://zotero.org/users/local/emosa1lm/items/8KULXW4L"],"itemData":{"id":306,"type":"article-journal","abstract":"Rainfall-triggered landslides pose significant risks in hilly and mountainous areas, necessitating advanced susceptibility and hazard modeling in GIS environments. This review examines research trends, influential authors, and emerging themes in this field through bibliometric analysis and content review, covering publications from 2007 to 2025 with a focus on the last five years. Recent research trends reveal a shift towards complex, physically based models incorporating multiple rainfall variables and their interactions with local conditions. Emerging trends include machine learning applications, increased spatiotemporal analysis, and rising interest in climate change impacts on landslide occurrence. However, there is a lack of attention given to how topography and other factors might explain spatial differences in rainfall. Research output has increased since 2020, driven by initiatives like the Kyoto Landslide Commitment 2020. While progress has been made in landslide susceptibility modeling, several challenges persist, such as developing standardized protocols for case study research to enhance comparability; exploring methods to integrate multiple case studies and improve generalizability; investigating emerging technologies like big data analytics to address sample limitations; improving translation of research findings for practitioners and policymakers; and enhancing methods to incorporate topographic effects on rainfall variability in susceptibility models. Many studies rely on single-site case studies, limiting result generalizability. Better integration of topographic influences on rainfall spatial variability is needed, particularly in mountainous regions. Addressing these challenges will be crucial for advancing landslide risk assessment. Future research should focus on developing robust, transferable models that account for complex environmental interactions and provide practical decision-support tools.","container-title":"Modeling Earth Systems and Environment","DOI":"10.1007/s40808-025-02615-5","ISSN":"2363-6211","issue":"6","journalAbbreviation":"Model. Earth Syst. Environ.","language":"en","page":"427","source":"Springer Link","title":"A review of GIS-based landslide susceptibility and hazard modeling considering the influence of topographic parameters on rainfall spatial variability","volume":"11","author":[{"family":"Mafigiri","given":"Amos"},{"family":"Khanan","given":"Mohd Faisal Abdul"},{"family":"Abdullah","given":"Rini Asnida"}],"issued":{"date-parts":[["2025",9,18]]}}}],"schema":"https://github.com/citation-style-language/schema/raw/master/csl-citation.json"} </w:instrText>
      </w:r>
      <w:r w:rsidR="00CC13C9">
        <w:rPr>
          <w:rFonts w:ascii="Arial" w:hAnsi="Arial" w:cs="Arial"/>
          <w:color w:val="000000"/>
          <w:sz w:val="21"/>
          <w:szCs w:val="21"/>
        </w:rPr>
        <w:fldChar w:fldCharType="separate"/>
      </w:r>
      <w:r w:rsidR="0050478C" w:rsidRPr="0050478C">
        <w:rPr>
          <w:rFonts w:ascii="Arial" w:hAnsi="Arial" w:cs="Arial"/>
          <w:sz w:val="21"/>
        </w:rPr>
        <w:t>(Mafigiri et al. 2025)</w:t>
      </w:r>
      <w:r w:rsidR="00CC13C9">
        <w:rPr>
          <w:rFonts w:ascii="Arial" w:hAnsi="Arial" w:cs="Arial"/>
          <w:color w:val="000000"/>
          <w:sz w:val="21"/>
          <w:szCs w:val="21"/>
        </w:rPr>
        <w:fldChar w:fldCharType="end"/>
      </w:r>
      <w:r w:rsidRPr="00340959">
        <w:rPr>
          <w:rFonts w:ascii="Arial" w:hAnsi="Arial" w:cs="Arial"/>
          <w:color w:val="000000"/>
          <w:sz w:val="21"/>
          <w:szCs w:val="21"/>
        </w:rPr>
        <w:t>.</w:t>
      </w:r>
    </w:p>
    <w:p w14:paraId="4313C7D7" w14:textId="77777777" w:rsidR="00514474" w:rsidRPr="00340959" w:rsidRDefault="00514474" w:rsidP="00340959">
      <w:pPr>
        <w:spacing w:before="0" w:after="0" w:line="360" w:lineRule="auto"/>
        <w:jc w:val="both"/>
        <w:rPr>
          <w:rFonts w:ascii="Arial" w:hAnsi="Arial" w:cs="Arial"/>
          <w:sz w:val="21"/>
          <w:szCs w:val="21"/>
        </w:rPr>
      </w:pPr>
    </w:p>
    <w:p w14:paraId="62AAEAA5" w14:textId="77777777" w:rsidR="005B28E8" w:rsidRPr="005E73F7" w:rsidRDefault="00000000" w:rsidP="00340959">
      <w:pPr>
        <w:pStyle w:val="Heading1"/>
        <w:spacing w:before="0" w:after="0" w:line="360" w:lineRule="auto"/>
        <w:rPr>
          <w:rFonts w:ascii="Arial" w:hAnsi="Arial" w:cs="Arial"/>
          <w:b/>
          <w:bCs/>
          <w:color w:val="7030A0"/>
          <w:sz w:val="21"/>
          <w:szCs w:val="21"/>
        </w:rPr>
      </w:pPr>
      <w:r w:rsidRPr="005E73F7">
        <w:rPr>
          <w:rFonts w:ascii="Arial" w:hAnsi="Arial" w:cs="Arial"/>
          <w:b/>
          <w:bCs/>
          <w:color w:val="7030A0"/>
          <w:sz w:val="21"/>
          <w:szCs w:val="21"/>
        </w:rPr>
        <w:t>Conclusion</w:t>
      </w:r>
    </w:p>
    <w:p w14:paraId="63D2992D" w14:textId="7506CE81" w:rsidR="005E73F7" w:rsidRPr="00105415" w:rsidRDefault="006D1AD2" w:rsidP="00105415">
      <w:pPr>
        <w:spacing w:before="0" w:after="0" w:line="360" w:lineRule="auto"/>
        <w:jc w:val="both"/>
        <w:rPr>
          <w:rFonts w:ascii="Arial" w:hAnsi="Arial" w:cs="Arial"/>
          <w:color w:val="000000"/>
          <w:sz w:val="21"/>
          <w:szCs w:val="21"/>
        </w:rPr>
      </w:pPr>
      <w:r w:rsidRPr="00340959">
        <w:rPr>
          <w:rFonts w:ascii="Arial" w:hAnsi="Arial" w:cs="Arial"/>
          <w:color w:val="000000"/>
          <w:sz w:val="21"/>
          <w:szCs w:val="21"/>
        </w:rPr>
        <w:t xml:space="preserve">This study develops and evaluates an uncertainty-aware landslide-susceptibility framework using Bayesian and deterministic classifiers with a unified preprocessing and validation strategy for </w:t>
      </w:r>
      <w:r w:rsidR="00105415">
        <w:rPr>
          <w:rFonts w:ascii="Arial" w:hAnsi="Arial" w:cs="Arial"/>
          <w:color w:val="000000"/>
          <w:sz w:val="21"/>
          <w:szCs w:val="21"/>
        </w:rPr>
        <w:t>the hilly areas of the Chattogram Metropolitan Area</w:t>
      </w:r>
      <w:r w:rsidRPr="00340959">
        <w:rPr>
          <w:rFonts w:ascii="Arial" w:hAnsi="Arial" w:cs="Arial"/>
          <w:color w:val="000000"/>
          <w:sz w:val="21"/>
          <w:szCs w:val="21"/>
        </w:rPr>
        <w:t xml:space="preserve">. </w:t>
      </w:r>
      <w:r w:rsidR="00492F38" w:rsidRPr="00340959">
        <w:rPr>
          <w:rFonts w:ascii="Arial" w:hAnsi="Arial" w:cs="Arial"/>
          <w:color w:val="000000"/>
          <w:sz w:val="21"/>
          <w:szCs w:val="21"/>
        </w:rPr>
        <w:t>The findings show</w:t>
      </w:r>
      <w:r w:rsidR="00105415">
        <w:rPr>
          <w:rFonts w:ascii="Arial" w:hAnsi="Arial" w:cs="Arial"/>
          <w:color w:val="000000"/>
          <w:sz w:val="21"/>
          <w:szCs w:val="21"/>
        </w:rPr>
        <w:t>ed</w:t>
      </w:r>
      <w:r w:rsidR="00492F38" w:rsidRPr="00340959">
        <w:rPr>
          <w:rFonts w:ascii="Arial" w:hAnsi="Arial" w:cs="Arial"/>
          <w:color w:val="000000"/>
          <w:sz w:val="21"/>
          <w:szCs w:val="21"/>
        </w:rPr>
        <w:t xml:space="preserve"> </w:t>
      </w:r>
      <w:r w:rsidR="00105415">
        <w:rPr>
          <w:rFonts w:ascii="Arial" w:hAnsi="Arial" w:cs="Arial"/>
          <w:color w:val="000000"/>
          <w:sz w:val="21"/>
          <w:szCs w:val="21"/>
        </w:rPr>
        <w:t>that evaluation metrics alone can overestimate predictive capability when spatial autocorrelation is accounted for</w:t>
      </w:r>
      <w:r w:rsidR="00492F38" w:rsidRPr="00340959">
        <w:rPr>
          <w:rFonts w:ascii="Arial" w:hAnsi="Arial" w:cs="Arial"/>
          <w:color w:val="000000"/>
          <w:sz w:val="21"/>
          <w:szCs w:val="21"/>
        </w:rPr>
        <w:t xml:space="preserve">. </w:t>
      </w:r>
      <w:r w:rsidRPr="00340959">
        <w:rPr>
          <w:rFonts w:ascii="Arial" w:hAnsi="Arial" w:cs="Arial"/>
          <w:color w:val="000000"/>
          <w:sz w:val="21"/>
          <w:szCs w:val="21"/>
        </w:rPr>
        <w:t xml:space="preserve">Overall, although Random Forest delivered the best discrimination performance, its predictive capability was hindered by inadequate probabilistic calibration and uncertainty estimation, unlike the Gaussian Process Classifier. </w:t>
      </w:r>
      <w:r w:rsidR="00F85F55">
        <w:rPr>
          <w:rFonts w:ascii="Arial" w:hAnsi="Arial" w:cs="Arial"/>
          <w:color w:val="000000"/>
          <w:sz w:val="21"/>
          <w:szCs w:val="21"/>
        </w:rPr>
        <w:t>All the same,</w:t>
      </w:r>
      <w:r w:rsidRPr="00340959">
        <w:rPr>
          <w:rFonts w:ascii="Arial" w:hAnsi="Arial" w:cs="Arial"/>
          <w:color w:val="000000"/>
          <w:sz w:val="21"/>
          <w:szCs w:val="21"/>
        </w:rPr>
        <w:t xml:space="preserve"> GPC provided nearly comparable predictions and improved performance by offering well-calibrated uncertainty estimates, which are vital for </w:t>
      </w:r>
      <w:r w:rsidR="00567FB5" w:rsidRPr="00340959">
        <w:rPr>
          <w:rFonts w:ascii="Arial" w:hAnsi="Arial" w:cs="Arial"/>
          <w:color w:val="000000"/>
          <w:sz w:val="21"/>
          <w:szCs w:val="21"/>
        </w:rPr>
        <w:t>risk-informed decision-making</w:t>
      </w:r>
      <w:r w:rsidRPr="00340959">
        <w:rPr>
          <w:rFonts w:ascii="Arial" w:hAnsi="Arial" w:cs="Arial"/>
          <w:color w:val="000000"/>
          <w:sz w:val="21"/>
          <w:szCs w:val="21"/>
        </w:rPr>
        <w:t>.</w:t>
      </w:r>
      <w:r w:rsidR="00105415">
        <w:rPr>
          <w:rFonts w:ascii="Arial" w:hAnsi="Arial" w:cs="Arial"/>
          <w:color w:val="000000"/>
          <w:sz w:val="21"/>
          <w:szCs w:val="21"/>
        </w:rPr>
        <w:t xml:space="preserve"> </w:t>
      </w:r>
      <w:r w:rsidR="00492F38" w:rsidRPr="00340959">
        <w:rPr>
          <w:rFonts w:ascii="Arial" w:hAnsi="Arial" w:cs="Arial"/>
          <w:color w:val="000000"/>
          <w:sz w:val="21"/>
          <w:szCs w:val="21"/>
        </w:rPr>
        <w:t xml:space="preserve">With the Bayesian model </w:t>
      </w:r>
      <w:r w:rsidR="00105415" w:rsidRPr="00340959">
        <w:rPr>
          <w:rFonts w:ascii="Arial" w:hAnsi="Arial" w:cs="Arial"/>
          <w:color w:val="000000"/>
          <w:sz w:val="21"/>
          <w:szCs w:val="21"/>
        </w:rPr>
        <w:t>deployed, continuous</w:t>
      </w:r>
      <w:r w:rsidR="00492F38" w:rsidRPr="00340959">
        <w:rPr>
          <w:rFonts w:ascii="Arial" w:hAnsi="Arial" w:cs="Arial"/>
          <w:color w:val="000000"/>
          <w:sz w:val="21"/>
          <w:szCs w:val="21"/>
        </w:rPr>
        <w:t xml:space="preserve"> surfaces of susceptibility and predictive variance</w:t>
      </w:r>
      <w:r w:rsidR="00105415">
        <w:rPr>
          <w:rFonts w:ascii="Arial" w:hAnsi="Arial" w:cs="Arial"/>
          <w:color w:val="000000"/>
          <w:sz w:val="21"/>
          <w:szCs w:val="21"/>
        </w:rPr>
        <w:t xml:space="preserve"> were modeled</w:t>
      </w:r>
      <w:r w:rsidR="00492F38" w:rsidRPr="00340959">
        <w:rPr>
          <w:rFonts w:ascii="Arial" w:hAnsi="Arial" w:cs="Arial"/>
          <w:color w:val="000000"/>
          <w:sz w:val="21"/>
          <w:szCs w:val="21"/>
        </w:rPr>
        <w:t xml:space="preserve"> </w:t>
      </w:r>
      <w:r w:rsidR="00105415">
        <w:rPr>
          <w:rFonts w:ascii="Arial" w:hAnsi="Arial" w:cs="Arial"/>
          <w:color w:val="000000"/>
          <w:sz w:val="21"/>
          <w:szCs w:val="21"/>
        </w:rPr>
        <w:t xml:space="preserve">and then combined </w:t>
      </w:r>
      <w:r w:rsidR="00492F38" w:rsidRPr="00340959">
        <w:rPr>
          <w:rFonts w:ascii="Arial" w:hAnsi="Arial" w:cs="Arial"/>
          <w:color w:val="000000"/>
          <w:sz w:val="21"/>
          <w:szCs w:val="21"/>
        </w:rPr>
        <w:t xml:space="preserve">via bivariate classification to separate robust hazard hotspots from spatially uncertain predictions. Hazard stratification was also supported by spatial concentration analyses, with most </w:t>
      </w:r>
      <w:r w:rsidRPr="00340959">
        <w:rPr>
          <w:rFonts w:ascii="Arial" w:hAnsi="Arial" w:cs="Arial"/>
          <w:color w:val="000000"/>
          <w:sz w:val="21"/>
          <w:szCs w:val="21"/>
        </w:rPr>
        <w:t xml:space="preserve">historical landslides concentrated </w:t>
      </w:r>
      <w:r w:rsidR="001813BC" w:rsidRPr="00340959">
        <w:rPr>
          <w:rFonts w:ascii="Arial" w:hAnsi="Arial" w:cs="Arial"/>
          <w:color w:val="000000"/>
          <w:sz w:val="21"/>
          <w:szCs w:val="21"/>
        </w:rPr>
        <w:t>in a small fraction of the mapped area</w:t>
      </w:r>
      <w:r w:rsidR="005E73F7">
        <w:rPr>
          <w:rFonts w:ascii="Arial" w:hAnsi="Arial" w:cs="Arial"/>
          <w:color w:val="000000"/>
          <w:sz w:val="21"/>
          <w:szCs w:val="21"/>
        </w:rPr>
        <w:t>, and some clustered within it</w:t>
      </w:r>
      <w:r w:rsidR="00492F38" w:rsidRPr="00340959">
        <w:rPr>
          <w:rFonts w:ascii="Arial" w:hAnsi="Arial" w:cs="Arial"/>
          <w:color w:val="000000"/>
          <w:sz w:val="21"/>
          <w:szCs w:val="21"/>
        </w:rPr>
        <w:t>.</w:t>
      </w:r>
      <w:r w:rsidR="00105415">
        <w:rPr>
          <w:rFonts w:ascii="Arial" w:hAnsi="Arial" w:cs="Arial"/>
          <w:color w:val="000000"/>
          <w:sz w:val="21"/>
          <w:szCs w:val="21"/>
        </w:rPr>
        <w:t xml:space="preserve"> </w:t>
      </w:r>
      <w:r w:rsidRPr="00340959">
        <w:rPr>
          <w:rFonts w:ascii="Arial" w:hAnsi="Arial" w:cs="Arial"/>
          <w:color w:val="000000"/>
          <w:sz w:val="21"/>
          <w:szCs w:val="21"/>
        </w:rPr>
        <w:t>This study integrates discrimination assessment, spatial cross-validation, calibration analysis, statistical comparison, and uncertainty visuals into a workflow, advancing landslide susceptibility modeling toward a transparent, decision-oriented framework. This is especially suited for fast-urbanizing, data-poor hill terrains where hazard prioritization considers both probability and confidence. Concepts like an area of applicability could further improve transparency by indicating where predictions are reliable.</w:t>
      </w:r>
      <w:r w:rsidR="005E73F7">
        <w:rPr>
          <w:rFonts w:ascii="Arial" w:hAnsi="Arial" w:cs="Arial"/>
          <w:sz w:val="21"/>
          <w:szCs w:val="21"/>
        </w:rPr>
        <w:br w:type="page"/>
      </w:r>
    </w:p>
    <w:p w14:paraId="0FFAC1D6" w14:textId="392F3A0B" w:rsidR="005B28E8" w:rsidRPr="00340959" w:rsidRDefault="00000000" w:rsidP="005E73F7">
      <w:pPr>
        <w:pBdr>
          <w:bottom w:val="single" w:sz="6" w:space="1" w:color="auto"/>
        </w:pBdr>
        <w:spacing w:before="0" w:after="0" w:line="360" w:lineRule="auto"/>
        <w:jc w:val="both"/>
        <w:rPr>
          <w:rFonts w:ascii="Arial" w:hAnsi="Arial" w:cs="Arial"/>
          <w:b/>
          <w:bCs/>
          <w:sz w:val="21"/>
          <w:szCs w:val="21"/>
        </w:rPr>
      </w:pPr>
      <w:r w:rsidRPr="00340959">
        <w:rPr>
          <w:rFonts w:ascii="Arial" w:hAnsi="Arial" w:cs="Arial"/>
          <w:b/>
          <w:bCs/>
          <w:sz w:val="21"/>
          <w:szCs w:val="21"/>
        </w:rPr>
        <w:lastRenderedPageBreak/>
        <w:t>References</w:t>
      </w:r>
    </w:p>
    <w:p w14:paraId="5EBB94E2" w14:textId="77777777" w:rsidR="0050478C" w:rsidRDefault="0050478C" w:rsidP="0050478C">
      <w:pPr>
        <w:pStyle w:val="Bibliography"/>
      </w:pPr>
      <w:r>
        <w:rPr>
          <w:rFonts w:ascii="Arial" w:hAnsi="Arial" w:cs="Arial"/>
          <w:sz w:val="21"/>
          <w:szCs w:val="21"/>
        </w:rPr>
        <w:fldChar w:fldCharType="begin"/>
      </w:r>
      <w:r>
        <w:rPr>
          <w:rFonts w:ascii="Arial" w:hAnsi="Arial" w:cs="Arial"/>
          <w:sz w:val="21"/>
          <w:szCs w:val="21"/>
        </w:rPr>
        <w:instrText xml:space="preserve"> ADDIN ZOTERO_BIBL {"uncited":[],"omitted":[],"custom":[]} CSL_BIBLIOGRAPHY </w:instrText>
      </w:r>
      <w:r>
        <w:rPr>
          <w:rFonts w:ascii="Arial" w:hAnsi="Arial" w:cs="Arial"/>
          <w:sz w:val="21"/>
          <w:szCs w:val="21"/>
        </w:rPr>
        <w:fldChar w:fldCharType="separate"/>
      </w:r>
      <w:r>
        <w:t>Achu AL, Aju CD, Di Napoli M, et al (2023) Machine-learning based landslide susceptibility modelling with emphasis on uncertainty analysis. Geosci Front 14:101657. https://doi.org/10.1016/j.gsf.2023.101657</w:t>
      </w:r>
    </w:p>
    <w:p w14:paraId="5D4B98B6" w14:textId="77777777" w:rsidR="0050478C" w:rsidRDefault="0050478C" w:rsidP="0050478C">
      <w:pPr>
        <w:pStyle w:val="Bibliography"/>
      </w:pPr>
      <w:r>
        <w:t>Adnan MSG, Rahman MS, Ahmed N, et al (2020) Improving Spatial Agreement in Machine Learning-Based Landslide Susceptibility Mapping. Remote Sens 12:3347–3347. https://doi.org/10.3390/rs12203347</w:t>
      </w:r>
    </w:p>
    <w:p w14:paraId="382E6C90" w14:textId="77777777" w:rsidR="0050478C" w:rsidRDefault="0050478C" w:rsidP="0050478C">
      <w:pPr>
        <w:pStyle w:val="Bibliography"/>
      </w:pPr>
      <w:r>
        <w:t>Afzal H, Amjad M, Raza A, et al (2025) Incorporating soil information with machine learning for crop recommendation to improve agricultural output. Sci Rep 15:8560. https://doi.org/10.1038/s41598-025-88676-z</w:t>
      </w:r>
    </w:p>
    <w:p w14:paraId="6807A01C" w14:textId="77777777" w:rsidR="0050478C" w:rsidRDefault="0050478C" w:rsidP="0050478C">
      <w:pPr>
        <w:pStyle w:val="Bibliography"/>
      </w:pPr>
      <w:r>
        <w:t>Agrawal N, Dixit J (2023) GIS-based landslide susceptibility mapping of the Meghalaya-Shillong Plateau region using machine learning algorithms. Bull Eng Geol Environ 82:. https://doi.org/10.1007/s10064-023-03188-2</w:t>
      </w:r>
    </w:p>
    <w:p w14:paraId="07963D2C" w14:textId="77777777" w:rsidR="0050478C" w:rsidRDefault="0050478C" w:rsidP="0050478C">
      <w:pPr>
        <w:pStyle w:val="Bibliography"/>
      </w:pPr>
      <w:r>
        <w:t>Ahmed B (2014) Landslide susceptibility mapping using multi-criteria evaluation techniques in Chittagong Metropolitan Area, Bangladesh. Landslides 12:1077–1095. https://doi.org/10.1007/s10346-014-0521-x</w:t>
      </w:r>
    </w:p>
    <w:p w14:paraId="29B58326" w14:textId="77777777" w:rsidR="0050478C" w:rsidRDefault="0050478C" w:rsidP="0050478C">
      <w:pPr>
        <w:pStyle w:val="Bibliography"/>
      </w:pPr>
      <w:r>
        <w:t>Arrogante-Funes P, Bruzón AG, Álvarez-Ripado A, et al (2024a) Assessment of the regeneration of landslides areas using unsupervised and supervised methods and explainable machine learning models. Landslides 21:275–290. https://doi.org/10.1007/s10346-023-02154-z</w:t>
      </w:r>
    </w:p>
    <w:p w14:paraId="33750B31" w14:textId="77777777" w:rsidR="0050478C" w:rsidRDefault="0050478C" w:rsidP="0050478C">
      <w:pPr>
        <w:pStyle w:val="Bibliography"/>
      </w:pPr>
      <w:r>
        <w:t>Arrogante-Funes P, Bruzón AG, Álvarez-Ripado A, et al (2024b) Assessment of the regeneration of landslides areas using unsupervised and supervised methods and explainable machine learning models. Landslides 21:275–290. https://doi.org/10.1007/s10346-023-02154-z</w:t>
      </w:r>
    </w:p>
    <w:p w14:paraId="2C3B2E18" w14:textId="77777777" w:rsidR="0050478C" w:rsidRDefault="0050478C" w:rsidP="0050478C">
      <w:pPr>
        <w:pStyle w:val="Bibliography"/>
      </w:pPr>
      <w:r>
        <w:t>Azad MA, Kainthola A, Fissha Y, et al (2025) Empirical and numerical hill slope health evaluation at Malling Nala, NH-505, Himachal Pradesh, India. Int J Geo-Eng 16:4. https://doi.org/10.1186/s40703-025-00233-9</w:t>
      </w:r>
    </w:p>
    <w:p w14:paraId="756419A5" w14:textId="77777777" w:rsidR="0050478C" w:rsidRDefault="0050478C" w:rsidP="0050478C">
      <w:pPr>
        <w:pStyle w:val="Bibliography"/>
      </w:pPr>
      <w:r>
        <w:t>Biswas N, Islam KMA, Efty EA, et al (2026) Ensemble deep learning framework for landslide susceptibility mapping and road vulnerability index development in the Chittagong Hill Tracts, Bangladesh. Geomat Nat Hazards Risk 17:. https://doi.org/10.1080/19475705.2026.2634207</w:t>
      </w:r>
    </w:p>
    <w:p w14:paraId="1C38C15C" w14:textId="77777777" w:rsidR="0050478C" w:rsidRDefault="0050478C" w:rsidP="0050478C">
      <w:pPr>
        <w:pStyle w:val="Bibliography"/>
      </w:pPr>
      <w:r>
        <w:t>Black B, Strien MJ van, Adde A, Grêt‐Regamey A (2022) Re-considering the status quo: Improving calibration of land use change models through validation of transition potential predictions. Environ Model Softw 159:105574–105574. https://doi.org/10.1016/j.envsoft.2022.105574</w:t>
      </w:r>
    </w:p>
    <w:p w14:paraId="485EA7FC" w14:textId="77777777" w:rsidR="0050478C" w:rsidRDefault="0050478C" w:rsidP="0050478C">
      <w:pPr>
        <w:pStyle w:val="Bibliography"/>
      </w:pPr>
      <w:r>
        <w:t>Bobb JF, Henn BC, Valeri L, Coull BA (2018) Statistical software for analyzing the health effects of multiple concurrent exposures via Bayesian kernel machine regression. Environ Health 17:. https://doi.org/10.1186/s12940-018-0413-y</w:t>
      </w:r>
    </w:p>
    <w:p w14:paraId="725F45E9" w14:textId="77777777" w:rsidR="0050478C" w:rsidRDefault="0050478C" w:rsidP="0050478C">
      <w:pPr>
        <w:pStyle w:val="Bibliography"/>
      </w:pPr>
      <w:r>
        <w:t>Carleton WC, Klassen S, Niles-Weed J, et al (2023) Bayesian regression versus machine learning for rapid age estimation of archaeological features identified with lidar at Angkor. Sci Rep 13:17913. https://doi.org/10.1038/s41598-023-44875-0</w:t>
      </w:r>
    </w:p>
    <w:p w14:paraId="4C09F3E7" w14:textId="77777777" w:rsidR="0050478C" w:rsidRDefault="0050478C" w:rsidP="0050478C">
      <w:pPr>
        <w:pStyle w:val="Bibliography"/>
      </w:pPr>
      <w:r>
        <w:t>Chowdhury MS, Rahman MN, Sheikh MS, et al (2023) GIS-based landslide susceptibility mapping using logistic regression, random forest and decision and regression tree models in Chattogram District, Bangladesh. Heliyon 10:. https://doi.org/10.1016/j.heliyon.2023.e23424</w:t>
      </w:r>
    </w:p>
    <w:p w14:paraId="34DED34A" w14:textId="77777777" w:rsidR="0050478C" w:rsidRDefault="0050478C" w:rsidP="0050478C">
      <w:pPr>
        <w:pStyle w:val="Bibliography"/>
      </w:pPr>
      <w:r>
        <w:t>Cruz A, Karimzadeh S, Chieffo N, et al (2024) A Review of Probabilistic Approaches for Assessing the Liquefaction Hazard in Urban Areas. Arch Comput Methods Eng 31:4673–4708. https://doi.org/10.1007/s11831-024-10124-4</w:t>
      </w:r>
    </w:p>
    <w:p w14:paraId="635C86B6" w14:textId="77777777" w:rsidR="0050478C" w:rsidRDefault="0050478C" w:rsidP="0050478C">
      <w:pPr>
        <w:pStyle w:val="Bibliography"/>
      </w:pPr>
      <w:r>
        <w:t>Cunha RLF, Silva B, Netto MAS (2018) A Scalable Machine Learning System for Pre-Season Agriculture Yield Forecast. 423–430. https://doi.org/10.1109/escience.2018.00131</w:t>
      </w:r>
    </w:p>
    <w:p w14:paraId="6FA8E33C" w14:textId="77777777" w:rsidR="0050478C" w:rsidRDefault="0050478C" w:rsidP="0050478C">
      <w:pPr>
        <w:pStyle w:val="Bibliography"/>
      </w:pPr>
      <w:r>
        <w:t>Dal Seno N, Evangelista D, Piccolomini E, Berti M (2024) Comparative analysis of conventional and machine learning techniques for rainfall threshold evaluation under complex geological conditions. Landslides 21:2893–2911. https://doi.org/10.1007/s10346-024-02336-3</w:t>
      </w:r>
    </w:p>
    <w:p w14:paraId="3D225CF3" w14:textId="77777777" w:rsidR="0050478C" w:rsidRDefault="0050478C" w:rsidP="0050478C">
      <w:pPr>
        <w:pStyle w:val="Bibliography"/>
      </w:pPr>
      <w:r>
        <w:t>Das I, Stein A, Kerle N, Dadhwal VK (2012) Landslide susceptibility mapping along road corridors in the Indian Himalayas using Bayesian logistic regression models. Geomorphology 179:116–125. https://doi.org/10.1016/j.geomorph.2012.08.004</w:t>
      </w:r>
    </w:p>
    <w:p w14:paraId="6A549C55" w14:textId="77777777" w:rsidR="0050478C" w:rsidRDefault="0050478C" w:rsidP="0050478C">
      <w:pPr>
        <w:pStyle w:val="Bibliography"/>
      </w:pPr>
      <w:r>
        <w:lastRenderedPageBreak/>
        <w:t>Dey B, Ferdous J, Ahmed R (2024) Machine learning based recommendation of agricultural and horticultural crop farming in India under the regime of NPK, soil pH and three climatic variables. Heliyon 10:e25112. https://doi.org/10.1016/j.heliyon.2024.e25112</w:t>
      </w:r>
    </w:p>
    <w:p w14:paraId="4AFE62B6" w14:textId="77777777" w:rsidR="0050478C" w:rsidRDefault="0050478C" w:rsidP="0050478C">
      <w:pPr>
        <w:pStyle w:val="Bibliography"/>
      </w:pPr>
      <w:r>
        <w:t>Di Napoli M, Miele P, Guerriero L, et al (2023) Multitemporal relative landslide exposure and risk analysis for the sustainable development of rapidly growing cities. Landslides 20:1781–1795. https://doi.org/10.1007/s10346-023-02065-z</w:t>
      </w:r>
    </w:p>
    <w:p w14:paraId="1C1DC74C" w14:textId="77777777" w:rsidR="0050478C" w:rsidRDefault="0050478C" w:rsidP="0050478C">
      <w:pPr>
        <w:pStyle w:val="Bibliography"/>
      </w:pPr>
      <w:r>
        <w:t>Garcia NL, Rodrigues-Motta M, Migon HS, et al (2024) Unsupervised Bayesian classification for models with scalar and functional covariates. J R Stat Soc Ser C Appl Stat 73:658–681. https://doi.org/10.1093/jrsssc/qlae006</w:t>
      </w:r>
    </w:p>
    <w:p w14:paraId="3D7366A8" w14:textId="77777777" w:rsidR="0050478C" w:rsidRDefault="0050478C" w:rsidP="0050478C">
      <w:pPr>
        <w:pStyle w:val="Bibliography"/>
      </w:pPr>
      <w:r>
        <w:t>Gardner J, Brooks C (2018) Dropout Model Evaluation in MOOCs. In: Proceedings of the AAAI Conference on Artificial Intelligence. Association for the Advancement of Artificial Intelligence</w:t>
      </w:r>
    </w:p>
    <w:p w14:paraId="0F360FC7" w14:textId="77777777" w:rsidR="0050478C" w:rsidRDefault="0050478C" w:rsidP="0050478C">
      <w:pPr>
        <w:pStyle w:val="Bibliography"/>
      </w:pPr>
      <w:r>
        <w:t>Genkin A, Lewis D, Madigan D (2007) Large-Scale Bayesian Logistic Regression for Text Categorization. Technometrics 49:291–304. https://doi.org/10.1198/004017007000000245</w:t>
      </w:r>
    </w:p>
    <w:p w14:paraId="2808097B" w14:textId="77777777" w:rsidR="0050478C" w:rsidRDefault="0050478C" w:rsidP="0050478C">
      <w:pPr>
        <w:pStyle w:val="Bibliography"/>
      </w:pPr>
      <w:r>
        <w:t>Ghosal P, De S, Ghosh J (2025) An Online Algorithm for Bayesian Variable Selection in Logistic Regression Models With Streaming Data. ArXiv Cornell Univ. https://doi.org/10.48550/arxiv.2501.10930</w:t>
      </w:r>
    </w:p>
    <w:p w14:paraId="57607266" w14:textId="77777777" w:rsidR="0050478C" w:rsidRDefault="0050478C" w:rsidP="0050478C">
      <w:pPr>
        <w:pStyle w:val="Bibliography"/>
      </w:pPr>
      <w:r>
        <w:t>Gregorich M, Strohmaier S, Dunkler D, Heinze G (2021) Regression with Highly Correlated Predictors: Variable Omission Is Not the Solution. Int J Environ Res Public Health 18:4259–4259. https://doi.org/10.3390/ijerph18084259</w:t>
      </w:r>
    </w:p>
    <w:p w14:paraId="2A118E2B" w14:textId="77777777" w:rsidR="0050478C" w:rsidRDefault="0050478C" w:rsidP="0050478C">
      <w:pPr>
        <w:pStyle w:val="Bibliography"/>
      </w:pPr>
      <w:r>
        <w:t>Gupta E, Sivakumar R (2025) Response coupling with an auxiliary neural signal for enhancing brain signal detection. Sci Rep 15:6227. https://doi.org/10.1038/s41598-025-87414-9</w:t>
      </w:r>
    </w:p>
    <w:p w14:paraId="7E87DCA9" w14:textId="77777777" w:rsidR="0050478C" w:rsidRDefault="0050478C" w:rsidP="0050478C">
      <w:pPr>
        <w:pStyle w:val="Bibliography"/>
      </w:pPr>
      <w:r>
        <w:t>Hafsa B, Chowdhury MS, Rahman MN (2022) Landslide susceptibility mapping of Rangamati District of Bangladesh using statistical and machine intelligence model. Arab J Geosci 15:. https://doi.org/10.1007/s12517-022-10607-3</w:t>
      </w:r>
    </w:p>
    <w:p w14:paraId="3D2945D1" w14:textId="77777777" w:rsidR="0050478C" w:rsidRDefault="0050478C" w:rsidP="0050478C">
      <w:pPr>
        <w:pStyle w:val="Bibliography"/>
      </w:pPr>
      <w:r>
        <w:t>Halder K, Srivastava AK, Ghosh A, et al (2025) Improving landslide susceptibility prediction through ensemble recursive feature elimination and meta-learning framework. Sci Rep 15:. https://doi.org/10.1038/s41598-025-87587-3</w:t>
      </w:r>
    </w:p>
    <w:p w14:paraId="736837AB" w14:textId="77777777" w:rsidR="0050478C" w:rsidRDefault="0050478C" w:rsidP="0050478C">
      <w:pPr>
        <w:pStyle w:val="Bibliography"/>
      </w:pPr>
      <w:r>
        <w:t>Hengl T, Jesus JM de, Heuvelink GBM, et al (2017) SoilGrids250m: Global gridded soil information based on machine learning. PLoS ONE 12:. https://doi.org/10.1371/journal.pone.0169748</w:t>
      </w:r>
    </w:p>
    <w:p w14:paraId="002C85AC" w14:textId="77777777" w:rsidR="0050478C" w:rsidRDefault="0050478C" w:rsidP="0050478C">
      <w:pPr>
        <w:pStyle w:val="Bibliography"/>
      </w:pPr>
      <w:r>
        <w:t>Hen-Jones R, Zapata C, Jiménez E, et al (2025) Community-scale slope stability assessment of urbanisation scenarios in North Quito, Ecuador. Landslides. https://doi.org/10.1007/s10346-025-02608-6</w:t>
      </w:r>
    </w:p>
    <w:p w14:paraId="4710D659" w14:textId="77777777" w:rsidR="0050478C" w:rsidRDefault="0050478C" w:rsidP="0050478C">
      <w:pPr>
        <w:pStyle w:val="Bibliography"/>
      </w:pPr>
      <w:r>
        <w:t>Huang F, Cao Y, Li W, et al (2024) Uncertainties of landslide susceptibility prediction: influences of different study area scales and mapping unit scales. Int J Coal Sci Technol 11:26. https://doi.org/10.1007/s40789-024-00678-w</w:t>
      </w:r>
    </w:p>
    <w:p w14:paraId="6BFBFD61" w14:textId="77777777" w:rsidR="0050478C" w:rsidRDefault="0050478C" w:rsidP="0050478C">
      <w:pPr>
        <w:pStyle w:val="Bibliography"/>
      </w:pPr>
      <w:r>
        <w:t>Islam MA, Islam MS, Jeet AA (2021) A Geotechnical Investigation of 2017 Chattogram Landslides. Geosciences 11:337–337. https://doi.org/10.3390/geosciences11080337</w:t>
      </w:r>
    </w:p>
    <w:p w14:paraId="3D3473CA" w14:textId="77777777" w:rsidR="0050478C" w:rsidRDefault="0050478C" w:rsidP="0050478C">
      <w:pPr>
        <w:pStyle w:val="Bibliography"/>
      </w:pPr>
      <w:r>
        <w:t>Koldasbayeva D, Tregubova P, Gasanov M, et al (2024) Challenges in data-driven geospatial modeling for environmental research and practice. Nat. Commun. 15:10700–10700</w:t>
      </w:r>
    </w:p>
    <w:p w14:paraId="204AE879" w14:textId="77777777" w:rsidR="0050478C" w:rsidRDefault="0050478C" w:rsidP="0050478C">
      <w:pPr>
        <w:pStyle w:val="Bibliography"/>
      </w:pPr>
      <w:r>
        <w:t>Kumar A, Pandey G, Kale RV (2026) Ensemble machine learning and deep learning framework for flood susceptibility mapping in the transboundary Rapti River Basin. Environ Earth Sci 85:168. https://doi.org/10.1007/s12665-026-12912-6</w:t>
      </w:r>
    </w:p>
    <w:p w14:paraId="74C5267F" w14:textId="77777777" w:rsidR="0050478C" w:rsidRDefault="0050478C" w:rsidP="0050478C">
      <w:pPr>
        <w:pStyle w:val="Bibliography"/>
      </w:pPr>
      <w:r>
        <w:t>Liao H, Wang C, Li Z, et al (2024) Physics-Informed Trajectory Prediction for Autonomous Driving under Missing Observation</w:t>
      </w:r>
    </w:p>
    <w:p w14:paraId="4A62CD59" w14:textId="77777777" w:rsidR="0050478C" w:rsidRDefault="0050478C" w:rsidP="0050478C">
      <w:pPr>
        <w:pStyle w:val="Bibliography"/>
      </w:pPr>
      <w:r>
        <w:t>Lombardo L, Opitz T, Huser R (2018) Point process-based modeling of multiple debris flow landslides using INLA: an application to the 2009 Messina disaster. Stoch Environ Res Risk Assess 32:2179–2198. https://doi.org/10.1007/s00477-018-1518-0</w:t>
      </w:r>
    </w:p>
    <w:p w14:paraId="4B6CA8DF" w14:textId="77777777" w:rsidR="0050478C" w:rsidRDefault="0050478C" w:rsidP="0050478C">
      <w:pPr>
        <w:pStyle w:val="Bibliography"/>
      </w:pPr>
      <w:r>
        <w:t>Lv M, Li K, Cai J, et al (2025) Evaluation of landslide susceptibility based on SMOTE-Tomek sampling and machine learning algorithm. PLoS ONE 20:. https://doi.org/10.1371/journal.pone.0323487</w:t>
      </w:r>
    </w:p>
    <w:p w14:paraId="22974F2D" w14:textId="77777777" w:rsidR="0050478C" w:rsidRDefault="0050478C" w:rsidP="0050478C">
      <w:pPr>
        <w:pStyle w:val="Bibliography"/>
      </w:pPr>
      <w:r>
        <w:lastRenderedPageBreak/>
        <w:t>Mafigiri A, Khanan MFA, Abdullah RA (2025) A review of GIS-based landslide susceptibility and hazard modeling considering the influence of topographic parameters on rainfall spatial variability. Model Earth Syst Environ 11:427. https://doi.org/10.1007/s40808-025-02615-5</w:t>
      </w:r>
    </w:p>
    <w:p w14:paraId="21C534DC" w14:textId="77777777" w:rsidR="0050478C" w:rsidRDefault="0050478C" w:rsidP="0050478C">
      <w:pPr>
        <w:pStyle w:val="Bibliography"/>
      </w:pPr>
      <w:r>
        <w:t>Manczinger M, Kovács L, Kovács T (2025) Fire susceptibility assessment in the Carpathians using an interpretable framework. Sci Rep 15:. https://doi.org/10.1038/s41598-025-10296-4</w:t>
      </w:r>
    </w:p>
    <w:p w14:paraId="2589A8A6" w14:textId="77777777" w:rsidR="0050478C" w:rsidRDefault="0050478C" w:rsidP="0050478C">
      <w:pPr>
        <w:pStyle w:val="Bibliography"/>
      </w:pPr>
      <w:r>
        <w:t>Milà C, Ludwig M, Pebesma E, et al (2024) Random forests with spatial proxies for environmental modelling: opportunities and pitfalls. Geosci Model Dev 17:6007–6033. https://doi.org/10.5194/gmd-17-6007-2024</w:t>
      </w:r>
    </w:p>
    <w:p w14:paraId="2D17C225" w14:textId="77777777" w:rsidR="0050478C" w:rsidRDefault="0050478C" w:rsidP="0050478C">
      <w:pPr>
        <w:pStyle w:val="Bibliography"/>
      </w:pPr>
      <w:r>
        <w:t>Mirus BB, Woodard J (2023) Bayesian logistic regression and optimized XGBoost models for landslide susceptibility assessment. https://doi.org/10.5194/egusphere-egu23-11586</w:t>
      </w:r>
    </w:p>
    <w:p w14:paraId="037FD71E" w14:textId="77777777" w:rsidR="0050478C" w:rsidRDefault="0050478C" w:rsidP="0050478C">
      <w:pPr>
        <w:pStyle w:val="Bibliography"/>
      </w:pPr>
      <w:r>
        <w:t>Murad G, Nawar N, Ashrafi H, et al (2025) Comprehensive Landslide Inventory and Hotspot Analysis in the Chittagong Hill Tracts of Southeastern Bangladesh. In: Proceedings of International Conference on Civil Engineering Research &amp; Innovations</w:t>
      </w:r>
    </w:p>
    <w:p w14:paraId="5A6C4CEC" w14:textId="77777777" w:rsidR="0050478C" w:rsidRDefault="0050478C" w:rsidP="0050478C">
      <w:pPr>
        <w:pStyle w:val="Bibliography"/>
      </w:pPr>
      <w:r>
        <w:t>Murad G, Rahman A (2025) Landslide Susceptibility Assessment of Rangamati Hill District Using Deep Learning Method. In: Proceedings of the 8th International Conference on Engineering Research, Innovation and Education</w:t>
      </w:r>
    </w:p>
    <w:p w14:paraId="07CFEE54" w14:textId="77777777" w:rsidR="0050478C" w:rsidRDefault="0050478C" w:rsidP="0050478C">
      <w:pPr>
        <w:pStyle w:val="Bibliography"/>
      </w:pPr>
      <w:r>
        <w:t>Mwakapesa DS, Lan X, Mao Y (2024) Landslide susceptibility assessment using deep learning considering unbalanced samples distribution. Heliyon 10:. https://doi.org/10.1016/j.heliyon.2024.e30107</w:t>
      </w:r>
    </w:p>
    <w:p w14:paraId="4EF6B1E7" w14:textId="77777777" w:rsidR="0050478C" w:rsidRDefault="0050478C" w:rsidP="0050478C">
      <w:pPr>
        <w:pStyle w:val="Bibliography"/>
      </w:pPr>
      <w:r>
        <w:t>Naceur HA, Igmoullan B, Namous M, et al (2026) Integrating geospatial data and hybrid machine learning models for landslide susceptibility assessment in semi-arid environments. Geomat Nat Hazards Risk 17:. https://doi.org/10.1080/19475705.2026.2625403</w:t>
      </w:r>
    </w:p>
    <w:p w14:paraId="6913DD42" w14:textId="77777777" w:rsidR="0050478C" w:rsidRDefault="0050478C" w:rsidP="0050478C">
      <w:pPr>
        <w:pStyle w:val="Bibliography"/>
      </w:pPr>
      <w:r>
        <w:t>O’Malley WC, Elbroch LM, Zeller KA, et al (2024) Machine learning allows for large-scale habitat prediction of a wide-ranging carnivore across diverse ecoregions. Landsc Ecol 39:106. https://doi.org/10.1007/s10980-024-01903-2</w:t>
      </w:r>
    </w:p>
    <w:p w14:paraId="3A1C0DDC" w14:textId="77777777" w:rsidR="0050478C" w:rsidRDefault="0050478C" w:rsidP="0050478C">
      <w:pPr>
        <w:pStyle w:val="Bibliography"/>
      </w:pPr>
      <w:r>
        <w:t>Pareek T, Bhuyan K, Westen CJ van, et al (2024) Analyzing the posterior predictive capability and usability of landslide susceptibility maps: a case of Kerala, India. Landslides 22:655–670. https://doi.org/10.1007/s10346-024-02389-4</w:t>
      </w:r>
    </w:p>
    <w:p w14:paraId="614C8570" w14:textId="77777777" w:rsidR="0050478C" w:rsidRDefault="0050478C" w:rsidP="0050478C">
      <w:pPr>
        <w:pStyle w:val="Bibliography"/>
      </w:pPr>
      <w:r>
        <w:t>Porrello A, Vincenzi S, Buzzega P, et al (2019) Spotting Insects from Satellites: Modeling the Presence of Culicoides Imicola Through Deep CNNs. 159–166. https://doi.org/10.1109/sitis.2019.00036</w:t>
      </w:r>
    </w:p>
    <w:p w14:paraId="4FA815B1" w14:textId="77777777" w:rsidR="0050478C" w:rsidRDefault="0050478C" w:rsidP="0050478C">
      <w:pPr>
        <w:pStyle w:val="Bibliography"/>
      </w:pPr>
      <w:r>
        <w:t>Qiu C, Su L, Pasuto A, et al (2024) Economic Risk Assessment of Future Debris Flows by Machine Learning Method. Int J Disaster Risk Sci 15:149–164. https://doi.org/10.1007/s13753-024-00545-x</w:t>
      </w:r>
    </w:p>
    <w:p w14:paraId="7E5518BD" w14:textId="77777777" w:rsidR="0050478C" w:rsidRDefault="0050478C" w:rsidP="0050478C">
      <w:pPr>
        <w:pStyle w:val="Bibliography"/>
      </w:pPr>
      <w:r>
        <w:t>Rabby YW, Li Y (2019) Landslide Inventory (2001–2017) of Chittagong Hilly Areas, Bangladesh. Data 5:4–4. https://doi.org/10.3390/data5010004</w:t>
      </w:r>
    </w:p>
    <w:p w14:paraId="21A30B04" w14:textId="77777777" w:rsidR="0050478C" w:rsidRDefault="0050478C" w:rsidP="0050478C">
      <w:pPr>
        <w:pStyle w:val="Bibliography"/>
      </w:pPr>
      <w:r>
        <w:t>Rahaman SU, Abdul MJ (2024) Quantifying Uncertainty in Economics Policy Predictions: A Bayesian &amp;amp; Monte Carlo based Data-Driven Approach</w:t>
      </w:r>
    </w:p>
    <w:p w14:paraId="06EA51C7" w14:textId="77777777" w:rsidR="0050478C" w:rsidRDefault="0050478C" w:rsidP="0050478C">
      <w:pPr>
        <w:pStyle w:val="Bibliography"/>
      </w:pPr>
      <w:r>
        <w:t>Rahman MA, Konagai K (2017) Substantiation of debris flow velocity from super-elevation: a numerical approach. Landslides 14:633–647. https://doi.org/10.1007/s10346-016-0725-3</w:t>
      </w:r>
    </w:p>
    <w:p w14:paraId="664FF10B" w14:textId="77777777" w:rsidR="0050478C" w:rsidRDefault="0050478C" w:rsidP="0050478C">
      <w:pPr>
        <w:pStyle w:val="Bibliography"/>
      </w:pPr>
      <w:r>
        <w:t>Rahman MdA, Konagai K (2018) A hands-on approach to estimate debris flow velocity for rational mitigation of debris hazard. Can Geotech J 55:941–955. https://doi.org/10.1139/cgj-2017-0211</w:t>
      </w:r>
    </w:p>
    <w:p w14:paraId="23DF2437" w14:textId="77777777" w:rsidR="0050478C" w:rsidRDefault="0050478C" w:rsidP="0050478C">
      <w:pPr>
        <w:pStyle w:val="Bibliography"/>
      </w:pPr>
      <w:r>
        <w:t>Ren T, Gao L, Gong W (2024) An ensemble of dynamic rainfall index and machine learning method for spatiotemporal landslide susceptibility modeling. Landslides 21:257–273. https://doi.org/10.1007/s10346-023-02152-1</w:t>
      </w:r>
    </w:p>
    <w:p w14:paraId="427D1711" w14:textId="77777777" w:rsidR="0050478C" w:rsidRDefault="0050478C" w:rsidP="0050478C">
      <w:pPr>
        <w:pStyle w:val="Bibliography"/>
      </w:pPr>
      <w:r>
        <w:t>Rukh G, Akbar S, Rehman G, et al (2024) StackedEnC-AOP: prediction of antioxidant proteins using transform evolutionary and sequential features based multi-scale vector with stacked ensemble learning. BMC Bioinformatics 25:256. https://doi.org/10.1186/s12859-024-05884-6</w:t>
      </w:r>
    </w:p>
    <w:p w14:paraId="53EAACC9" w14:textId="77777777" w:rsidR="0050478C" w:rsidRDefault="0050478C" w:rsidP="0050478C">
      <w:pPr>
        <w:pStyle w:val="Bibliography"/>
      </w:pPr>
      <w:r>
        <w:t>Schlögl M, Graser A, Spiekermann R, et al (2025) Brief communication: Visualizing uncertainties in landslide susceptibility modelling using bivariate mapping. Nat Hazards Earth Syst Sci 25:1425–1437. https://doi.org/10.5194/nhess-25-1425-2025</w:t>
      </w:r>
    </w:p>
    <w:p w14:paraId="6CF36B0A" w14:textId="77777777" w:rsidR="0050478C" w:rsidRDefault="0050478C" w:rsidP="0050478C">
      <w:pPr>
        <w:pStyle w:val="Bibliography"/>
      </w:pPr>
      <w:r>
        <w:lastRenderedPageBreak/>
        <w:t>Şensoy M, Kaplan L, Cerutti F, Saleki M (2020) Uncertainty-Aware Deep Classifiers Using Generative Models. In: Proceedings of the AAAI Conference on Artificial Intelligence. Association for the Advancement of Artificial Intelligence, pp 5620–5627</w:t>
      </w:r>
    </w:p>
    <w:p w14:paraId="515E5E89" w14:textId="77777777" w:rsidR="0050478C" w:rsidRDefault="0050478C" w:rsidP="0050478C">
      <w:pPr>
        <w:pStyle w:val="Bibliography"/>
      </w:pPr>
      <w:r>
        <w:t>Shaker M, Hüllermeier E (2025) Random forest calibration. Knowl-Based Syst 328:114143–114143. https://doi.org/10.1016/j.knosys.2025.114143</w:t>
      </w:r>
    </w:p>
    <w:p w14:paraId="2C5D8A02" w14:textId="77777777" w:rsidR="0050478C" w:rsidRDefault="0050478C" w:rsidP="0050478C">
      <w:pPr>
        <w:pStyle w:val="Bibliography"/>
      </w:pPr>
      <w:r>
        <w:t>Shi SY, Zhou J, Chen XJ, et al (2025) RISK ASSESSMENT OF GEOLOGICAL DISASTERS TRIGGERED BY HEAVY RAINFALL IN MOUNTAINOUS AREAS: A CASE STUDY IN HEBEI PROVINCE, CHINA. Appl Ecol Environ Res 23:5443–5460. https://doi.org/10.15666/aeer/2303_54435460</w:t>
      </w:r>
    </w:p>
    <w:p w14:paraId="1B843935" w14:textId="77777777" w:rsidR="0050478C" w:rsidRDefault="0050478C" w:rsidP="0050478C">
      <w:pPr>
        <w:pStyle w:val="Bibliography"/>
      </w:pPr>
      <w:r>
        <w:t>Singh A, Dhiman N, Niraj KC, Shukla DP (2024) “Ensembled transfer learning approach for error reduction in landslide susceptibility mapping of the data scare region.” Sci Rep 14:. https://doi.org/10.1038/s41598-024-76541-4</w:t>
      </w:r>
    </w:p>
    <w:p w14:paraId="3A936EDC" w14:textId="77777777" w:rsidR="0050478C" w:rsidRDefault="0050478C" w:rsidP="0050478C">
      <w:pPr>
        <w:pStyle w:val="Bibliography"/>
      </w:pPr>
      <w:r>
        <w:t>Singh G, Rosman B, Byrne MJ, Reynolds C (2025) An earth observation and explainable machine learning approach for determining the drivers of invasive species — a water hyacinth case study. Environ Monit Assess 197:. https://doi.org/10.1007/s10661-025-14517-1</w:t>
      </w:r>
    </w:p>
    <w:p w14:paraId="4510C823" w14:textId="77777777" w:rsidR="0050478C" w:rsidRDefault="0050478C" w:rsidP="0050478C">
      <w:pPr>
        <w:pStyle w:val="Bibliography"/>
      </w:pPr>
      <w:r>
        <w:t>Song Y, Guo J, Ma F, et al (2023) Spatial distribution analysis and application of engineering disturbance disasters in the Himalayan alpine valley. Front Earth Sci 10:. https://doi.org/10.3389/feart.2022.1098631</w:t>
      </w:r>
    </w:p>
    <w:p w14:paraId="2FDAB4DE" w14:textId="77777777" w:rsidR="0050478C" w:rsidRDefault="0050478C" w:rsidP="0050478C">
      <w:pPr>
        <w:pStyle w:val="Bibliography"/>
      </w:pPr>
      <w:r>
        <w:t>Stacey J, Salmon K, Janes T, et al (2023) Diverse skill of seasonal dynamical models in forecasting South Asian monsoon precipitation and the influence of ENSO and IOD. Clim Dyn 61:3857–3874. https://doi.org/10.1007/s00382-023-06770-2</w:t>
      </w:r>
    </w:p>
    <w:p w14:paraId="74596D6E" w14:textId="77777777" w:rsidR="0050478C" w:rsidRDefault="0050478C" w:rsidP="0050478C">
      <w:pPr>
        <w:pStyle w:val="Bibliography"/>
      </w:pPr>
      <w:r>
        <w:t>Stefanini FM, Ambrosini S, D′Alessandro F (2025) vulneraR: An R Package for Uncertainty Analysis in Coastal Vulnerability Studies. Mathematics 13:3603–3603. https://doi.org/10.3390/math13223603</w:t>
      </w:r>
    </w:p>
    <w:p w14:paraId="25C80B6D" w14:textId="77777777" w:rsidR="0050478C" w:rsidRDefault="0050478C" w:rsidP="0050478C">
      <w:pPr>
        <w:pStyle w:val="Bibliography"/>
      </w:pPr>
      <w:r>
        <w:t>Tai X, Anderegg WRL, Blanken PD, et al (2020) Hillslope Hydrology Influences the Spatial and Temporal Patterns of Remotely Sensed Ecosystem Productivity. Water Resour Res 56:. https://doi.org/10.1029/2020wr027630</w:t>
      </w:r>
    </w:p>
    <w:p w14:paraId="066B0ED2" w14:textId="77777777" w:rsidR="0050478C" w:rsidRDefault="0050478C" w:rsidP="0050478C">
      <w:pPr>
        <w:pStyle w:val="Bibliography"/>
      </w:pPr>
      <w:r>
        <w:t>Tehrani FS, Calvello M, Liu Z, et al (2022) Machine learning and landslide studies: recent advances and applications. Nat Hazards 114:1197–1245. https://doi.org/10.1007/s11069-022-05423-7</w:t>
      </w:r>
    </w:p>
    <w:p w14:paraId="542446EF" w14:textId="77777777" w:rsidR="0050478C" w:rsidRDefault="0050478C" w:rsidP="0050478C">
      <w:pPr>
        <w:pStyle w:val="Bibliography"/>
      </w:pPr>
      <w:r>
        <w:t>Thelen A, Huan X, Paulson N, et al (2024) Probabilistic machine learning for battery health diagnostics and prognostics—review and perspectives. Npj Mater Sustain 2:14. https://doi.org/10.1038/s44296-024-00011-1</w:t>
      </w:r>
    </w:p>
    <w:p w14:paraId="0EC224F4" w14:textId="77777777" w:rsidR="0050478C" w:rsidRDefault="0050478C" w:rsidP="0050478C">
      <w:pPr>
        <w:pStyle w:val="Bibliography"/>
      </w:pPr>
      <w:r>
        <w:t>Torizin J, Fuchs M, Balzer D, et al (2024) Project ‘“Mass Movements in Germany”’ and its implications for nationwide landslide susceptibility assessment. Bull Eng Geol Environ 83:. https://doi.org/10.1007/s10064-024-03691-0</w:t>
      </w:r>
    </w:p>
    <w:p w14:paraId="49106E38" w14:textId="77777777" w:rsidR="0050478C" w:rsidRDefault="0050478C" w:rsidP="0050478C">
      <w:pPr>
        <w:pStyle w:val="Bibliography"/>
      </w:pPr>
      <w:r>
        <w:t>Vashisht S, Rani S, Feng H (2026) Multimodal and Agentic Intelligence–Driven ML Fusion for Sustainable 6G Network Slicing. IEEE Open J Commun Soc 7:1643–1653. https://doi.org/10.1109/OJCOMS.2026.3663612</w:t>
      </w:r>
    </w:p>
    <w:p w14:paraId="1661426C" w14:textId="77777777" w:rsidR="0050478C" w:rsidRDefault="0050478C" w:rsidP="0050478C">
      <w:pPr>
        <w:pStyle w:val="Bibliography"/>
      </w:pPr>
      <w:r>
        <w:t>Wang Y, Khodadadzadeh M, Zurita‐Milla R (2023) Spatial+: A new cross-validation method to evaluate geospatial machine learning models. Int J Appl Earth Obs Geoinformation 121:103364–103364. https://doi.org/10.1016/j.jag.2023.103364</w:t>
      </w:r>
    </w:p>
    <w:p w14:paraId="2C3DE82D" w14:textId="77777777" w:rsidR="0050478C" w:rsidRDefault="0050478C" w:rsidP="0050478C">
      <w:pPr>
        <w:pStyle w:val="Bibliography"/>
      </w:pPr>
      <w:r>
        <w:t>Xia L, Shen J, Zhang T, et al (2023) GIS-based landslide susceptibility modeling using data mining techniques. Front Earth Sci 11:. https://doi.org/10.3389/feart.2023.1187384</w:t>
      </w:r>
    </w:p>
    <w:p w14:paraId="5E00D000" w14:textId="77777777" w:rsidR="0050478C" w:rsidRDefault="0050478C" w:rsidP="0050478C">
      <w:pPr>
        <w:pStyle w:val="Bibliography"/>
      </w:pPr>
      <w:r>
        <w:t>Yan Y, Yin X-C, Yang C, et al (2018) Biomedical literature classification with a CNNs-based hybrid learning network. PLoS ONE 13:. https://doi.org/10.1371/journal.pone.0197933</w:t>
      </w:r>
    </w:p>
    <w:p w14:paraId="60387F0B" w14:textId="77777777" w:rsidR="0050478C" w:rsidRDefault="0050478C" w:rsidP="0050478C">
      <w:pPr>
        <w:pStyle w:val="Bibliography"/>
      </w:pPr>
      <w:r>
        <w:t>Zhou X, Xing Y (2025) Spatial consistency assessment and landslide susceptibility prediction optimization. Front Earth Sci 13:. https://doi.org/10.3389/feart.2025.1702688</w:t>
      </w:r>
    </w:p>
    <w:p w14:paraId="0341762A" w14:textId="1A8370BE" w:rsidR="005B28E8" w:rsidRPr="00340959" w:rsidRDefault="0050478C" w:rsidP="00105415">
      <w:pPr>
        <w:pStyle w:val="JenniRefBody"/>
        <w:spacing w:before="0" w:after="120"/>
        <w:ind w:left="270" w:hanging="270"/>
        <w:jc w:val="both"/>
        <w:rPr>
          <w:rFonts w:ascii="Arial" w:hAnsi="Arial" w:cs="Arial"/>
          <w:sz w:val="21"/>
          <w:szCs w:val="21"/>
        </w:rPr>
      </w:pPr>
      <w:r>
        <w:rPr>
          <w:rFonts w:ascii="Arial" w:hAnsi="Arial" w:cs="Arial"/>
          <w:sz w:val="21"/>
          <w:szCs w:val="21"/>
        </w:rPr>
        <w:fldChar w:fldCharType="end"/>
      </w:r>
    </w:p>
    <w:sectPr w:rsidR="005B28E8" w:rsidRPr="00340959" w:rsidSect="00340959">
      <w:footerReference w:type="default" r:id="rId23"/>
      <w:pgSz w:w="11906" w:h="16838" w:code="9"/>
      <w:pgMar w:top="1152" w:right="864" w:bottom="720" w:left="1152" w:header="706" w:footer="288"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英明 安原" w:date="2026-04-26T08:19:00Z" w:initials="英安">
    <w:p w14:paraId="4C856982" w14:textId="097D5C5C" w:rsidR="00CD47B1" w:rsidRDefault="00CD47B1">
      <w:pPr>
        <w:pStyle w:val="CommentText"/>
      </w:pPr>
      <w:r>
        <w:rPr>
          <w:rStyle w:val="CommentReference"/>
        </w:rPr>
        <w:annotationRef/>
      </w:r>
      <w:r w:rsidRPr="00CD47B1">
        <w:t>While I didn't fully understand everything, I thought it was a well-structured paper. However, I do have some concerns. The biggest is that the logic for adopting GPC as the final model needs to be clarified. Since GPC is used despite RF being the best in terms of discriminatory performance, some readers might wonder, "Why use a lower-performing model in the end?" Therefore, instead of simply stating "because it's a Bayesian model," the argument that calibrated probabilities and uncertainties are necessary for risk communication and hazard management should be more prominent.</w:t>
      </w:r>
    </w:p>
  </w:comment>
  <w:comment w:id="1" w:author="Md Aftabur Rahman" w:date="2026-05-03T23:45:00Z" w:initials="MR">
    <w:p w14:paraId="7B1881F3" w14:textId="77777777" w:rsidR="00174ED1" w:rsidRDefault="00174ED1" w:rsidP="00174ED1">
      <w:pPr>
        <w:pStyle w:val="CommentText"/>
      </w:pPr>
      <w:r>
        <w:rPr>
          <w:rStyle w:val="CommentReference"/>
        </w:rPr>
        <w:annotationRef/>
      </w:r>
      <w:r>
        <w:t xml:space="preserve">Sensei, we have added the reason for using GPC in preparing the susceptibility map. </w:t>
      </w:r>
    </w:p>
  </w:comment>
  <w:comment w:id="2" w:author="Md Aftabur Rahman" w:date="2026-05-03T23:48:00Z" w:initials="MR">
    <w:p w14:paraId="748342E3" w14:textId="77777777" w:rsidR="00C10773" w:rsidRDefault="00C10773" w:rsidP="00C10773">
      <w:pPr>
        <w:pStyle w:val="CommentText"/>
      </w:pPr>
      <w:r>
        <w:rPr>
          <w:rStyle w:val="CommentReference"/>
        </w:rPr>
        <w:annotationRef/>
      </w:r>
      <w:r>
        <w:t>Sensei, Fig. 2 is revised to enhance the visibility</w:t>
      </w:r>
    </w:p>
  </w:comment>
  <w:comment w:id="3" w:author="英明 安原" w:date="2026-04-26T07:53:00Z" w:initials="英安">
    <w:p w14:paraId="3C1E9CB0" w14:textId="6A5C65CC" w:rsidR="006171B6" w:rsidRDefault="006171B6">
      <w:pPr>
        <w:pStyle w:val="CommentText"/>
      </w:pPr>
      <w:r>
        <w:rPr>
          <w:rStyle w:val="CommentReference"/>
        </w:rPr>
        <w:annotationRef/>
      </w:r>
      <w:r w:rsidRPr="006171B6">
        <w:t>This figure appears to have been created using generative AI, but recently, some journals have stated in their submission guidelines that figures created with generative AI are not allowed, so please be sure to check the guidelines carefully when submitting your work.</w:t>
      </w:r>
    </w:p>
  </w:comment>
  <w:comment w:id="4" w:author="Md Aftabur Rahman" w:date="2026-05-03T23:48:00Z" w:initials="MR">
    <w:p w14:paraId="69E36D80" w14:textId="77777777" w:rsidR="00C10773" w:rsidRDefault="00C10773" w:rsidP="00C10773">
      <w:pPr>
        <w:pStyle w:val="CommentText"/>
      </w:pPr>
      <w:r>
        <w:rPr>
          <w:rStyle w:val="CommentReference"/>
        </w:rPr>
        <w:annotationRef/>
      </w:r>
      <w:r>
        <w:t xml:space="preserve">Sensei, Fig. 3 is revised to avoid the issue related to generative AI. </w:t>
      </w:r>
    </w:p>
  </w:comment>
  <w:comment w:id="5" w:author="英明 安原" w:date="2026-04-26T08:02:00Z" w:initials="英安">
    <w:p w14:paraId="1EECC912" w14:textId="77777777" w:rsidR="00CE45DC" w:rsidRPr="00CE45DC" w:rsidRDefault="00CE45DC" w:rsidP="00CE45DC">
      <w:pPr>
        <w:pStyle w:val="CommentText"/>
      </w:pPr>
      <w:r>
        <w:rPr>
          <w:rStyle w:val="CommentReference"/>
        </w:rPr>
        <w:annotationRef/>
      </w:r>
      <w:r w:rsidRPr="00CE45DC">
        <w:rPr>
          <w:lang w:val="en"/>
        </w:rPr>
        <w:t>I don't think there's much point in connecting points with curves.</w:t>
      </w:r>
    </w:p>
    <w:p w14:paraId="24EDC1EA" w14:textId="7CEA6EE8" w:rsidR="00CE45DC" w:rsidRDefault="00CE45DC">
      <w:pPr>
        <w:pStyle w:val="CommentText"/>
      </w:pPr>
    </w:p>
  </w:comment>
  <w:comment w:id="6" w:author="Md Aftabur Rahman" w:date="2026-05-03T23:03:00Z" w:initials="MR">
    <w:p w14:paraId="3703117A" w14:textId="77777777" w:rsidR="003406BA" w:rsidRDefault="003406BA" w:rsidP="003406BA">
      <w:pPr>
        <w:pStyle w:val="CommentText"/>
      </w:pPr>
      <w:r>
        <w:rPr>
          <w:rStyle w:val="CommentReference"/>
        </w:rPr>
        <w:annotationRef/>
      </w:r>
      <w:r>
        <w:t xml:space="preserve">Sensei, representation has been changed.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856982" w15:done="0"/>
  <w15:commentEx w15:paraId="7B1881F3" w15:done="0"/>
  <w15:commentEx w15:paraId="748342E3" w15:done="0"/>
  <w15:commentEx w15:paraId="3C1E9CB0" w15:done="0"/>
  <w15:commentEx w15:paraId="69E36D80" w15:paraIdParent="3C1E9CB0" w15:done="0"/>
  <w15:commentEx w15:paraId="24EDC1EA" w15:done="0"/>
  <w15:commentEx w15:paraId="3703117A" w15:paraIdParent="24EDC1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F8CFA8" w16cex:dateUtc="2026-04-25T23:19:00Z"/>
  <w16cex:commentExtensible w16cex:durableId="1B59AD5D" w16cex:dateUtc="2026-05-03T17:45:00Z"/>
  <w16cex:commentExtensible w16cex:durableId="1A38C96A" w16cex:dateUtc="2026-05-03T17:48:00Z"/>
  <w16cex:commentExtensible w16cex:durableId="7313385C" w16cex:dateUtc="2026-04-25T22:53:00Z"/>
  <w16cex:commentExtensible w16cex:durableId="2EBFFE96" w16cex:dateUtc="2026-05-03T17:48:00Z"/>
  <w16cex:commentExtensible w16cex:durableId="2274B179" w16cex:dateUtc="2026-04-25T23:02:00Z"/>
  <w16cex:commentExtensible w16cex:durableId="171F128D" w16cex:dateUtc="2026-05-03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856982" w16cid:durableId="5EF8CFA8"/>
  <w16cid:commentId w16cid:paraId="7B1881F3" w16cid:durableId="1B59AD5D"/>
  <w16cid:commentId w16cid:paraId="748342E3" w16cid:durableId="1A38C96A"/>
  <w16cid:commentId w16cid:paraId="3C1E9CB0" w16cid:durableId="7313385C"/>
  <w16cid:commentId w16cid:paraId="69E36D80" w16cid:durableId="2EBFFE96"/>
  <w16cid:commentId w16cid:paraId="24EDC1EA" w16cid:durableId="2274B179"/>
  <w16cid:commentId w16cid:paraId="3703117A" w16cid:durableId="171F12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D624F" w14:textId="77777777" w:rsidR="009939B2" w:rsidRDefault="009939B2" w:rsidP="00340959">
      <w:pPr>
        <w:spacing w:before="0" w:after="0"/>
      </w:pPr>
      <w:r>
        <w:separator/>
      </w:r>
    </w:p>
  </w:endnote>
  <w:endnote w:type="continuationSeparator" w:id="0">
    <w:p w14:paraId="5E73E86A" w14:textId="77777777" w:rsidR="009939B2" w:rsidRDefault="009939B2" w:rsidP="0034095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119957362"/>
      <w:docPartObj>
        <w:docPartGallery w:val="Page Numbers (Bottom of Page)"/>
        <w:docPartUnique/>
      </w:docPartObj>
    </w:sdtPr>
    <w:sdtContent>
      <w:sdt>
        <w:sdtPr>
          <w:rPr>
            <w:rFonts w:ascii="Arial" w:hAnsi="Arial" w:cs="Arial"/>
            <w:sz w:val="16"/>
            <w:szCs w:val="16"/>
          </w:rPr>
          <w:id w:val="-1769616900"/>
          <w:docPartObj>
            <w:docPartGallery w:val="Page Numbers (Top of Page)"/>
            <w:docPartUnique/>
          </w:docPartObj>
        </w:sdtPr>
        <w:sdtContent>
          <w:p w14:paraId="0E67369D" w14:textId="70F0B4D8" w:rsidR="00340959" w:rsidRPr="00340959" w:rsidRDefault="00340959">
            <w:pPr>
              <w:pStyle w:val="Footer"/>
              <w:jc w:val="right"/>
              <w:rPr>
                <w:rFonts w:ascii="Arial" w:hAnsi="Arial" w:cs="Arial"/>
                <w:sz w:val="16"/>
                <w:szCs w:val="16"/>
              </w:rPr>
            </w:pPr>
            <w:r w:rsidRPr="00340959">
              <w:rPr>
                <w:rFonts w:ascii="Arial" w:hAnsi="Arial" w:cs="Arial"/>
                <w:sz w:val="16"/>
                <w:szCs w:val="16"/>
              </w:rPr>
              <w:t xml:space="preserve">Page </w:t>
            </w:r>
            <w:r w:rsidRPr="00340959">
              <w:rPr>
                <w:rFonts w:ascii="Arial" w:hAnsi="Arial" w:cs="Arial"/>
                <w:b/>
                <w:bCs/>
                <w:sz w:val="16"/>
                <w:szCs w:val="16"/>
              </w:rPr>
              <w:fldChar w:fldCharType="begin"/>
            </w:r>
            <w:r w:rsidRPr="00340959">
              <w:rPr>
                <w:rFonts w:ascii="Arial" w:hAnsi="Arial" w:cs="Arial"/>
                <w:b/>
                <w:bCs/>
                <w:sz w:val="16"/>
                <w:szCs w:val="16"/>
              </w:rPr>
              <w:instrText xml:space="preserve"> PAGE </w:instrText>
            </w:r>
            <w:r w:rsidRPr="00340959">
              <w:rPr>
                <w:rFonts w:ascii="Arial" w:hAnsi="Arial" w:cs="Arial"/>
                <w:b/>
                <w:bCs/>
                <w:sz w:val="16"/>
                <w:szCs w:val="16"/>
              </w:rPr>
              <w:fldChar w:fldCharType="separate"/>
            </w:r>
            <w:r w:rsidRPr="00340959">
              <w:rPr>
                <w:rFonts w:ascii="Arial" w:hAnsi="Arial" w:cs="Arial"/>
                <w:b/>
                <w:bCs/>
                <w:noProof/>
                <w:sz w:val="16"/>
                <w:szCs w:val="16"/>
              </w:rPr>
              <w:t>2</w:t>
            </w:r>
            <w:r w:rsidRPr="00340959">
              <w:rPr>
                <w:rFonts w:ascii="Arial" w:hAnsi="Arial" w:cs="Arial"/>
                <w:b/>
                <w:bCs/>
                <w:sz w:val="16"/>
                <w:szCs w:val="16"/>
              </w:rPr>
              <w:fldChar w:fldCharType="end"/>
            </w:r>
            <w:r w:rsidRPr="00340959">
              <w:rPr>
                <w:rFonts w:ascii="Arial" w:hAnsi="Arial" w:cs="Arial"/>
                <w:sz w:val="16"/>
                <w:szCs w:val="16"/>
              </w:rPr>
              <w:t xml:space="preserve"> of </w:t>
            </w:r>
            <w:r w:rsidRPr="00340959">
              <w:rPr>
                <w:rFonts w:ascii="Arial" w:hAnsi="Arial" w:cs="Arial"/>
                <w:b/>
                <w:bCs/>
                <w:sz w:val="16"/>
                <w:szCs w:val="16"/>
              </w:rPr>
              <w:fldChar w:fldCharType="begin"/>
            </w:r>
            <w:r w:rsidRPr="00340959">
              <w:rPr>
                <w:rFonts w:ascii="Arial" w:hAnsi="Arial" w:cs="Arial"/>
                <w:b/>
                <w:bCs/>
                <w:sz w:val="16"/>
                <w:szCs w:val="16"/>
              </w:rPr>
              <w:instrText xml:space="preserve"> NUMPAGES  </w:instrText>
            </w:r>
            <w:r w:rsidRPr="00340959">
              <w:rPr>
                <w:rFonts w:ascii="Arial" w:hAnsi="Arial" w:cs="Arial"/>
                <w:b/>
                <w:bCs/>
                <w:sz w:val="16"/>
                <w:szCs w:val="16"/>
              </w:rPr>
              <w:fldChar w:fldCharType="separate"/>
            </w:r>
            <w:r w:rsidRPr="00340959">
              <w:rPr>
                <w:rFonts w:ascii="Arial" w:hAnsi="Arial" w:cs="Arial"/>
                <w:b/>
                <w:bCs/>
                <w:noProof/>
                <w:sz w:val="16"/>
                <w:szCs w:val="16"/>
              </w:rPr>
              <w:t>2</w:t>
            </w:r>
            <w:r w:rsidRPr="00340959">
              <w:rPr>
                <w:rFonts w:ascii="Arial" w:hAnsi="Arial" w:cs="Arial"/>
                <w:b/>
                <w:bCs/>
                <w:sz w:val="16"/>
                <w:szCs w:val="16"/>
              </w:rPr>
              <w:fldChar w:fldCharType="end"/>
            </w:r>
          </w:p>
        </w:sdtContent>
      </w:sdt>
    </w:sdtContent>
  </w:sdt>
  <w:p w14:paraId="4D2887F7" w14:textId="77777777" w:rsidR="00340959" w:rsidRDefault="00340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E461E" w14:textId="77777777" w:rsidR="009939B2" w:rsidRDefault="009939B2" w:rsidP="00340959">
      <w:pPr>
        <w:spacing w:before="0" w:after="0"/>
      </w:pPr>
      <w:r>
        <w:separator/>
      </w:r>
    </w:p>
  </w:footnote>
  <w:footnote w:type="continuationSeparator" w:id="0">
    <w:p w14:paraId="555825E0" w14:textId="77777777" w:rsidR="009939B2" w:rsidRDefault="009939B2" w:rsidP="0034095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1441D"/>
    <w:multiLevelType w:val="hybridMultilevel"/>
    <w:tmpl w:val="98069324"/>
    <w:lvl w:ilvl="0" w:tplc="489012BA">
      <w:start w:val="1"/>
      <w:numFmt w:val="bullet"/>
      <w:lvlText w:val="●"/>
      <w:lvlJc w:val="left"/>
      <w:pPr>
        <w:ind w:left="720" w:hanging="360"/>
      </w:pPr>
    </w:lvl>
    <w:lvl w:ilvl="1" w:tplc="DAAC8096">
      <w:start w:val="1"/>
      <w:numFmt w:val="bullet"/>
      <w:lvlText w:val="○"/>
      <w:lvlJc w:val="left"/>
      <w:pPr>
        <w:ind w:left="1440" w:hanging="360"/>
      </w:pPr>
    </w:lvl>
    <w:lvl w:ilvl="2" w:tplc="8ADA3F96">
      <w:start w:val="1"/>
      <w:numFmt w:val="bullet"/>
      <w:lvlText w:val="■"/>
      <w:lvlJc w:val="left"/>
      <w:pPr>
        <w:ind w:left="2160" w:hanging="360"/>
      </w:pPr>
    </w:lvl>
    <w:lvl w:ilvl="3" w:tplc="C04A7E40">
      <w:start w:val="1"/>
      <w:numFmt w:val="bullet"/>
      <w:lvlText w:val="●"/>
      <w:lvlJc w:val="left"/>
      <w:pPr>
        <w:ind w:left="2880" w:hanging="360"/>
      </w:pPr>
    </w:lvl>
    <w:lvl w:ilvl="4" w:tplc="EB3CF524">
      <w:start w:val="1"/>
      <w:numFmt w:val="bullet"/>
      <w:lvlText w:val="○"/>
      <w:lvlJc w:val="left"/>
      <w:pPr>
        <w:ind w:left="3600" w:hanging="360"/>
      </w:pPr>
    </w:lvl>
    <w:lvl w:ilvl="5" w:tplc="305A5D5E">
      <w:start w:val="1"/>
      <w:numFmt w:val="bullet"/>
      <w:lvlText w:val="■"/>
      <w:lvlJc w:val="left"/>
      <w:pPr>
        <w:ind w:left="4320" w:hanging="360"/>
      </w:pPr>
    </w:lvl>
    <w:lvl w:ilvl="6" w:tplc="6736DDB4">
      <w:start w:val="1"/>
      <w:numFmt w:val="bullet"/>
      <w:lvlText w:val="●"/>
      <w:lvlJc w:val="left"/>
      <w:pPr>
        <w:ind w:left="5040" w:hanging="360"/>
      </w:pPr>
    </w:lvl>
    <w:lvl w:ilvl="7" w:tplc="EAB6EC0A">
      <w:start w:val="1"/>
      <w:numFmt w:val="bullet"/>
      <w:lvlText w:val="●"/>
      <w:lvlJc w:val="left"/>
      <w:pPr>
        <w:ind w:left="5760" w:hanging="360"/>
      </w:pPr>
    </w:lvl>
    <w:lvl w:ilvl="8" w:tplc="BBD21A76">
      <w:start w:val="1"/>
      <w:numFmt w:val="bullet"/>
      <w:lvlText w:val="●"/>
      <w:lvlJc w:val="left"/>
      <w:pPr>
        <w:ind w:left="6480" w:hanging="360"/>
      </w:pPr>
    </w:lvl>
  </w:abstractNum>
  <w:abstractNum w:abstractNumId="1" w15:restartNumberingAfterBreak="0">
    <w:nsid w:val="322615EB"/>
    <w:multiLevelType w:val="hybridMultilevel"/>
    <w:tmpl w:val="0BB0A206"/>
    <w:lvl w:ilvl="0" w:tplc="2848DF3C">
      <w:start w:val="1"/>
      <w:numFmt w:val="decimalEnclosedFullstop"/>
      <w:lvlText w:val="%1"/>
      <w:lvlJc w:val="left"/>
      <w:pPr>
        <w:ind w:left="720" w:hanging="360"/>
      </w:pPr>
    </w:lvl>
    <w:lvl w:ilvl="1" w:tplc="8FFAF48A">
      <w:start w:val="1"/>
      <w:numFmt w:val="decimalEnclosedFullstop"/>
      <w:lvlText w:val="%2"/>
      <w:lvlJc w:val="left"/>
      <w:pPr>
        <w:ind w:left="1440" w:hanging="360"/>
      </w:pPr>
    </w:lvl>
    <w:lvl w:ilvl="2" w:tplc="FE1624A4">
      <w:start w:val="1"/>
      <w:numFmt w:val="decimalEnclosedFullstop"/>
      <w:lvlText w:val="%3"/>
      <w:lvlJc w:val="left"/>
      <w:pPr>
        <w:ind w:left="2160" w:hanging="360"/>
      </w:pPr>
    </w:lvl>
    <w:lvl w:ilvl="3" w:tplc="2BB6523E">
      <w:start w:val="1"/>
      <w:numFmt w:val="decimalEnclosedFullstop"/>
      <w:lvlText w:val="%4"/>
      <w:lvlJc w:val="left"/>
      <w:pPr>
        <w:ind w:left="2880" w:hanging="360"/>
      </w:pPr>
    </w:lvl>
    <w:lvl w:ilvl="4" w:tplc="7B3E9F8E">
      <w:start w:val="1"/>
      <w:numFmt w:val="decimalEnclosedFullstop"/>
      <w:lvlText w:val="%5"/>
      <w:lvlJc w:val="left"/>
      <w:pPr>
        <w:ind w:left="3600" w:hanging="360"/>
      </w:pPr>
    </w:lvl>
    <w:lvl w:ilvl="5" w:tplc="B1EA0F4C">
      <w:start w:val="1"/>
      <w:numFmt w:val="decimalEnclosedFullstop"/>
      <w:lvlText w:val="%6"/>
      <w:lvlJc w:val="left"/>
      <w:pPr>
        <w:ind w:left="4320" w:hanging="360"/>
      </w:pPr>
    </w:lvl>
    <w:lvl w:ilvl="6" w:tplc="58C62940">
      <w:start w:val="1"/>
      <w:numFmt w:val="decimalEnclosedFullstop"/>
      <w:lvlText w:val="%7"/>
      <w:lvlJc w:val="left"/>
      <w:pPr>
        <w:ind w:left="5040" w:hanging="360"/>
      </w:pPr>
    </w:lvl>
    <w:lvl w:ilvl="7" w:tplc="C8A01CD4">
      <w:start w:val="1"/>
      <w:numFmt w:val="decimalEnclosedFullstop"/>
      <w:lvlText w:val="%8"/>
      <w:lvlJc w:val="left"/>
      <w:pPr>
        <w:ind w:left="5760" w:hanging="360"/>
      </w:pPr>
    </w:lvl>
    <w:lvl w:ilvl="8" w:tplc="6130C854">
      <w:start w:val="1"/>
      <w:numFmt w:val="decimalEnclosedFullstop"/>
      <w:lvlText w:val="%9"/>
      <w:lvlJc w:val="left"/>
      <w:pPr>
        <w:ind w:left="6480" w:hanging="360"/>
      </w:pPr>
    </w:lvl>
  </w:abstractNum>
  <w:abstractNum w:abstractNumId="2" w15:restartNumberingAfterBreak="0">
    <w:nsid w:val="40B64A97"/>
    <w:multiLevelType w:val="hybridMultilevel"/>
    <w:tmpl w:val="ADA66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2B3DDE"/>
    <w:multiLevelType w:val="multilevel"/>
    <w:tmpl w:val="832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7223B"/>
    <w:multiLevelType w:val="hybridMultilevel"/>
    <w:tmpl w:val="E610B75A"/>
    <w:lvl w:ilvl="0" w:tplc="6BE239FA">
      <w:start w:val="1"/>
      <w:numFmt w:val="bullet"/>
      <w:lvlText w:val=""/>
      <w:lvlJc w:val="left"/>
      <w:pPr>
        <w:ind w:left="720" w:hanging="360"/>
      </w:pPr>
    </w:lvl>
    <w:lvl w:ilvl="1" w:tplc="8B085CBA">
      <w:start w:val="1"/>
      <w:numFmt w:val="bullet"/>
      <w:lvlText w:val=""/>
      <w:lvlJc w:val="left"/>
      <w:pPr>
        <w:ind w:left="1440" w:hanging="360"/>
      </w:pPr>
    </w:lvl>
    <w:lvl w:ilvl="2" w:tplc="ABD8339E">
      <w:start w:val="1"/>
      <w:numFmt w:val="bullet"/>
      <w:lvlText w:val=""/>
      <w:lvlJc w:val="left"/>
      <w:pPr>
        <w:ind w:left="2160" w:hanging="360"/>
      </w:pPr>
    </w:lvl>
    <w:lvl w:ilvl="3" w:tplc="82405ED4">
      <w:start w:val="1"/>
      <w:numFmt w:val="bullet"/>
      <w:lvlText w:val=""/>
      <w:lvlJc w:val="left"/>
      <w:pPr>
        <w:ind w:left="2880" w:hanging="360"/>
      </w:pPr>
    </w:lvl>
    <w:lvl w:ilvl="4" w:tplc="63CC0D54">
      <w:start w:val="1"/>
      <w:numFmt w:val="bullet"/>
      <w:lvlText w:val=""/>
      <w:lvlJc w:val="left"/>
      <w:pPr>
        <w:ind w:left="3600" w:hanging="360"/>
      </w:pPr>
    </w:lvl>
    <w:lvl w:ilvl="5" w:tplc="AADC4A00">
      <w:start w:val="1"/>
      <w:numFmt w:val="bullet"/>
      <w:lvlText w:val=""/>
      <w:lvlJc w:val="left"/>
      <w:pPr>
        <w:ind w:left="4320" w:hanging="360"/>
      </w:pPr>
    </w:lvl>
    <w:lvl w:ilvl="6" w:tplc="3FECB482">
      <w:start w:val="1"/>
      <w:numFmt w:val="bullet"/>
      <w:lvlText w:val=""/>
      <w:lvlJc w:val="left"/>
      <w:pPr>
        <w:ind w:left="5040" w:hanging="360"/>
      </w:pPr>
    </w:lvl>
    <w:lvl w:ilvl="7" w:tplc="7B260566">
      <w:start w:val="1"/>
      <w:numFmt w:val="bullet"/>
      <w:lvlText w:val=""/>
      <w:lvlJc w:val="left"/>
      <w:pPr>
        <w:ind w:left="5760" w:hanging="360"/>
      </w:pPr>
    </w:lvl>
    <w:lvl w:ilvl="8" w:tplc="7500FCB2">
      <w:start w:val="1"/>
      <w:numFmt w:val="bullet"/>
      <w:lvlText w:val=""/>
      <w:lvlJc w:val="left"/>
      <w:pPr>
        <w:ind w:left="6480" w:hanging="360"/>
      </w:pPr>
    </w:lvl>
  </w:abstractNum>
  <w:num w:numId="1" w16cid:durableId="1635714395">
    <w:abstractNumId w:val="0"/>
    <w:lvlOverride w:ilvl="0">
      <w:startOverride w:val="1"/>
    </w:lvlOverride>
  </w:num>
  <w:num w:numId="2" w16cid:durableId="838424152">
    <w:abstractNumId w:val="2"/>
  </w:num>
  <w:num w:numId="3" w16cid:durableId="2340521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英明 安原">
    <w15:presenceInfo w15:providerId="Windows Live" w15:userId="3a898e623f7e1b9f"/>
  </w15:person>
  <w15:person w15:author="Md Aftabur Rahman">
    <w15:presenceInfo w15:providerId="Windows Live" w15:userId="4853b06ab9dba6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E8"/>
    <w:rsid w:val="0000656E"/>
    <w:rsid w:val="000139B7"/>
    <w:rsid w:val="00014D20"/>
    <w:rsid w:val="000152B3"/>
    <w:rsid w:val="00023FB6"/>
    <w:rsid w:val="00043F51"/>
    <w:rsid w:val="00050108"/>
    <w:rsid w:val="000750C2"/>
    <w:rsid w:val="000B1123"/>
    <w:rsid w:val="000D3C72"/>
    <w:rsid w:val="000D4E59"/>
    <w:rsid w:val="000F0B5C"/>
    <w:rsid w:val="000F36B7"/>
    <w:rsid w:val="0010159B"/>
    <w:rsid w:val="00105415"/>
    <w:rsid w:val="00132AFC"/>
    <w:rsid w:val="00162937"/>
    <w:rsid w:val="00174ED1"/>
    <w:rsid w:val="001813BC"/>
    <w:rsid w:val="00181C81"/>
    <w:rsid w:val="001B5C0A"/>
    <w:rsid w:val="001E256C"/>
    <w:rsid w:val="001E5B4C"/>
    <w:rsid w:val="001E78B5"/>
    <w:rsid w:val="001F2FF7"/>
    <w:rsid w:val="00213633"/>
    <w:rsid w:val="00224A17"/>
    <w:rsid w:val="0025239D"/>
    <w:rsid w:val="0025506D"/>
    <w:rsid w:val="00273991"/>
    <w:rsid w:val="0029321A"/>
    <w:rsid w:val="002B0D57"/>
    <w:rsid w:val="002E13CA"/>
    <w:rsid w:val="002E152D"/>
    <w:rsid w:val="002E64C8"/>
    <w:rsid w:val="002F170D"/>
    <w:rsid w:val="0030014F"/>
    <w:rsid w:val="00302C85"/>
    <w:rsid w:val="00335676"/>
    <w:rsid w:val="003406BA"/>
    <w:rsid w:val="00340959"/>
    <w:rsid w:val="0034162E"/>
    <w:rsid w:val="00345E8A"/>
    <w:rsid w:val="0035201E"/>
    <w:rsid w:val="00367615"/>
    <w:rsid w:val="003727C9"/>
    <w:rsid w:val="003729EA"/>
    <w:rsid w:val="00376E9D"/>
    <w:rsid w:val="003A25A9"/>
    <w:rsid w:val="003B438B"/>
    <w:rsid w:val="003C6790"/>
    <w:rsid w:val="003D475B"/>
    <w:rsid w:val="003E3F90"/>
    <w:rsid w:val="00412A33"/>
    <w:rsid w:val="00417152"/>
    <w:rsid w:val="00426A1F"/>
    <w:rsid w:val="0046378D"/>
    <w:rsid w:val="004701D8"/>
    <w:rsid w:val="00492B1B"/>
    <w:rsid w:val="00492F38"/>
    <w:rsid w:val="004976F9"/>
    <w:rsid w:val="004A2710"/>
    <w:rsid w:val="004A4946"/>
    <w:rsid w:val="004B5E5B"/>
    <w:rsid w:val="004B6105"/>
    <w:rsid w:val="004C449E"/>
    <w:rsid w:val="004D3B85"/>
    <w:rsid w:val="0050478C"/>
    <w:rsid w:val="005116F3"/>
    <w:rsid w:val="00514474"/>
    <w:rsid w:val="00556783"/>
    <w:rsid w:val="00567FB5"/>
    <w:rsid w:val="00571FF7"/>
    <w:rsid w:val="0058719A"/>
    <w:rsid w:val="005974FC"/>
    <w:rsid w:val="005B28E8"/>
    <w:rsid w:val="005D0279"/>
    <w:rsid w:val="005E1CE8"/>
    <w:rsid w:val="005E73F7"/>
    <w:rsid w:val="0061123F"/>
    <w:rsid w:val="00615F38"/>
    <w:rsid w:val="006171B6"/>
    <w:rsid w:val="00625A89"/>
    <w:rsid w:val="00626EBC"/>
    <w:rsid w:val="00627000"/>
    <w:rsid w:val="00633EF5"/>
    <w:rsid w:val="006367E3"/>
    <w:rsid w:val="006560F0"/>
    <w:rsid w:val="00693F4F"/>
    <w:rsid w:val="006961D9"/>
    <w:rsid w:val="006B3FCC"/>
    <w:rsid w:val="006C12E5"/>
    <w:rsid w:val="006D1AD2"/>
    <w:rsid w:val="006D4BC0"/>
    <w:rsid w:val="006F2050"/>
    <w:rsid w:val="006F3ED4"/>
    <w:rsid w:val="00711FAE"/>
    <w:rsid w:val="00713DAE"/>
    <w:rsid w:val="007379D8"/>
    <w:rsid w:val="00764B30"/>
    <w:rsid w:val="007850A9"/>
    <w:rsid w:val="007A2AFA"/>
    <w:rsid w:val="007B766F"/>
    <w:rsid w:val="007E51DD"/>
    <w:rsid w:val="007E6071"/>
    <w:rsid w:val="00832438"/>
    <w:rsid w:val="00855B1E"/>
    <w:rsid w:val="00860EF9"/>
    <w:rsid w:val="00864D5E"/>
    <w:rsid w:val="00872895"/>
    <w:rsid w:val="008A060E"/>
    <w:rsid w:val="008A259B"/>
    <w:rsid w:val="008A70E9"/>
    <w:rsid w:val="008B39EC"/>
    <w:rsid w:val="008D58D4"/>
    <w:rsid w:val="008F2650"/>
    <w:rsid w:val="00904121"/>
    <w:rsid w:val="009067BE"/>
    <w:rsid w:val="00927875"/>
    <w:rsid w:val="00954C61"/>
    <w:rsid w:val="00966032"/>
    <w:rsid w:val="009939B2"/>
    <w:rsid w:val="009C3E91"/>
    <w:rsid w:val="009C4819"/>
    <w:rsid w:val="009F1E39"/>
    <w:rsid w:val="009F7D21"/>
    <w:rsid w:val="00A15DD1"/>
    <w:rsid w:val="00A20F73"/>
    <w:rsid w:val="00A42C6C"/>
    <w:rsid w:val="00A51BB9"/>
    <w:rsid w:val="00A746D2"/>
    <w:rsid w:val="00A97A2D"/>
    <w:rsid w:val="00AB628D"/>
    <w:rsid w:val="00AC4CAA"/>
    <w:rsid w:val="00AE6AC7"/>
    <w:rsid w:val="00B03596"/>
    <w:rsid w:val="00B10343"/>
    <w:rsid w:val="00B353DD"/>
    <w:rsid w:val="00B405A8"/>
    <w:rsid w:val="00B4552B"/>
    <w:rsid w:val="00B52F0B"/>
    <w:rsid w:val="00B567CC"/>
    <w:rsid w:val="00B61B2F"/>
    <w:rsid w:val="00B86454"/>
    <w:rsid w:val="00BA5407"/>
    <w:rsid w:val="00BD5AC2"/>
    <w:rsid w:val="00C022BF"/>
    <w:rsid w:val="00C0298E"/>
    <w:rsid w:val="00C10773"/>
    <w:rsid w:val="00C13C7B"/>
    <w:rsid w:val="00C168BA"/>
    <w:rsid w:val="00C17BC1"/>
    <w:rsid w:val="00C64BB2"/>
    <w:rsid w:val="00C65098"/>
    <w:rsid w:val="00C85AAB"/>
    <w:rsid w:val="00CA4458"/>
    <w:rsid w:val="00CA5C60"/>
    <w:rsid w:val="00CB2647"/>
    <w:rsid w:val="00CC1241"/>
    <w:rsid w:val="00CC13C9"/>
    <w:rsid w:val="00CC2EB1"/>
    <w:rsid w:val="00CC311D"/>
    <w:rsid w:val="00CC491C"/>
    <w:rsid w:val="00CD2ECF"/>
    <w:rsid w:val="00CD47B1"/>
    <w:rsid w:val="00CE45DC"/>
    <w:rsid w:val="00D4784A"/>
    <w:rsid w:val="00D53A16"/>
    <w:rsid w:val="00D61F62"/>
    <w:rsid w:val="00D7557B"/>
    <w:rsid w:val="00DA4FC5"/>
    <w:rsid w:val="00DA73E5"/>
    <w:rsid w:val="00DF02E1"/>
    <w:rsid w:val="00DF7AC4"/>
    <w:rsid w:val="00E104DB"/>
    <w:rsid w:val="00E32FEE"/>
    <w:rsid w:val="00E40E38"/>
    <w:rsid w:val="00E47337"/>
    <w:rsid w:val="00E57BC1"/>
    <w:rsid w:val="00E73E78"/>
    <w:rsid w:val="00EA1323"/>
    <w:rsid w:val="00EC047A"/>
    <w:rsid w:val="00EC60E6"/>
    <w:rsid w:val="00EC71F6"/>
    <w:rsid w:val="00ED19A0"/>
    <w:rsid w:val="00EE403A"/>
    <w:rsid w:val="00EF455D"/>
    <w:rsid w:val="00F01E75"/>
    <w:rsid w:val="00F04E48"/>
    <w:rsid w:val="00F47DC5"/>
    <w:rsid w:val="00F5320B"/>
    <w:rsid w:val="00F837DF"/>
    <w:rsid w:val="00F85F55"/>
    <w:rsid w:val="00F93549"/>
    <w:rsid w:val="00F9622B"/>
    <w:rsid w:val="00FC6F1E"/>
    <w:rsid w:val="00FE4492"/>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147937"/>
  <w15:docId w15:val="{6B32B270-A0FE-44CB-80A9-917F0F7D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character" w:styleId="LineNumber">
    <w:name w:val="line number"/>
    <w:basedOn w:val="DefaultParagraphFont"/>
    <w:uiPriority w:val="99"/>
    <w:semiHidden/>
    <w:unhideWhenUsed/>
    <w:rsid w:val="004976F9"/>
  </w:style>
  <w:style w:type="paragraph" w:styleId="NoSpacing">
    <w:name w:val="No Spacing"/>
    <w:uiPriority w:val="1"/>
    <w:qFormat/>
    <w:rsid w:val="009F7D21"/>
    <w:pPr>
      <w:spacing w:before="0" w:after="0"/>
    </w:pPr>
  </w:style>
  <w:style w:type="character" w:styleId="UnresolvedMention">
    <w:name w:val="Unresolved Mention"/>
    <w:basedOn w:val="DefaultParagraphFont"/>
    <w:uiPriority w:val="99"/>
    <w:semiHidden/>
    <w:unhideWhenUsed/>
    <w:rsid w:val="00633EF5"/>
    <w:rPr>
      <w:color w:val="605E5C"/>
      <w:shd w:val="clear" w:color="auto" w:fill="E1DFDD"/>
    </w:rPr>
  </w:style>
  <w:style w:type="character" w:styleId="CommentReference">
    <w:name w:val="annotation reference"/>
    <w:basedOn w:val="DefaultParagraphFont"/>
    <w:uiPriority w:val="99"/>
    <w:semiHidden/>
    <w:unhideWhenUsed/>
    <w:rsid w:val="00C022BF"/>
    <w:rPr>
      <w:sz w:val="16"/>
      <w:szCs w:val="16"/>
    </w:rPr>
  </w:style>
  <w:style w:type="paragraph" w:styleId="CommentText">
    <w:name w:val="annotation text"/>
    <w:basedOn w:val="Normal"/>
    <w:link w:val="CommentTextChar"/>
    <w:uiPriority w:val="99"/>
    <w:unhideWhenUsed/>
    <w:rsid w:val="00C022BF"/>
  </w:style>
  <w:style w:type="character" w:customStyle="1" w:styleId="CommentTextChar">
    <w:name w:val="Comment Text Char"/>
    <w:basedOn w:val="DefaultParagraphFont"/>
    <w:link w:val="CommentText"/>
    <w:uiPriority w:val="99"/>
    <w:rsid w:val="00C022BF"/>
  </w:style>
  <w:style w:type="paragraph" w:styleId="CommentSubject">
    <w:name w:val="annotation subject"/>
    <w:basedOn w:val="CommentText"/>
    <w:next w:val="CommentText"/>
    <w:link w:val="CommentSubjectChar"/>
    <w:uiPriority w:val="99"/>
    <w:semiHidden/>
    <w:unhideWhenUsed/>
    <w:rsid w:val="00C022BF"/>
    <w:rPr>
      <w:b/>
      <w:bCs/>
    </w:rPr>
  </w:style>
  <w:style w:type="character" w:customStyle="1" w:styleId="CommentSubjectChar">
    <w:name w:val="Comment Subject Char"/>
    <w:basedOn w:val="CommentTextChar"/>
    <w:link w:val="CommentSubject"/>
    <w:uiPriority w:val="99"/>
    <w:semiHidden/>
    <w:rsid w:val="00C022BF"/>
    <w:rPr>
      <w:b/>
      <w:bCs/>
    </w:rPr>
  </w:style>
  <w:style w:type="paragraph" w:styleId="Bibliography">
    <w:name w:val="Bibliography"/>
    <w:basedOn w:val="Normal"/>
    <w:next w:val="Normal"/>
    <w:uiPriority w:val="37"/>
    <w:unhideWhenUsed/>
    <w:rsid w:val="00AC4CAA"/>
    <w:pPr>
      <w:spacing w:after="240"/>
      <w:ind w:left="720" w:hanging="720"/>
    </w:pPr>
  </w:style>
  <w:style w:type="paragraph" w:styleId="Header">
    <w:name w:val="header"/>
    <w:basedOn w:val="Normal"/>
    <w:link w:val="HeaderChar"/>
    <w:uiPriority w:val="99"/>
    <w:unhideWhenUsed/>
    <w:rsid w:val="00340959"/>
    <w:pPr>
      <w:tabs>
        <w:tab w:val="center" w:pos="4680"/>
        <w:tab w:val="right" w:pos="9360"/>
      </w:tabs>
      <w:spacing w:before="0" w:after="0"/>
    </w:pPr>
  </w:style>
  <w:style w:type="character" w:customStyle="1" w:styleId="HeaderChar">
    <w:name w:val="Header Char"/>
    <w:basedOn w:val="DefaultParagraphFont"/>
    <w:link w:val="Header"/>
    <w:uiPriority w:val="99"/>
    <w:rsid w:val="00340959"/>
  </w:style>
  <w:style w:type="paragraph" w:styleId="Footer">
    <w:name w:val="footer"/>
    <w:basedOn w:val="Normal"/>
    <w:link w:val="FooterChar"/>
    <w:uiPriority w:val="99"/>
    <w:unhideWhenUsed/>
    <w:rsid w:val="00340959"/>
    <w:pPr>
      <w:tabs>
        <w:tab w:val="center" w:pos="4680"/>
        <w:tab w:val="right" w:pos="9360"/>
      </w:tabs>
      <w:spacing w:before="0" w:after="0"/>
    </w:pPr>
  </w:style>
  <w:style w:type="character" w:customStyle="1" w:styleId="FooterChar">
    <w:name w:val="Footer Char"/>
    <w:basedOn w:val="DefaultParagraphFont"/>
    <w:link w:val="Footer"/>
    <w:uiPriority w:val="99"/>
    <w:rsid w:val="00340959"/>
  </w:style>
  <w:style w:type="table" w:styleId="TableGrid">
    <w:name w:val="Table Grid"/>
    <w:basedOn w:val="TableNormal"/>
    <w:uiPriority w:val="39"/>
    <w:rsid w:val="00FE449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15DD1"/>
    <w:pPr>
      <w:spacing w:before="0" w:after="0"/>
    </w:pPr>
  </w:style>
  <w:style w:type="paragraph" w:styleId="HTMLPreformatted">
    <w:name w:val="HTML Preformatted"/>
    <w:basedOn w:val="Normal"/>
    <w:link w:val="HTMLPreformattedChar"/>
    <w:uiPriority w:val="99"/>
    <w:semiHidden/>
    <w:unhideWhenUsed/>
    <w:rsid w:val="008A259B"/>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A259B"/>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08B16-33D7-477C-ACD8-7A7C12B5C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37441</Words>
  <Characters>213415</Characters>
  <Application>Microsoft Office Word</Application>
  <DocSecurity>0</DocSecurity>
  <Lines>1778</Lines>
  <Paragraphs>500</Paragraphs>
  <ScaleCrop>false</ScaleCrop>
  <HeadingPairs>
    <vt:vector size="2" baseType="variant">
      <vt:variant>
        <vt:lpstr>タイトル</vt:lpstr>
      </vt:variant>
      <vt:variant>
        <vt:i4>1</vt:i4>
      </vt:variant>
    </vt:vector>
  </HeadingPairs>
  <TitlesOfParts>
    <vt:vector size="1" baseType="lpstr">
      <vt:lpstr>Uncertainty-Aware Bayesian Machine Learning for Landslide Susceptibility Mapping: Spatial Validation and Deployment in the Chattogram Metropolitan Hill System, Bangladesh</vt:lpstr>
    </vt:vector>
  </TitlesOfParts>
  <Company/>
  <LinksUpToDate>false</LinksUpToDate>
  <CharactersWithSpaces>250356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Bayesian Machine Learning for Landslide Susceptibility Mapping: Spatial Validation and Deployment in the Chattogram Metropolitan Hill System, Bangladesh</dc:title>
  <dc:creator>Murad</dc:creator>
  <cp:lastModifiedBy>Shafiq Mahmud</cp:lastModifiedBy>
  <cp:revision>2</cp:revision>
  <cp:lastPrinted>2026-04-28T05:41:00Z</cp:lastPrinted>
  <dcterms:created xsi:type="dcterms:W3CDTF">2026-05-04T08:51:00Z</dcterms:created>
  <dcterms:modified xsi:type="dcterms:W3CDTF">2026-05-04T08:51:00Z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4c39b4aa-0053-404e-a41a-0501ddef0283</vt:lpwstr>
  </property>
  <property fmtid="{D5CDD505-2E9C-101B-9397-08002B2CF9AE}" pid="3" name="ZOTERO_PREF_1">
    <vt:lpwstr>&lt;data data-version="3" zotero-version="7.0.32"&gt;&lt;session id="KLSPq0tV"/&gt;&lt;style id="http://www.zotero.org/styles/natural-hazards"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