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0FD8" w14:textId="7D6FD75E" w:rsidR="006367E3" w:rsidRPr="00340959" w:rsidRDefault="00764B30" w:rsidP="002B0D57">
      <w:pPr>
        <w:spacing w:before="0" w:after="0" w:line="276" w:lineRule="auto"/>
        <w:jc w:val="center"/>
        <w:rPr>
          <w:rFonts w:ascii="Arial" w:hAnsi="Arial" w:cs="Arial"/>
          <w:b/>
          <w:bCs/>
          <w:color w:val="000000"/>
          <w:sz w:val="23"/>
          <w:szCs w:val="23"/>
        </w:rPr>
      </w:pPr>
      <w:r>
        <w:rPr>
          <w:rFonts w:ascii="Arial" w:hAnsi="Arial" w:cs="Arial"/>
          <w:b/>
          <w:bCs/>
          <w:color w:val="000000"/>
          <w:sz w:val="23"/>
          <w:szCs w:val="23"/>
        </w:rPr>
        <w:t>BAYESIAN UNCERTAINTY-AWARE LANDSLIDE SUSCEPTIBILITY MAPPING: APPLICATION TO CHATTOGRAM, BANGLADESH</w:t>
      </w:r>
    </w:p>
    <w:p w14:paraId="5042A61E" w14:textId="77777777" w:rsidR="00340959" w:rsidRPr="00340959" w:rsidRDefault="00340959" w:rsidP="00340959">
      <w:pPr>
        <w:spacing w:before="0" w:after="0" w:line="360" w:lineRule="auto"/>
        <w:jc w:val="center"/>
        <w:rPr>
          <w:rFonts w:ascii="Arial" w:hAnsi="Arial" w:cs="Arial"/>
          <w:b/>
          <w:bCs/>
          <w:color w:val="000000"/>
          <w:sz w:val="21"/>
          <w:szCs w:val="21"/>
        </w:rPr>
      </w:pPr>
    </w:p>
    <w:p w14:paraId="13BBD9C9" w14:textId="69EF265E" w:rsidR="000139B7" w:rsidRPr="00340959" w:rsidRDefault="000139B7" w:rsidP="00340959">
      <w:pPr>
        <w:spacing w:before="0" w:after="0" w:line="360" w:lineRule="auto"/>
        <w:jc w:val="center"/>
        <w:rPr>
          <w:rFonts w:ascii="Arial" w:hAnsi="Arial" w:cs="Arial"/>
          <w:sz w:val="21"/>
          <w:szCs w:val="21"/>
        </w:rPr>
      </w:pPr>
      <w:r>
        <w:rPr>
          <w:rFonts w:ascii="Arial" w:hAnsi="Arial" w:cs="Arial"/>
          <w:color w:val="000000"/>
          <w:sz w:val="21"/>
          <w:szCs w:val="21"/>
        </w:rPr>
        <w:t>Golam Murad</w:t>
      </w:r>
      <w:r>
        <w:rPr>
          <w:rFonts w:ascii="Arial" w:hAnsi="Arial" w:cs="Arial"/>
          <w:color w:val="000000"/>
          <w:sz w:val="21"/>
          <w:szCs w:val="21"/>
          <w:vertAlign w:val="superscript"/>
        </w:rPr>
        <w:t>1</w:t>
      </w:r>
      <w:r>
        <w:rPr>
          <w:rFonts w:ascii="Arial" w:hAnsi="Arial" w:cs="Arial"/>
          <w:color w:val="000000"/>
          <w:sz w:val="21"/>
          <w:szCs w:val="21"/>
        </w:rPr>
        <w:t>, Shotabdy Chowdhury Srabony</w:t>
      </w:r>
      <w:r>
        <w:rPr>
          <w:rFonts w:ascii="Arial" w:hAnsi="Arial" w:cs="Arial"/>
          <w:color w:val="000000"/>
          <w:sz w:val="21"/>
          <w:szCs w:val="21"/>
          <w:vertAlign w:val="superscript"/>
        </w:rPr>
        <w:t>2</w:t>
      </w:r>
      <w:r>
        <w:rPr>
          <w:rFonts w:ascii="Arial" w:hAnsi="Arial" w:cs="Arial"/>
          <w:color w:val="000000"/>
          <w:sz w:val="21"/>
          <w:szCs w:val="21"/>
        </w:rPr>
        <w:t>, Shafiq Mahmud</w:t>
      </w:r>
      <w:r>
        <w:rPr>
          <w:rFonts w:ascii="Arial" w:hAnsi="Arial" w:cs="Arial"/>
          <w:color w:val="000000"/>
          <w:sz w:val="21"/>
          <w:szCs w:val="21"/>
          <w:vertAlign w:val="superscript"/>
        </w:rPr>
        <w:t>3</w:t>
      </w:r>
      <w:r>
        <w:rPr>
          <w:rFonts w:ascii="Arial" w:hAnsi="Arial" w:cs="Arial"/>
          <w:color w:val="000000"/>
          <w:sz w:val="21"/>
          <w:szCs w:val="21"/>
        </w:rPr>
        <w:t>, Md. Aftabur Rahman</w:t>
      </w:r>
      <w:r>
        <w:rPr>
          <w:rFonts w:ascii="Arial" w:hAnsi="Arial" w:cs="Arial"/>
          <w:color w:val="000000"/>
          <w:sz w:val="21"/>
          <w:szCs w:val="21"/>
          <w:vertAlign w:val="superscript"/>
        </w:rPr>
        <w:t>4*</w:t>
      </w:r>
      <w:r>
        <w:rPr>
          <w:rFonts w:ascii="Arial" w:hAnsi="Arial" w:cs="Arial"/>
          <w:color w:val="000000"/>
          <w:sz w:val="21"/>
          <w:szCs w:val="21"/>
        </w:rPr>
        <w:t xml:space="preserve">, Hideaki Yasuharara</w:t>
      </w:r>
      <w:r>
        <w:rPr>
          <w:rFonts w:ascii="Arial" w:hAnsi="Arial" w:cs="Arial"/>
          <w:color w:val="000000"/>
          <w:sz w:val="21"/>
          <w:szCs w:val="21"/>
          <w:vertAlign w:val="superscript"/>
        </w:rPr>
        <w:t>5</w:t>
      </w:r>
    </w:p>
    <w:p w14:paraId="289EA5EC" w14:textId="383DCFFF" w:rsidR="000139B7" w:rsidRPr="00340959" w:rsidRDefault="000139B7" w:rsidP="00340959">
      <w:pPr>
        <w:spacing w:before="0" w:after="0"/>
        <w:jc w:val="center"/>
        <w:rPr>
          <w:rFonts w:ascii="Arial" w:hAnsi="Arial" w:cs="Arial"/>
          <w:sz w:val="18"/>
          <w:szCs w:val="18"/>
        </w:rPr>
      </w:pPr>
      <w:r>
        <w:rPr>
          <w:rFonts w:ascii="Arial" w:hAnsi="Arial" w:cs="Arial"/>
          <w:i/>
          <w:iCs/>
          <w:color w:val="000000"/>
          <w:sz w:val="18"/>
          <w:szCs w:val="18"/>
          <w:vertAlign w:val="superscript"/>
        </w:rPr>
        <w:t>1</w:t>
      </w:r>
      <w:r>
        <w:rPr>
          <w:rFonts w:ascii="Arial" w:hAnsi="Arial" w:cs="Arial"/>
          <w:i/>
          <w:iCs/>
          <w:color w:val="000000"/>
          <w:sz w:val="18"/>
          <w:szCs w:val="18"/>
        </w:rPr>
        <w:t xml:space="preserve">Graduate, Department of Civil Engineering, Chittagong University of Engineering &amp; Technology, Chattogram-4349, Bangladesh, Email: </w:t>
      </w:r>
      <w:r>
        <w:rPr>
          <w:rFonts w:ascii="Arial" w:hAnsi="Arial" w:cs="Arial"/>
          <w:i/>
          <w:iCs/>
          <w:sz w:val="18"/>
          <w:szCs w:val="18"/>
        </w:rPr>
        <w:t>u1901087@student.cuet.ac.bd</w:t>
      </w:r>
    </w:p>
    <w:p w14:paraId="1A7BA6FF" w14:textId="23A94F0B" w:rsidR="000139B7" w:rsidRPr="00340959" w:rsidRDefault="000139B7" w:rsidP="00340959">
      <w:pPr>
        <w:spacing w:before="0" w:after="0"/>
        <w:jc w:val="center"/>
        <w:rPr>
          <w:rFonts w:ascii="Arial" w:hAnsi="Arial" w:cs="Arial"/>
          <w:sz w:val="18"/>
          <w:szCs w:val="18"/>
        </w:rPr>
      </w:pPr>
      <w:r>
        <w:rPr>
          <w:rFonts w:ascii="Arial" w:hAnsi="Arial" w:cs="Arial"/>
          <w:i/>
          <w:iCs/>
          <w:color w:val="000000"/>
          <w:sz w:val="18"/>
          <w:szCs w:val="18"/>
          <w:vertAlign w:val="superscript"/>
        </w:rPr>
        <w:t>2</w:t>
      </w:r>
      <w:r>
        <w:rPr>
          <w:rFonts w:ascii="Arial" w:hAnsi="Arial" w:cs="Arial"/>
          <w:i/>
          <w:iCs/>
          <w:color w:val="000000"/>
          <w:sz w:val="18"/>
          <w:szCs w:val="18"/>
        </w:rPr>
        <w:t xml:space="preserve">Research Assistant, Department of Civil Engineering, Chittagong University of Engineering &amp; Technology, Chattogram-4349, Bangladesh, Email: </w:t>
      </w:r>
      <w:r>
        <w:rPr>
          <w:rFonts w:ascii="Arial" w:hAnsi="Arial" w:cs="Arial"/>
          <w:i/>
          <w:iCs/>
          <w:sz w:val="18"/>
          <w:szCs w:val="18"/>
        </w:rPr>
        <w:t>u1901052@student.cuet.ac.bd</w:t>
      </w:r>
    </w:p>
    <w:p w14:paraId="787E7B3C" w14:textId="053C64EB" w:rsidR="000139B7" w:rsidRPr="00340959" w:rsidRDefault="00340959" w:rsidP="00340959">
      <w:pPr>
        <w:spacing w:before="0" w:after="0"/>
        <w:jc w:val="center"/>
        <w:rPr>
          <w:rFonts w:ascii="Arial" w:hAnsi="Arial" w:cs="Arial"/>
          <w:i/>
          <w:iCs/>
          <w:color w:val="000000"/>
          <w:sz w:val="18"/>
          <w:szCs w:val="18"/>
        </w:rPr>
      </w:pPr>
      <w:r>
        <w:rPr>
          <w:rFonts w:ascii="Arial" w:hAnsi="Arial" w:cs="Arial"/>
          <w:i/>
          <w:iCs/>
          <w:color w:val="000000"/>
          <w:sz w:val="18"/>
          <w:szCs w:val="18"/>
          <w:vertAlign w:val="superscript"/>
        </w:rPr>
        <w:t>3</w:t>
      </w:r>
      <w:r>
        <w:rPr>
          <w:rFonts w:ascii="Arial" w:hAnsi="Arial" w:cs="Arial"/>
          <w:i/>
          <w:iCs/>
          <w:color w:val="000000"/>
          <w:sz w:val="18"/>
          <w:szCs w:val="18"/>
        </w:rPr>
        <w:t>Undergraduate Student, Department of Urban and Regional Planning, Chittagong University of Engineering &amp; Technology, Chattogram-4349, Bangladesh, Email: u2105051@student.cuet.ac.bd</w:t>
      </w:r>
    </w:p>
    <w:p w14:paraId="69502786" w14:textId="1A62DB73" w:rsidR="000139B7" w:rsidRPr="00340959" w:rsidRDefault="00340959" w:rsidP="00340959">
      <w:pPr>
        <w:spacing w:before="0" w:after="0"/>
        <w:jc w:val="center"/>
        <w:rPr>
          <w:rFonts w:ascii="Arial" w:hAnsi="Arial" w:cs="Arial"/>
          <w:sz w:val="18"/>
          <w:szCs w:val="18"/>
        </w:rPr>
      </w:pPr>
      <w:r>
        <w:rPr>
          <w:rFonts w:ascii="Arial" w:hAnsi="Arial" w:cs="Arial"/>
          <w:i/>
          <w:iCs/>
          <w:color w:val="000000"/>
          <w:sz w:val="18"/>
          <w:szCs w:val="18"/>
          <w:vertAlign w:val="superscript"/>
        </w:rPr>
        <w:t>4</w:t>
      </w:r>
      <w:r>
        <w:rPr>
          <w:rFonts w:ascii="Arial" w:hAnsi="Arial" w:cs="Arial"/>
          <w:i/>
          <w:iCs/>
          <w:color w:val="000000"/>
          <w:sz w:val="18"/>
          <w:szCs w:val="18"/>
        </w:rPr>
        <w:t xml:space="preserve">Professor, Department of Civil Engineering, Chittagong University of Engineering &amp; Technology, Chattogram-4349, Bangladesh, Email: </w:t>
      </w:r>
      <w:r>
        <w:rPr>
          <w:rFonts w:ascii="Arial" w:hAnsi="Arial" w:cs="Arial"/>
          <w:i/>
          <w:iCs/>
          <w:sz w:val="18"/>
          <w:szCs w:val="18"/>
        </w:rPr>
        <w:t>maftabur@cuet.ac.bd</w:t>
      </w:r>
    </w:p>
    <w:p w14:paraId="3177694F" w14:textId="4E7FF03D" w:rsidR="00340959" w:rsidRPr="00340959" w:rsidRDefault="00340959" w:rsidP="00340959">
      <w:pPr>
        <w:spacing w:before="0" w:after="0"/>
        <w:jc w:val="center"/>
        <w:rPr>
          <w:rFonts w:ascii="Arial" w:hAnsi="Arial" w:cs="Arial"/>
          <w:sz w:val="18"/>
          <w:szCs w:val="18"/>
        </w:rPr>
      </w:pPr>
      <w:r>
        <w:rPr>
          <w:rFonts w:ascii="Arial" w:hAnsi="Arial" w:cs="Arial"/>
          <w:i/>
          <w:iCs/>
          <w:color w:val="000000"/>
          <w:sz w:val="18"/>
          <w:szCs w:val="18"/>
          <w:vertAlign w:val="superscript"/>
        </w:rPr>
        <w:t>5</w:t>
      </w:r>
      <w:r>
        <w:rPr>
          <w:rFonts w:ascii="Arial" w:hAnsi="Arial" w:cs="Arial"/>
          <w:i/>
          <w:iCs/>
          <w:color w:val="000000"/>
          <w:sz w:val="18"/>
          <w:szCs w:val="18"/>
        </w:rPr>
        <w:t>Professor, Department of Urban Management, Kyoto University, Japan, Email: yasuhara.hideaki.7pkyoto-u.ac.jp</w:t>
      </w:r>
      <w:r>
        <w:rPr>
          <w:rFonts w:ascii="Arial" w:hAnsi="Arial" w:cs="Arial"/>
          <w:i/>
          <w:iCs/>
          <w:sz w:val="18"/>
          <w:szCs w:val="18"/>
        </w:rPr>
        <w:t xml:space="preserve"> </w:t>
      </w:r>
    </w:p>
    <w:p w14:paraId="79198C9E" w14:textId="4D0FBD90" w:rsidR="00340959" w:rsidRPr="00340959" w:rsidRDefault="00340959" w:rsidP="00340959">
      <w:pPr>
        <w:spacing w:before="0" w:after="0" w:line="360" w:lineRule="auto"/>
        <w:jc w:val="center"/>
        <w:rPr>
          <w:rFonts w:ascii="Arial" w:hAnsi="Arial" w:cs="Arial"/>
          <w:i/>
          <w:iCs/>
          <w:color w:val="000000"/>
          <w:sz w:val="21"/>
          <w:szCs w:val="21"/>
        </w:rPr>
      </w:pPr>
    </w:p>
    <w:p w14:paraId="0547651D" w14:textId="2A163CA1" w:rsidR="004976F9" w:rsidRPr="002B0D57" w:rsidRDefault="000139B7" w:rsidP="00340959">
      <w:pPr>
        <w:spacing w:before="0" w:after="0" w:line="360" w:lineRule="auto"/>
        <w:jc w:val="center"/>
        <w:rPr>
          <w:rFonts w:ascii="Arial" w:hAnsi="Arial" w:cs="Arial"/>
        </w:rPr>
      </w:pPr>
      <w:r>
        <w:rPr>
          <w:rFonts w:ascii="Arial" w:hAnsi="Arial" w:cs="Arial"/>
        </w:rPr>
        <w:t>*Corresponding Author: Md. Aftabur Rahman</w:t>
      </w:r>
    </w:p>
    <w:p w14:paraId="3FA7930B" w14:textId="77777777" w:rsidR="005B28E8" w:rsidRPr="004D3B85" w:rsidRDefault="00000000" w:rsidP="00340959">
      <w:pPr>
        <w:pStyle w:val="Heading1"/>
        <w:spacing w:before="0" w:after="0" w:line="360" w:lineRule="auto"/>
        <w:rPr>
          <w:rFonts w:ascii="Arial" w:hAnsi="Arial" w:cs="Arial"/>
          <w:b/>
          <w:bCs/>
          <w:color w:val="7030A0"/>
          <w:sz w:val="21"/>
          <w:szCs w:val="21"/>
        </w:rPr>
      </w:pPr>
      <w:commentRangeStart w:id="0"/>
      <w:r>
        <w:rPr>
          <w:rFonts w:ascii="Arial" w:hAnsi="Arial" w:cs="Arial"/>
          <w:b/>
          <w:bCs/>
          <w:color w:val="7030A0"/>
          <w:sz w:val="21"/>
          <w:szCs w:val="21"/>
        </w:rPr>
        <w:t>Abstract</w:t>
      </w:r>
      <w:commentRangeEnd w:id="0"/>
      <w:r>
        <w:rPr>
          <w:rStyle w:val="CommentReference"/>
          <w:rFonts w:ascii="Arial" w:hAnsi="Arial" w:cs="Arial"/>
          <w:b/>
          <w:bCs/>
          <w:color w:val="7030A0"/>
          <w:sz w:val="21"/>
          <w:szCs w:val="21"/>
        </w:rPr>
        <w:commentReference w:id="0"/>
      </w:r>
    </w:p>
    <w:p w14:paraId="1AC0E989" w14:textId="0B5762E8" w:rsidR="005B28E8"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Landslide-prone hilly regions experiencing rapid urban expansion need susceptibility models that provide both robust predictive performance and transparent uncertainty estimates. This study develops an uncertainty-aware probabilistic framework for landslide susceptibility mapping in the Chattogram metropolitan hill system of Bangladesh, incorporating 14 conditioning factors: geomorphological, hydrological, environmental, and anthropogenic. Multicollinearity analysis, i.e., VIF and tolerance, verified the statistical stability of the predictors. Four classifiers have been compared: Bayesian Logistic Regression, Gaussian Process Classifier, L2-regularized Logistic Regression, and Random Forest, within a standardized preprocessing pipeline. Models have been evaluated using cross-validation, holdout testing, and spatial block validation, with metrics for discrimination, robustness, and calibration. </w:t>
      </w:r>
      <w:commentRangeStart w:id="1"/>
      <w:r>
        <w:rPr>
          <w:rFonts w:ascii="Arial" w:hAnsi="Arial" w:cs="Arial"/>
          <w:color w:val="000000"/>
          <w:sz w:val="21"/>
          <w:szCs w:val="21"/>
        </w:rPr>
        <w:t xml:space="preserve">Although Random Forest achieved the strongest discrimination (ROC-AUC = 0.866; MCC = 0.611) on the holdout set, the Gaussian Process Classifier showed better probability calibration (ECE = 0.084) and competitive discrimination (ROC-AUC = 0.821) among all models; hence, it is considered for this research</w:t>
      </w:r>
      <w:commentRangeEnd w:id="1"/>
      <w:r>
        <w:rPr>
          <w:rStyle w:val="CommentReference"/>
          <w:rFonts w:ascii="Arial" w:hAnsi="Arial" w:cs="Arial"/>
          <w:color w:val="000000"/>
          <w:sz w:val="21"/>
          <w:szCs w:val="21"/>
        </w:rPr>
        <w:commentReference w:id="1"/>
      </w:r>
      <w:r>
        <w:rPr>
          <w:rFonts w:ascii="Arial" w:hAnsi="Arial" w:cs="Arial"/>
          <w:color w:val="000000"/>
          <w:sz w:val="21"/>
          <w:szCs w:val="21"/>
        </w:rPr>
        <w:t xml:space="preserve">. Susceptibility and uncertainty have been combined in a 3×3 scheme to </w:t>
      </w:r>
      <w:r>
        <w:rPr>
          <w:rFonts w:ascii="Arial" w:hAnsi="Arial" w:cs="Arial"/>
          <w:color w:val="000000"/>
          <w:sz w:val="21"/>
          <w:szCs w:val="21"/>
        </w:rPr>
        <w:t xml:space="preserve">visualize </w:t>
      </w:r>
      <w:r>
        <w:rPr>
          <w:rFonts w:ascii="Arial" w:hAnsi="Arial" w:cs="Arial"/>
          <w:color w:val="FF0000"/>
          <w:sz w:val="21"/>
          <w:szCs w:val="21"/>
        </w:rPr>
        <w:t xml:space="preserve">susceptibility</w:t>
      </w:r>
      <w:r>
        <w:rPr>
          <w:rFonts w:ascii="Arial" w:hAnsi="Arial" w:cs="Arial"/>
          <w:color w:val="000000"/>
          <w:sz w:val="21"/>
          <w:szCs w:val="21"/>
        </w:rPr>
        <w:t xml:space="preserve"> and confidence</w:t>
      </w:r>
      <w:r>
        <w:rPr>
          <w:rFonts w:ascii="Arial" w:hAnsi="Arial" w:cs="Arial"/>
          <w:color w:val="000000"/>
          <w:sz w:val="21"/>
          <w:szCs w:val="21"/>
        </w:rPr>
        <w:t xml:space="preserve">. The mapping showed that 78.71% of landslides fell into the Very High class, covering only 9.47% of the area (SCAI = 0.12). These results show that uncertainty-aware Bayesian modeling with bivariate spatial integration enhances interpretability and provides </w:t>
      </w:r>
      <w:r>
        <w:rPr>
          <w:rFonts w:ascii="Arial" w:hAnsi="Arial" w:cs="Arial"/>
          <w:color w:val="000000"/>
          <w:sz w:val="21"/>
          <w:szCs w:val="21"/>
        </w:rPr>
        <w:t xml:space="preserve">transparent </w:t>
      </w:r>
      <w:r>
        <w:rPr>
          <w:rFonts w:ascii="Arial" w:hAnsi="Arial" w:cs="Arial"/>
          <w:color w:val="FF0000"/>
          <w:sz w:val="21"/>
          <w:szCs w:val="21"/>
        </w:rPr>
        <w:t xml:space="preserve">susceptibility</w:t>
      </w:r>
      <w:r>
        <w:rPr>
          <w:rFonts w:ascii="Arial" w:hAnsi="Arial" w:cs="Arial"/>
          <w:color w:val="000000"/>
          <w:sz w:val="21"/>
          <w:szCs w:val="21"/>
        </w:rPr>
        <w:t xml:space="preserve"> assessments in </w:t>
      </w:r>
      <w:r>
        <w:rPr>
          <w:rFonts w:ascii="Arial" w:hAnsi="Arial" w:cs="Arial"/>
          <w:color w:val="FF0000"/>
          <w:sz w:val="21"/>
          <w:szCs w:val="21"/>
        </w:rPr>
        <w:t xml:space="preserve">urban hill environments limited in high-resolution, event-based temporal data</w:t>
      </w:r>
      <w:r>
        <w:rPr>
          <w:rFonts w:ascii="Arial" w:hAnsi="Arial" w:cs="Arial"/>
          <w:color w:val="000000"/>
          <w:sz w:val="21"/>
          <w:szCs w:val="21"/>
        </w:rPr>
        <w:t xml:space="preserve">.</w:t>
      </w:r>
    </w:p>
    <w:p w14:paraId="41327AF9" w14:textId="77777777" w:rsidR="00DF02E1" w:rsidRDefault="00DF02E1" w:rsidP="00340959">
      <w:pPr>
        <w:spacing w:before="0" w:after="0" w:line="360" w:lineRule="auto"/>
        <w:jc w:val="both"/>
        <w:rPr>
          <w:rFonts w:ascii="Arial" w:hAnsi="Arial" w:cs="Arial"/>
          <w:b/>
          <w:bCs/>
          <w:color w:val="000000"/>
          <w:sz w:val="21"/>
          <w:szCs w:val="21"/>
        </w:rPr>
      </w:pPr>
    </w:p>
    <w:p w14:paraId="75CBECC1" w14:textId="407770E3" w:rsidR="005B28E8" w:rsidRPr="00340959" w:rsidRDefault="00000000" w:rsidP="00340959">
      <w:pPr>
        <w:spacing w:before="0" w:after="0" w:line="360" w:lineRule="auto"/>
        <w:jc w:val="both"/>
        <w:rPr>
          <w:rFonts w:ascii="Arial" w:hAnsi="Arial" w:cs="Arial"/>
          <w:sz w:val="21"/>
          <w:szCs w:val="21"/>
        </w:rPr>
      </w:pPr>
      <w:r>
        <w:rPr>
          <w:rFonts w:ascii="Arial" w:hAnsi="Arial" w:cs="Arial"/>
          <w:b/>
          <w:bCs/>
          <w:color w:val="7030A0"/>
          <w:sz w:val="21"/>
          <w:szCs w:val="21"/>
        </w:rPr>
        <w:t xml:space="preserve">Keywords: </w:t>
      </w:r>
      <w:r>
        <w:rPr>
          <w:rFonts w:ascii="Arial" w:hAnsi="Arial" w:cs="Arial"/>
          <w:color w:val="000000"/>
          <w:sz w:val="21"/>
          <w:szCs w:val="21"/>
        </w:rPr>
        <w:t>Landslide susceptibility; Bayesian inference; Gaussian processes; Uncertainty quantification; SCAI.</w:t>
      </w:r>
    </w:p>
    <w:p w14:paraId="6287626D" w14:textId="77777777" w:rsidR="00DF02E1" w:rsidRDefault="00DF02E1" w:rsidP="00340959">
      <w:pPr>
        <w:pStyle w:val="Heading1"/>
        <w:spacing w:before="0" w:after="0" w:line="360" w:lineRule="auto"/>
        <w:rPr>
          <w:rFonts w:ascii="Arial" w:hAnsi="Arial" w:cs="Arial"/>
          <w:sz w:val="21"/>
          <w:szCs w:val="21"/>
        </w:rPr>
      </w:pPr>
    </w:p>
    <w:p w14:paraId="2B46ACF6" w14:textId="22599A76" w:rsidR="005B28E8" w:rsidRPr="004D3B85" w:rsidRDefault="00000000" w:rsidP="00340959">
      <w:pPr>
        <w:pStyle w:val="Heading1"/>
        <w:spacing w:before="0" w:after="0" w:line="360" w:lineRule="auto"/>
        <w:rPr>
          <w:rFonts w:ascii="Arial" w:hAnsi="Arial" w:cs="Arial"/>
          <w:b/>
          <w:bCs/>
          <w:color w:val="7030A0"/>
          <w:sz w:val="21"/>
          <w:szCs w:val="21"/>
        </w:rPr>
      </w:pPr>
      <w:r>
        <w:rPr>
          <w:rFonts w:ascii="Arial" w:hAnsi="Arial" w:cs="Arial"/>
          <w:b/>
          <w:bCs/>
          <w:color w:val="7030A0"/>
          <w:sz w:val="21"/>
          <w:szCs w:val="21"/>
        </w:rPr>
        <w:t>Introduction</w:t>
      </w:r>
    </w:p>
    <w:p w14:paraId="63687EEF" w14:textId="7EF9383F" w:rsidR="00F837DF" w:rsidRPr="00340959"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Landslides are complex geohazards that result from interactions among geological, lithological, hydrological, and human factors </w:t>
        <w:fldChar w:fldCharType="begin"/>
        <w:instrText xml:space="preserve"> ADDIN ZOTERO_ITEM CSL_CITATION {"citationID":"yhbNwMGj","properties":{"formattedCitation":"(Azad et al. 2025)","plainCitation":"(Azad et al. 2025)","noteIndex":0},"citationItems":[{"id":346,"uris":["http://zotero.org/users/local/emosa1lm/items/Y7LMJAN4"],"itemData":{"id":346,"type":"article-journal","abstract":"Slope failures and rock mass movements are continuous geomorphic processes, particularly in a dynamically charged terrane like the Himalaya. Thus, failures emanating from weak geology, hydrogeology and anthropogenic disturbances are aplenty. Present research evaluates slope stability in the vicinity of Malling Nala, along NH-505 in Himachal Pradesh, India. For the two most vulnerable sections in the study area, geo-mechanical and structural attributes have initially been ascertained. Field surveys and laboratory tests identified weak and weathered mica schist and gneissic rocks in the study area. Kinematic analysis, Rock Mass Rating (RMR), Geological Strength Index (GSI), Slope Mass Rating (SMR), modified Global Slope Performance Index (mGSPI) led to determination of possible failure mechanism and rock mass behaviour. Finite element analysis provided a comprehensive understanding of slope behaviour under various conditions, highlighting significant shear strain and displacement in both sections. As noticed from the field and classification schemes, planar and localized bench failures were established. Slope section L-1 was found to collapse under saturated water condition, manifesting the influence of snow melt. The findings indicate that both natural and human factors are causing instability. Effective risk management and mitigation strategies are essential to maintain the stability and reliability of this critical frontier region.","container-title":"International Journal of Geo-Engineering","DOI":"10.1186/s40703-025-00233-9","ISSN":"2198-2783","issue":"1","journalAbbreviation":"Geo-Engineering","language":"en","page":"4","source":"Springer Link","title":"Empirical and numerical hill slope health evaluation at Malling Nala, NH-505, Himachal Pradesh, India","volume":"16","author":[{"family":"Azad","given":"Md Alquamar"},{"family":"Kainthola","given":"Ashutosh"},{"family":"Fissha","given":"Yewuhalashet"},{"family":"Kushwaha","given":"Gaurav"},{"family":"Yadav","given":"Vikas"},{"family":"Singh","given":"T. N."}],"issued":{"date-parts":[["2025",2,14]]}}}],"schema":"https://github.com/citation-style-language/schema/raw/master/csl-citation.json"} </w:instrText>
        <w:fldChar w:fldCharType="separate"/>
      </w:r>
      <w:r>
        <w:rPr>
          <w:rFonts w:ascii="Arial" w:hAnsi="Arial" w:cs="Arial"/>
          <w:sz w:val="21"/>
        </w:rPr>
        <w:t>(Azad et al. 2025)</w:t>
      </w:r>
      <w:r>
        <w:rPr>
          <w:rFonts w:ascii="Arial" w:hAnsi="Arial" w:cs="Arial"/>
          <w:color w:val="000000" w:themeColor="text1"/>
          <w:sz w:val="21"/>
          <w:szCs w:val="21"/>
        </w:rPr>
        <w:fldChar w:fldCharType="end"/>
        <w:t xml:space="preserve">. They cause significant loss of human life and damage to infrastructure in mountains and hilly areas worldwide </w:t>
        <w:fldChar w:fldCharType="begin"/>
        <w:instrText xml:space="preserve"> ADDIN ZOTERO_ITEM CSL_CITATION {"citationID":"k3CyU184","properties":{"formattedCitation":"(Rahman and Konagai 2018)","plainCitation":"(Rahman and Konagai 2018)","noteIndex":0},"citationItems":[{"id":374,"uris":["http://zotero.org/users/local/emosa1lm/items/BI63ZIIB"],"itemData":{"id":374,"type":"article-journal","abstract":"Rational estimation of debris ﬂow velocity is one of the key issues in debris hazard mitigation. Among the various procedures, back-calculation of debris ﬂow velocity is one of the most frequently used approaches. Back-calculation includes determination of super-elevations and channel properties, and velocities are calculated using the forced vortex equation. Super-elevation and bend radius are biasing parameters in the back-calculation scheme. Therefore, an iterative approach based on simpliﬁed assumptions is developed to avoid the direct and subjective determination of bend radius. Besides, as only the highest mud prints are visible after the disaster, this misreads the actual super-elevation. To seek better ways to ﬁx this anomaly, a series of three-dimensional numerical curved ﬂume tests using smoothed particle hydrodynamics are carried out. Estimated velocities from highest ﬂow marks underestimate the actual velocities near the source, while they converge on the actual velocities as the distance to source increases. A best-ﬁt line is then proposed to adjust the mud-marks-derived velocities to the real velocities. The assumption taken during development of the iterative approach for determining bend radii is also justiﬁed from the numerical simulations. The law of similarity allows application of these ﬁndings to real debris ﬂow disasters. Thus, two real debris ﬂow disasters in Japan are examined for validation of the developed procedure and adjusted velocities are proven to be consistent with verbal evidences and previous analyses.","container-title":"Canadian Geotechnical Journal","DOI":"10.1139/cgj-2017-0211","ISSN":"0008-3674, 1208-6010","issue":"7","journalAbbreviation":"Can. Geotech. J.","language":"en","page":"941-955","source":"DOI.org (Crossref)","title":"A hands-on approach to estimate debris flow velocity for rational mitigation of debris hazard","volume":"55","author":[{"family":"Rahman","given":"Md. Aftabur"},{"family":"Konagai","given":"Kazuo"}],"issued":{"date-parts":[["2018",7]]}}}],"schema":"https://github.com/citation-style-language/schema/raw/master/csl-citation.json"} </w:instrText>
        <w:fldChar w:fldCharType="separate"/>
      </w:r>
      <w:r>
        <w:rPr>
          <w:rFonts w:ascii="Arial" w:hAnsi="Arial" w:cs="Arial"/>
          <w:sz w:val="21"/>
        </w:rPr>
        <w:t>(Rahman and Konagai 2018)</w:t>
      </w:r>
      <w:r>
        <w:rPr>
          <w:rFonts w:ascii="Arial" w:hAnsi="Arial" w:cs="Arial"/>
          <w:color w:val="000000" w:themeColor="text1"/>
          <w:sz w:val="21"/>
          <w:szCs w:val="21"/>
        </w:rPr>
        <w:fldChar w:fldCharType="end"/>
        <w:t xml:space="preserve">. Due to rapid land-use change and heavy rainfall, landslide impact is becoming more significant </w:t>
        <w:fldChar w:fldCharType="begin"/>
        <w:instrText xml:space="preserve"> ADDIN ZOTERO_ITEM CSL_CITATION {"citationID":"1IpPVDQO","properties":{"formattedCitation":"(Rahman and Konagai 2017)","plainCitation":"(Rahman and Konagai 2017)","noteIndex":0},"citationItems":[{"id":371,"uris":["http://zotero.org/users/local/emosa1lm/items/MDM2IZ8L"],"itemData":{"id":371,"type":"article-journal","abstract":"The use of super-elevations that a forced vortex flow leaves on the valley walls of a curved flume is a plausible approach toward estimating debris flow velocities in earthquake-induced geo-hazard studies. The centrifugal force of a speeding flow is responsible for a higher flow depth on the outer bend. However, in reality, a flow is not steady, and only the highest flow-marks are left at the outer and inner bends of the flow, which can lead to an inaccurate estimation of the actual velocity. Seeing the real scenario of the field, a series of numerical flume tests using smoothed particle hydrodynamics (SPH) is conducted to validate the estimation of debris flow velocities from flow-marks. Velocities estimated from flow-marks are lower than real velocities near the source region, but they converge to real velocities as the distance to the source increases. Based on several simulations, a best-fit line is proposed for adjusting debris flow velocity from mud-marks, and it is used to estimate flow velocities of the well-documented debris event called “Shiraito river debris flow,” which happened near the rim of the Hakone Crater, Kanagawa Prefecture, Japan, ensuing from the 1923 Great Kanto earthquake.","container-title":"Landslides","DOI":"10.1007/s10346-016-0725-3","ISSN":"1612-5118","issue":"2","journalAbbreviation":"Landslides","language":"en","page":"633-647","source":"Springer Link","title":"Substantiation of debris flow velocity from super-elevation: a numerical approach","title-short":"Substantiation of debris flow velocity from super-elevation","volume":"14","author":[{"family":"Rahman","given":"Md Aftabur"},{"family":"Konagai","given":"Kazuo"}],"issued":{"date-parts":[["2017",4,1]]}}}],"schema":"https://github.com/citation-style-language/schema/raw/master/csl-citation.json"} </w:instrText>
        <w:fldChar w:fldCharType="separate"/>
      </w:r>
      <w:r>
        <w:rPr>
          <w:rFonts w:ascii="Arial" w:hAnsi="Arial" w:cs="Arial"/>
          <w:sz w:val="21"/>
        </w:rPr>
        <w:t>(Rahman and Konagai 2017)</w:t>
      </w:r>
      <w:r>
        <w:rPr>
          <w:rFonts w:ascii="Arial" w:hAnsi="Arial" w:cs="Arial"/>
          <w:color w:val="000000" w:themeColor="text1"/>
          <w:sz w:val="21"/>
          <w:szCs w:val="21"/>
        </w:rPr>
        <w:fldChar w:fldCharType="end"/>
        <w:t xml:space="preserve">. Landslides are among the most frequent lithosphere hazards, and their occurrence in Bangladesh has been increasing for the last 20 years </w:t>
        <w:fldChar w:fldCharType="begin"/>
        <w:instrText xml:space="preserve"> ADDIN ZOTERO_ITEM CSL_CITATION {"citationID":"HJ1cNpRl","properties":{"formattedCitation":"(Hafsa et al. 2022)","plainCitation":"(Hafsa et al. 2022)","noteIndex":0},"citationItems":[{"id":111,"uris":["http://zotero.org/users/local/emosa1lm/items/IHZDTSV9"],"itemData":{"id":111,"type":"article-journal","container-title":"Arabian Journal of Geosciences","DOI":"10.1007/s12517-022-10607-3","ISSN":"1866-7511, 1866-7538","issue":"15","publisher":"Springer Science+Business Media","title":"Landslide susceptibility mapping of Rangamati District of Bangladesh using statistical and machine intelligence model","URL":"https://doi.org/10.1007/s12517-022-10607-3","volume":"15","author":[{"family":"Hafsa","given":"Bibi"},{"family":"Chowdhury","given":"Md Sharafat"},{"family":"Rahman","given":"Md Naimur"}],"issued":{"date-parts":[["2022",8]]}}}],"schema":"https://github.com/citation-style-language/schema/raw/master/csl-citation.json"} </w:instrText>
        <w:fldChar w:fldCharType="separate"/>
      </w:r>
      <w:r>
        <w:rPr>
          <w:rFonts w:ascii="Arial" w:hAnsi="Arial" w:cs="Arial"/>
          <w:sz w:val="21"/>
        </w:rPr>
        <w:t>(Hafsa et al. 2022)</w:t>
      </w:r>
      <w:r>
        <w:rPr>
          <w:rFonts w:ascii="Arial" w:hAnsi="Arial" w:cs="Arial"/>
          <w:color w:val="000000" w:themeColor="text1"/>
          <w:sz w:val="21"/>
          <w:szCs w:val="21"/>
        </w:rPr>
        <w:fldChar w:fldCharType="end"/>
        <w:t xml:space="preserve">. Therefore, spatially explicit landslide susceptibility maps </w:t>
        <w:lastRenderedPageBreak/>
        <w:t xml:space="preserve">(LSMs) serve as targeted tools for land use planning, early warning systems, and disaster risk reduction </w:t>
        <w:fldChar w:fldCharType="begin"/>
        <w:instrText xml:space="preserve"> ADDIN ZOTERO_ITEM CSL_CITATION {"citationID":"0lFJ55GX","properties":{"formattedCitation":"(Chowdhury et al. 2023)","plainCitation":"(Chowdhury et al. 2023)","noteIndex":0},"citationItems":[{"id":112,"uris":["http://zotero.org/users/local/emosa1lm/items/XMLKD9BJ"],"itemData":{"id":112,"type":"article-journal","container-title":"Heliyon","DOI":"10.1016/j.heliyon.2023.e23424","ISSN":"2405-8440","issue":"1","PMID":"38163149","publisher":"Elsevier BV","title":"GIS-based landslide susceptibility mapping using logistic regression, random forest and decision and regression tree models in Chattogram District, Bangladesh","URL":"https://doi.org/10.1016/j.heliyon.2023.e23424","volume":"10","author":[{"family":"Chowdhury","given":"Md Sharafat"},{"family":"Rahman","given":"Md Naimur"},{"family":"Sheikh","given":"Md Sujon"},{"family":"Sayeid","given":"Md Abu"},{"family":"Mahmud","given":"Khandakar Hasan"},{"family":"Hafsa","given":"Bibi"}],"issued":{"date-parts":[["2023",12]]}}}],"schema":"https://github.com/citation-style-language/schema/raw/master/csl-citation.json"} </w:instrText>
        <w:fldChar w:fldCharType="separate"/>
      </w:r>
      <w:r>
        <w:rPr>
          <w:rFonts w:ascii="Arial" w:hAnsi="Arial" w:cs="Arial"/>
          <w:sz w:val="21"/>
        </w:rPr>
        <w:t>(Chowdhury et al. 2023)</w:t>
      </w:r>
      <w:r>
        <w:rPr>
          <w:rFonts w:ascii="Arial" w:hAnsi="Arial" w:cs="Arial"/>
          <w:color w:val="000000" w:themeColor="text1"/>
          <w:sz w:val="21"/>
          <w:szCs w:val="21"/>
        </w:rPr>
        <w:fldChar w:fldCharType="end"/>
        <w:t>.</w:t>
      </w:r>
    </w:p>
    <w:p w14:paraId="3ADA87E4" w14:textId="48EC9578" w:rsidR="00F837DF" w:rsidRPr="00340959"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The predictive ability of LSMs has been greatly enhanced by recent developments in remote sensing, geographic information systems (GIS), and machine learning </w:t>
        <w:fldChar w:fldCharType="begin"/>
        <w:instrText xml:space="preserve"> ADDIN ZOTERO_ITEM CSL_CITATION {"citationID":"TKRw37VB","properties":{"formattedCitation":"(Huang et al. 2024)","plainCitation":"(Huang et al. 2024)","noteIndex":0},"citationItems":[{"id":360,"uris":["http://zotero.org/users/local/emosa1lm/items/SURP4I9B"],"itemData":{"id":360,"type":"article-journal","abstract":"This study aims to investigate the effects of different mapping unit scales and study area scales on the uncertainty rules of landslide susceptibility prediction (LSP). To illustrate various study area scales, Ganzhou City in China, its eastern region (Ganzhou East), and Ruijin County in Ganzhou East were chosen. Different mapping unit scales are represented by grid units with spatial resolution of 30 and 60 m, as well as slope units that were extracted by multi-scale segmentation method. The 3855 landslide locations and 21 typical environmental factors in Ganzhou City are first determined to create spatial datasets with input-outputs. Then, landslide susceptibility maps (LSMs) of Ganzhou City, Ganzhou East and Ruijin County are produced using a support vector machine (SVM) and random forest (RF), respectively. The LSMs of the above three regions are then extracted by mask from the LSM of Ganzhou City, along with the LSMs of Ruijin County from Ganzhou East. Additionally, LSMs of Ruijin at various mapping unit scales are generated in accordance. Accuracy and landslide susceptibility indexes (LSIs) distribution are used to express LSP uncertainties. The LSP uncertainties under grid units significantly decrease as study area scales decrease from Ganzhou City, Ganzhou East to Ruijin County, whereas those under slope units are less affected by study area scales. Of course, attentions should also be paid to the broader representativeness of large study areas. The LSP accuracy of slope units increases by about 6%–10% compared with those under grid units with 30 m and 60 m resolution in the same study area's scale. The significance of environmental factors exhibits an averaging trend as study area scale increases from small to large. The importance of environmental factors varies greatly with the 60 m grid unit, but it tends to be consistent to some extent in the 30 m grid unit and the slope unit.","container-title":"International Journal of Coal Science &amp; Technology","DOI":"10.1007/s40789-024-00678-w","ISSN":"2198-7823","issue":"1","journalAbbreviation":"Int J Coal Sci Technol","language":"en","page":"26","source":"Springer Link","title":"Uncertainties of landslide susceptibility prediction: influences of different study area scales and mapping unit scales","title-short":"Uncertainties of landslide susceptibility prediction","volume":"11","author":[{"family":"Huang","given":"Faming"},{"family":"Cao","given":"Yu"},{"family":"Li","given":"Wenbin"},{"family":"Catani","given":"Filippo"},{"family":"Song","given":"Guquan"},{"family":"Huang","given":"Jinsong"},{"family":"Yu","given":"Changshi"}],"issued":{"date-parts":[["2024",4,5]]}}}],"schema":"https://github.com/citation-style-language/schema/raw/master/csl-citation.json"} </w:instrText>
        <w:fldChar w:fldCharType="separate"/>
      </w:r>
      <w:r>
        <w:rPr>
          <w:rFonts w:ascii="Arial" w:hAnsi="Arial" w:cs="Arial"/>
          <w:sz w:val="21"/>
        </w:rPr>
        <w:t>(Huang et al. 2024)</w:t>
      </w:r>
      <w:r>
        <w:rPr>
          <w:rFonts w:ascii="Arial" w:hAnsi="Arial" w:cs="Arial"/>
          <w:color w:val="000000" w:themeColor="text1"/>
          <w:sz w:val="21"/>
          <w:szCs w:val="21"/>
        </w:rPr>
        <w:fldChar w:fldCharType="end"/>
        <w:t xml:space="preserve">. However, there are still two methodological challenges. First, despite having high predictive accuracy, models often fail to generalize spatially, especially when evaluation relies on naïve random cross-validation that does not account for spatial autocorrelation </w:t>
        <w:fldChar w:fldCharType="begin"/>
        <w:instrText xml:space="preserve"> ADDIN ZOTERO_ITEM CSL_CITATION {"citationID":"W9ZyAy8I","properties":{"formattedCitation":"(Adnan et al. 2020; Koldasbayeva et al. 2024)","plainCitation":"(Adnan et al. 2020; Koldasbayeva et al. 2024)","noteIndex":0},"citationItems":[{"id":115,"uris":["http://zotero.org/users/local/emosa1lm/items/MRDN5S6U"],"itemData":{"id":115,"type":"article-journal","abstract":"Despite yielding considerable degrees of accuracy in landslide predictions, the outcomes of different landslide susceptibility models are prone to spatial disagreement; and therefore, uncertainties. Uncertainties in the results of various landslide susceptibility models create challenges in selecting the most suitable method to manage this complex natural phenomenon. This study aimed to propose an approach to reduce uncertainties in landslide prediction, diagnosing spatial agreement in machine learning-based landslide susceptibility maps. It first developed landslide susceptibility maps of Cox’s Bazar district of Bangladesh, applying four machine learning algorithms: K-Nearest Neighbor (KNN), Multi-Layer Perceptron (MLP), Random Forest (RF), and Support Vector Machine (SVM), featuring hyperparameter optimization of 12 landslide conditioning factors. The results of all the four models yielded very high prediction accuracy, with the area under the curve (AUC) values range between 0.93 to 0.96. The assessment of spatial agreement of landslide predictions showed that the pixel-wise correlation coefficients of landslide probability between various models range from 0.69 to 0.85, indicating the uncertainty in predicted landslides by various models, despite their considerable prediction accuracy. The uncertainty was addressed by establishing a Logistic Regression (LR) model, incorporating the binary landslide inventory data as the dependent variable and the results of the four landslide susceptibility models as independent variables. The outcomes indicated that the RF model had the highest influence in predicting the observed landslide locations, followed by the MLP, SVM, and KNN models. Finally, a combined landslide susceptibility map was developed by integrating the results of the four machine learning-based landslide predictions. The combined map resulted in better spatial agreement (correlation coefficients range between 0.88 and 0.92) and greater prediction accuracy (0.97) compared to the individual models. The modelling approach followed in this study would be useful in minimizing uncertainties of various methods and improving landslide predictions.","container-title":"Remote Sensing","DOI":"10.3390/rs12203347","ISSN":"2072-4292","issue":"20","page":"3347-3347","publisher":"Multidisciplinary Digital Publishing Institute","title":"Improving Spatial Agreement in Machine Learning-Based Landslide Susceptibility Mapping","volume":"12","author":[{"family":"Adnan","given":"Mohammed Sarfaraz Gani"},{"family":"Rahman","given":"Md Salman"},{"family":"Ahmed","given":"Nahian"},{"family":"Ahmed","given":"Bayes"},{"family":"Rabbi","given":"Md Fazleh"},{"family":"Rahman","given":"Rashedur M."}],"issued":{"date-parts":[["2020",10]]}}},{"id":114,"uris":["http://zotero.org/users/local/emosa1lm/items/FWCAQPNR"],"itemData":{"id":114,"type":"document","DOI":"10.1038/s41467-024-55240-8","note":"ISSN: 2041-1723\nissue: 1\npage: 10700-10700\ncontainer-title: Nature Communications\nvolume: 15\nPMID: 39702456","publisher":"Nature Portfolio","title":"Challenges in data-driven geospatial modeling for environmental research and practice","URL":"https://doi.org/10.1038/s41467-024-55240-8","author":[{"family":"Koldasbayeva","given":"Diana"},{"family":"Tregubova","given":"Polina"},{"family":"Gasanov","given":"Mikhail"},{"family":"Zaytsev","given":"Alexey"},{"family":"Petrovskaia","given":"Anna"},{"family":"Burnaev","given":"Evgeny"}],"issued":{"date-parts":[["2024",12]]}}}],"schema":"https://github.com/citation-style-language/schema/raw/master/csl-citation.json"} </w:instrText>
        <w:fldChar w:fldCharType="separate"/>
      </w:r>
      <w:r>
        <w:rPr>
          <w:rFonts w:ascii="Arial" w:hAnsi="Arial" w:cs="Arial"/>
          <w:sz w:val="21"/>
        </w:rPr>
        <w:t>(Adnan et al. 2020; Koldasbayeva et al. 2024)</w:t>
      </w:r>
      <w:r>
        <w:rPr>
          <w:rFonts w:ascii="Arial" w:hAnsi="Arial" w:cs="Arial"/>
          <w:color w:val="000000" w:themeColor="text1"/>
          <w:sz w:val="21"/>
          <w:szCs w:val="21"/>
        </w:rPr>
        <w:fldChar w:fldCharType="end"/>
        <w:t xml:space="preserve">. Second, many models provide only deterministic point predictions without uncertainty estimates, which makes them less useful for decision-making under risk </w:t>
        <w:fldChar w:fldCharType="begin"/>
        <w:instrText xml:space="preserve"> ADDIN ZOTERO_ITEM CSL_CITATION {"citationID":"y1cjSgdu","properties":{"formattedCitation":"(Mil\\uc0\\u224{} et al. 2024)","plainCitation":"(Milà et al. 2024)","noteIndex":0},"citationItems":[{"id":116,"uris":["http://zotero.org/users/local/emosa1lm/items/44YKY8JF"],"itemData":{"id":116,"type":"article-journal","abstract":"Abstract. Spatial proxies, such as coordinates and distance fields, are often added as predictors in random forest (RF) models without any modifications being made to the algorithm to account for residual autocorrelation and improve predictions. However, their suitability under different predictive conditions encountered in environmental applications has not yet been assessed. We investigate (1) the suitability of spatial proxies depending on the modelling objective (interpolation vs. extrapolation), the strength of the residual spatial autocorrelation, and the sampling pattern; (2) which validation methods can be used as a model selection tool to empirically assess the suitability of spatial proxies; and (3) the effect of using spatial proxies in real-world environmental applications. We designed a simulation study to assess the suitability of RF regression models using three different types of spatial proxies: coordinates, Euclidean distance fields (EDFs), and random forest spatial prediction (RFsp). We also tested the ability of probability sampling test points, random k-fold cross-validation (CV), and k-fold nearest neighbour distance matching (kNNDM) CV to reflect the true prediction performance and correctly rank models. As real-world case studies, we modelled annual average air temperature and fine particulate air pollution for continental Spain. In the simulation study, we found that RFs with spatial proxies were poorly suited for spatial extrapolation to new areas due to significant feature extrapolation. For spatial interpolation, proxies were beneficial when both strong residual autocorrelation and regularly or randomly distributed training samples were present. In all other cases, proxies were neutral or counterproductive. Random k-fold cross-validation generally favoured models with spatial proxies even when it was not appropriate, whereas probability test samples and kNNDM CV correctly ranked models. In the case studies, air temperature stations were well spread within the prediction area, and measurements exhibited strong spatial autocorrelation, leading to an effective use of spatial proxies. Air pollution stations were clustered and autocorrelation was weaker and thus spatial proxies were not beneficial. As the benefits of spatial proxies are not universal, we recommend using spatial exploratory and validation analyses to determine their suitability, as well as considering alternative inherently spatial modelling approaches.","container-title":"Geoscientific model development","DOI":"10.5194/gmd-17-6007-2024","ISSN":"1991-959X, 1991-9603","issue":"15","page":"6007-6033","publisher":"Copernicus Publications","title":"Random forests with spatial proxies for environmental modelling: opportunities and pitfalls","volume":"17","author":[{"family":"Milà","given":"Carles"},{"family":"Ludwig","given":"Marvin"},{"family":"Pebesma","given":"Edzer"},{"family":"Tonne","given":"Cathryn"},{"family":"Meyer","given":"Hanna"}],"issued":{"date-parts":[["2024",8]]}}}],"schema":"https://github.com/citation-style-language/schema/raw/master/csl-citation.json"} </w:instrText>
        <w:fldChar w:fldCharType="separate"/>
      </w:r>
      <w:r>
        <w:rPr>
          <w:rFonts w:ascii="Arial" w:hAnsi="Arial" w:cs="Arial"/>
          <w:sz w:val="21"/>
        </w:rPr>
        <w:t>(Milà et al. 2024)</w:t>
      </w:r>
      <w:r>
        <w:rPr>
          <w:rFonts w:ascii="Arial" w:hAnsi="Arial" w:cs="Arial"/>
          <w:color w:val="000000" w:themeColor="text1"/>
          <w:sz w:val="21"/>
          <w:szCs w:val="21"/>
        </w:rPr>
        <w:fldChar w:fldCharType="end"/>
        <w:t>.</w:t>
      </w:r>
    </w:p>
    <w:p w14:paraId="6C9C1356" w14:textId="33BAD61B" w:rsidR="00F837DF" w:rsidRPr="00340959"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Common machine learning algorithms like Random Forest and Support Vector Machines tend to maximize classification accuracy. However, they do not, by default, offer well-calibrated probabilistic outputs or explicit uncertainty quantification </w:t>
        <w:fldChar w:fldCharType="begin"/>
        <w:instrText xml:space="preserve"> ADDIN ZOTERO_ITEM CSL_CITATION {"citationID":"aWiPkYO8","properties":{"formattedCitation":"(Shaker and H\\uc0\\u252{}llermeier 2025)","plainCitation":"(Shaker and Hüllermeier 2025)","noteIndex":0},"citationItems":[{"id":117,"uris":["http://zotero.org/users/local/emosa1lm/items/IMX4RJGL"],"itemData":{"id":117,"type":"article-journal","container-title":"Knowledge-Based Systems","DOI":"10.1016/j.knosys.2025.114143","ISSN":"0950-7051, 1872-7409","page":"114143-114143","publisher":"Elsevier BV","title":"Random forest calibration","volume":"328","author":[{"family":"Shaker","given":"Mohammad"},{"family":"Hüllermeier","given":"Eyke"}],"issued":{"date-parts":[["2025",7]]}}}],"schema":"https://github.com/citation-style-language/schema/raw/master/csl-citation.json"} </w:instrText>
        <w:fldChar w:fldCharType="separate"/>
      </w:r>
      <w:r>
        <w:rPr>
          <w:rFonts w:ascii="Arial" w:hAnsi="Arial" w:cs="Arial"/>
          <w:sz w:val="21"/>
        </w:rPr>
        <w:t>(Shaker and Hüllermeier 2025)</w:t>
      </w:r>
      <w:r>
        <w:rPr>
          <w:rFonts w:ascii="Arial" w:hAnsi="Arial" w:cs="Arial"/>
          <w:color w:val="000000" w:themeColor="text1"/>
          <w:sz w:val="21"/>
          <w:szCs w:val="21"/>
        </w:rPr>
        <w:fldChar w:fldCharType="end"/>
        <w:t xml:space="preserve">. As a result, predictions may appear overconfident when transferred to novel terrain conditions. On the other hand, the Bayesian approach treats model parameters as probability distributions rather than fixed values. This allows for the formal propagation of epistemic uncertainty into posterior predictive distributions </w:t>
        <w:fldChar w:fldCharType="begin"/>
        <w:instrText xml:space="preserve"> ADDIN ZOTERO_ITEM CSL_CITATION {"citationID":"pTbtOsK7","properties":{"formattedCitation":"(Mirus and Woodard 2023)","plainCitation":"(Mirus and Woodard 2023)","noteIndex":0},"citationItems":[{"id":118,"uris":["http://zotero.org/users/local/emosa1lm/items/ZYLTY9QW"],"itemData":{"id":118,"type":"article-journal","abstract":"Bayesian logistic regression with vague priors and optimized XGBoost models are two contrasting and commonly used approaches for modeling landslide susceptibility. Logistic regression calculates the log odds of a binary outcome (i.e., landslide or no landslide) given some predictor data (e.g., slope, elevation, and geology) that describes the terrain of each mapping unit used to divide the terrain for susceptibility evaluation. The Bayesian implementation incorporates uncertainty into the model by using probability distributions of the model parameters. Weakly informative priors ensure that the likelihood function (i.e., observational data) dominates posterior distributions, which can be estimated using the statistical software Stan. Like logistic regression, the gradient boosting decision tree machine learning algorithm XGBoost requires the predictor data of each mapping unit to output a probability of an event. Decision trees are a non-parametric learning tool that uses a set of if-then-else decision rules to predict the expected model outcome. Gradient boosting is a method of sequentially adding more decision trees to improve the model output until the lowest model residual levels are reached while penalizing for the level of complexity added to the model. We optimize the model parameters using a Bayesian cross-validation procedure on a portion of the training data. To obtain distributions of the level of susceptibility from XGBoost, a 10-fold cross-validation procedure with ten iterations is implemented. Evaluation of both Bayesian logistic regression and XGBoost algorithms is performed using the area under the curve of the receiver operator characteristics and the Brier score, but any other common metric for evaluation is possible. Model development and evaluation is carried out through the computational environment R. These methods have been applied with success to many diverse regions of the United States and would benefit from testing with the benchmark datasets proposed by the conveners.","DOI":"10.5194/egusphere-egu23-11586","title":"Bayesian logistic regression and optimized XGBoost models for landslide susceptibility assessment","URL":"http://dx.doi.org/10.5194/egusphere-egu23-11586","author":[{"family":"Mirus","given":"Benjamin B."},{"family":"Woodard","given":"Jacob"}],"issued":{"date-parts":[["2023",2]]}}}],"schema":"https://github.com/citation-style-language/schema/raw/master/csl-citation.json"} </w:instrText>
        <w:fldChar w:fldCharType="separate"/>
      </w:r>
      <w:r>
        <w:rPr>
          <w:rFonts w:ascii="Arial" w:hAnsi="Arial" w:cs="Arial"/>
          <w:sz w:val="21"/>
        </w:rPr>
        <w:t>(Mirus and Woodard 2023)</w:t>
      </w:r>
      <w:r>
        <w:rPr>
          <w:rFonts w:ascii="Arial" w:hAnsi="Arial" w:cs="Arial"/>
          <w:color w:val="000000" w:themeColor="text1"/>
          <w:sz w:val="21"/>
          <w:szCs w:val="21"/>
        </w:rPr>
        <w:fldChar w:fldCharType="end"/>
        <w:t xml:space="preserve">. Such models are well-suited for risk management, as they not only yield high predicted risks but also explicit statements of the confidence in those predictions </w:t>
        <w:fldChar w:fldCharType="begin"/>
        <w:instrText xml:space="preserve"> ADDIN ZOTERO_ITEM CSL_CITATION {"citationID":"Xok4WPqX","properties":{"formattedCitation":"(Stefanini et al. 2025)","plainCitation":"(Stefanini et al. 2025)","noteIndex":0},"citationItems":[{"id":119,"uris":["http://zotero.org/users/local/emosa1lm/items/C6XWIM7A"],"itemData":{"id":119,"type":"article-journal","abstract":"Coastal vulnerability describes the susceptibility of a system to adverse effects from natural hazards. It is typically evaluated using spatial data on geographical attributes and is often synthesized using tools such as a Coastal Vulnerability Index (CVI). However, the literature highlights that there is no universal method for assessing vulnerability, emphasizing the importance of site-specific adaptations. A key challenge in coastal risk management is dealing with the inherent uncertainty of environmental variables and their future dynamics. Incorporating this uncertainty is essential for producing reliable assessments and informed decision-making. In this paper, we present an R package that facilitates the implementation of probabilistic graphical models explicitly incorporating epistemic uncertainty. This approach allows for vulnerability assessments even in situations where data availability is limited. The proposed methodology aims to deliver a more flexible and transparent framework for vulnerability analysis under uncertainty, providing valuable support to local policymakers, in particular during the early phases of intervention planning and technology selection for coastal mitigation strategies.","container-title":"Mathematics","DOI":"10.3390/math13223603","ISSN":"2227-7390","issue":"22","page":"3603-3603","publisher":"Multidisciplinary Digital Publishing Institute","title":"vulneraR: An R Package for Uncertainty Analysis in Co</w:instrText>
      </w:r>
      <w:r>
        <w:rPr>
          <w:rFonts w:ascii="Arial" w:hAnsi="Arial" w:cs="Arial" w:hint="eastAsia"/>
          <w:color w:val="000000" w:themeColor="text1"/>
          <w:sz w:val="21"/>
          <w:szCs w:val="21"/>
        </w:rPr>
        <w:instrText>astal Vulnerability Studies","volume":"13","author":[{"family":"Stefanini","given":"Federico Mattia"},{"family":"Ambrosini","given":"Sid"},{"family":"D</w:instrText>
      </w:r>
      <w:r>
        <w:rPr>
          <w:rFonts w:ascii="Arial" w:hAnsi="Arial" w:cs="Arial"/>
          <w:color w:val="000000" w:themeColor="text1"/>
          <w:sz w:val="21"/>
          <w:szCs w:val="21"/>
        </w:rPr>
        <w:instrText>′</w:instrText>
      </w:r>
      <w:r>
        <w:rPr>
          <w:rFonts w:ascii="Arial" w:hAnsi="Arial" w:cs="Arial" w:hint="eastAsia"/>
          <w:color w:val="000000" w:themeColor="text1"/>
          <w:sz w:val="21"/>
          <w:szCs w:val="21"/>
        </w:rPr>
        <w:instrText>Alessandro","given":"Felice"}],"issued":{"date-parts":[["2025",11]]}}}],"schema":"https://github.com/ci</w:instrText>
      </w:r>
      <w:r>
        <w:rPr>
          <w:rFonts w:ascii="Arial" w:hAnsi="Arial" w:cs="Arial"/>
          <w:color w:val="000000" w:themeColor="text1"/>
          <w:sz w:val="21"/>
          <w:szCs w:val="21"/>
        </w:rPr>
        <w:instrText xml:space="preserve">tation-style-language/schema/raw/master/csl-citation.json"} </w:instrText>
        <w:fldChar w:fldCharType="separate"/>
      </w:r>
      <w:r>
        <w:rPr>
          <w:rFonts w:ascii="Arial" w:hAnsi="Arial" w:cs="Arial"/>
          <w:sz w:val="21"/>
        </w:rPr>
        <w:t>(Stefanini et al. 2025)</w:t>
      </w:r>
      <w:r>
        <w:rPr>
          <w:rFonts w:ascii="Arial" w:hAnsi="Arial" w:cs="Arial"/>
          <w:color w:val="000000" w:themeColor="text1"/>
          <w:sz w:val="21"/>
          <w:szCs w:val="21"/>
        </w:rPr>
        <w:fldChar w:fldCharType="end"/>
        <w:t>.</w:t>
      </w:r>
    </w:p>
    <w:p w14:paraId="3A9EBE75" w14:textId="7490B620" w:rsidR="00F837DF" w:rsidRPr="007E6071"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In Bangladesh, the Chittagong Hill Tracts and metropolitan areas are settings where improved LSM practices are urgently needed. This region is highly susceptible to landslides for several reasons, such as steep slopes, intense monsoon rainfall, and escalating human encroachment </w:t>
        <w:fldChar w:fldCharType="begin"/>
        <w:instrText xml:space="preserve"> ADDIN ZOTERO_ITEM CSL_CITATION {"citationID":"2LqBoEmb","properties":{"formattedCitation":"(Biswas et al. 2026)","plainCitation":"(Biswas et al. 2026)","noteIndex":0},"citationItems":[{"id":120,"uris":["http://zotero.org/users/local/emosa1lm/items/UL5PCFR8"],"itemData":{"id":120,"type":"article-journal","abstract":"Landslides pose a persistent threat to life, livelihoods, and critical infrastructure in the Chittagong Hill Tracts (CHT) of Bangladesh, a region marked by steep slopes, intense monsoonal rainfall, and increasing anthropogenic pressure. This study presents a comprehensive landslide susceptibility assessment for the monsoon-dominated Chittagong Hill Tracts (CHT), addressing data scarcity challenges. An ensemble model integrating Convolutional Neural Networks, Deep Neural Networks, and Long Short-Term Memory networks was developed using ten standardized 30-meter resolution geo-environmental variables. A balanced dataset of 5,082 samples was generated through spatially stratified random sampling. Spatial-block 10-fold cross-validation demonstrated strong model performance with an F1-score of 0.8923 and an AUC of 0.9558, outperforming individual models. Key drivers identified include annual rainfall and proximity to fault lines, highlighting the role of hydro-tectonic factors. Additionally, a Road Vulnerability Index based on six physical parameters revealed that 13% of the regional road network is highly vulnerable to landslides. These findings offer high-resolution, interpretable susceptibility and infrastructure risk maps to support disaster risk reduction strategies, contributing to Sustainable Development Goals 11 and 13. This framework advances understanding of landslide hazards and infrastructure vulnerability in data-limited mountainous regions.","container-title":"Geomatics Natural Hazards and Risk","DOI":"10.1080/19475705.2026.2634207","ISSN":"1947-5705, 1947-5713","issue":"1","publisher":"Taylor &amp; Francis","title":"Ensemble deep learning framework for landslide susceptibility mapping and road vulnerability index development in the Chittagong Hill Tracts, Bangladesh","URL":"https://doi.org/10.1080/19475705.2026.2634207","volume":"17","author":[{"family":"Biswas","given":"Niloy"},{"family":"Islam","given":"K. M. Ashraful"},{"family":"Efty","given":"Eftekher Ahammed"},{"family":"Das","given":"S."},{"family":"Pathan","given":"Abrar Muhtasim"},{"family":"Ferdaus","given":"Md Rayhanul"}],"issued":{"date-parts":[["2026",2]]}}}],"schema":"https://github.com/citation-style-language/schema/raw/master/csl-citation.json"} </w:instrText>
        <w:fldChar w:fldCharType="separate"/>
      </w:r>
      <w:r>
        <w:rPr>
          <w:rFonts w:ascii="Arial" w:hAnsi="Arial" w:cs="Arial"/>
          <w:sz w:val="21"/>
        </w:rPr>
        <w:t>(Biswas et al. 2026)</w:t>
      </w:r>
      <w:r>
        <w:rPr>
          <w:rFonts w:ascii="Arial" w:hAnsi="Arial" w:cs="Arial"/>
          <w:color w:val="000000" w:themeColor="text1"/>
          <w:sz w:val="21"/>
          <w:szCs w:val="21"/>
        </w:rPr>
        <w:fldChar w:fldCharType="end"/>
        <w:t xml:space="preserve">. During the monsoon, the frequency of landslides becomes a significant threat in this area, which eventually causes fatalities and socio-economic losses </w:t>
        <w:fldChar w:fldCharType="begin"/>
        <w:instrText xml:space="preserve"> ADDIN ZOTERO_ITEM CSL_CITATION {"citationID":"6BHl2Xg6","properties":{"formattedCitation":"(Biswas et al. 2026)","plainCitation":"(Biswas et al. 2026)","noteIndex":0},"citationItems":[{"id":120,"uris":["http://zotero.org/users/local/emosa1lm/items/UL5PCFR8"],"itemData":{"id":120,"type":"article-journal","abstract":"Landslides pose a persistent threat to life, livelihoods, and critical infrastructure in the Chittagong Hill Tracts (CHT) of Bangladesh, a region marked by steep slopes, intense monsoonal rainfall, and increasing anthropogenic pressure. This study presents a comprehensive landslide susceptibility assessment for the monsoon-dominated Chittagong Hill Tracts (CHT), addressing data scarcity challenges. An ensemble model integrating Convolutional Neural Networks, Deep Neural Networks, and Long Short-Term Memory networks was developed using ten standardized 30-meter resolution geo-environmental variables. A balanced dataset of 5,082 samples was generated through spatially stratified random sampling. Spatial-block 10-fold cross-validation demonstrated strong model performance with an F1-score of 0.8923 and an AUC of 0.9558, outperforming individual models. Key drivers identified include annual rainfall and proximity to fault lines, highlighting the role of hydro-tectonic factors. Additionally, a Road Vulnerability Index based on six physical parameters revealed that 13% of the regional road network is highly vulnerable to landslides. These findings offer high-resolution, interpretable susceptibility and infrastructure risk maps to support disaster risk reduction strategies, contributing to Sustainable Development Goals 11 and 13. This framework advances understanding of landslide hazards and infrastructure vulnerability in data-limited mountainous regions.","container-title":"Geomatics Natural Hazards and Risk","DOI":"10.1080/19475705.2026.2634207","ISSN":"1947-5705, 1947-5713","issue":"1","publisher":"Taylor &amp; Francis","title":"Ensemble deep learning framework for landslide susceptibility mapping and road vulnerability index development in the Chittagong Hill Tracts, Bangladesh","URL":"https://doi.org/10.1080/19475705.2026.2634207","volume":"17","author":[{"family":"Biswas","given":"Niloy"},{"family":"Islam","given":"K. M. Ashraful"},{"family":"Efty","given":"Eftekher Ahammed"},{"family":"Das","given":"S."},{"family":"Pathan","given":"Abrar Muhtasim"},{"family":"Ferdaus","given":"Md Rayhanul"}],"issued":{"date-parts":[["2026",2]]}}}],"schema":"https://github.com/citation-style-language/schema/raw/master/csl-citation.json"} </w:instrText>
        <w:fldChar w:fldCharType="separate"/>
      </w:r>
      <w:r>
        <w:rPr>
          <w:rFonts w:ascii="Arial" w:hAnsi="Arial" w:cs="Arial"/>
          <w:sz w:val="21"/>
        </w:rPr>
        <w:t>(Biswas et al. 2026)</w:t>
      </w:r>
      <w:r>
        <w:rPr>
          <w:rFonts w:ascii="Arial" w:hAnsi="Arial" w:cs="Arial"/>
          <w:color w:val="000000" w:themeColor="text1"/>
          <w:sz w:val="21"/>
          <w:szCs w:val="21"/>
        </w:rPr>
        <w:fldChar w:fldCharType="end"/>
        <w:t xml:space="preserve">. Traditional GIS methods, logistic regression, decision tree variants, ensemble tree-based models, and some deep learning models have shown strong performance in discriminating landslide susceptibility in regional susceptibility studies </w:t>
        <w:fldChar w:fldCharType="begin"/>
        <w:instrText xml:space="preserve"> ADDIN ZOTERO_ITEM CSL_CITATION {"citationID":"6oV5XwUU","properties":{"formattedCitation":"(Murad and Rahman 2025)","plainCitation":"(Murad and Rahman 2025)","noteIndex":0},"citationItems":[{"id":380,"uris":["http://zotero.org/users/local/emosa1lm/items/3N73G5RD"],"itemData":{"id":380,"type":"paper-conference","abstract":"Landslides are one of the major geological hazards globally, especially in mountainous regions. Considering that 10% of total land occupies hilly terrain, landslide-induced disasters are also prominent in Bangladesh. With rapid urbanization, the development of hilly areas is noticeable, and hence, for safe and economic growth, the susceptible regions need to be identified. Emphasizing the actual instance, this research aims to develop a comprehensive landslide susceptibility map for Rangamati district, one of the important districts of hill tracts of Bangladesh. Both geologic and geotechnical parameters extracted from remote sensing techniques are employed to prepare the initial datasets. Landslide inventory maps from NASA have been used to prepare synthesized datasets for validation. Deep learning that fundamentals on neuron networks of the human brain have been a prospective tool in dealing with highly sparse datasets and random variables. Therefore, a widely used deep learning method, known as Deep Neural Network, has prepared a landslide susceptibility map for the Rangamati hill district. 80% of the data have been used to train the model, while 20% have been used to test the model. The developed susceptibility map portrays an accuracy level of 88% in terms of its statistical distribution. Besides that, the inventory map converges well with the susceptible map; hence, it implicitly substantiates the accuracy of the developed procedure. Overall, this research provides a general view of landslide risk for the Rangamati hill district. With more inventory data, this method can be useful to prepare a zone-wise susceptibility map over the entire hill district.","container-title":"Proceedings of the 8th International Conference on Engineering Research, Innovation and Education","event-title":"8th International Conference on Engineering Research, Innovation and Education","language":"en","source":"Zotero","title":"Landslide Susceptibility Assessment of Rangamati Hill District Using Deep Learning Method","author":[{"family":"Murad","given":"Golam"},{"family":"Rahman","given":"Aftabur"}],"issued":{"date-parts":[["2025"]]}}}],"schema":"https://github.com/citation-style-language/schema/raw/master/csl-citation.json"} </w:instrText>
        <w:fldChar w:fldCharType="separate"/>
      </w:r>
      <w:r>
        <w:rPr>
          <w:rFonts w:ascii="Arial" w:hAnsi="Arial" w:cs="Arial"/>
          <w:sz w:val="21"/>
        </w:rPr>
        <w:t>(Murad and Rahman 2025)</w:t>
      </w:r>
      <w:r>
        <w:rPr>
          <w:rFonts w:ascii="Arial" w:hAnsi="Arial" w:cs="Arial"/>
          <w:color w:val="000000" w:themeColor="text1"/>
          <w:sz w:val="21"/>
          <w:szCs w:val="21"/>
        </w:rPr>
        <w:fldChar w:fldCharType="end"/>
        <w:t xml:space="preserve">. </w:t>
      </w:r>
      <w:r>
        <w:rPr>
          <w:rFonts w:ascii="Arial" w:hAnsi="Arial" w:cs="Arial"/>
          <w:color w:val="000000" w:themeColor="text1"/>
          <w:sz w:val="21"/>
          <w:szCs w:val="21"/>
        </w:rPr>
        <w:t xml:space="preserve">However, </w:t>
      </w:r>
      <w:r>
        <w:rPr>
          <w:rFonts w:ascii="Arial" w:hAnsi="Arial" w:cs="Arial"/>
          <w:color w:val="FF0000"/>
          <w:sz w:val="21"/>
          <w:szCs w:val="21"/>
        </w:rPr>
        <w:t xml:space="preserve">several methodological gaps remain. For instance, Chowdhury et al. (2023) applied machine learning models in Chattogram but relied exclusively on deterministic classifiers and standard random k-fold splits without enforcing spatial independence, which may inflate accuracy estimates due to spatial autocorrelation. Similarly, Biswas et al. (2026) explored ensemble deep learning for the region but omitted spatial validation and did not provide explicit model-derived uncertainty layers. Furthermore, these studies rarely address the scale mismatch that occurs when integrating predictors at vastly different native resolutions (e.g., 30 m DEM derivatives alongside 5 km satellite-derived precipitation).</w:t>
      </w:r>
      <w:r>
        <w:rPr>
          <w:rFonts w:ascii="Arial" w:hAnsi="Arial" w:cs="Arial"/>
          <w:color w:val="000000" w:themeColor="text1"/>
          <w:sz w:val="21"/>
          <w:szCs w:val="21"/>
        </w:rPr>
        <w:t xml:space="preserve"> Addressing these shortcomings is essential for effective disaster risk reduction in such a dynamic environment </w:t>
        <w:fldChar w:fldCharType="begin"/>
        <w:instrText xml:space="preserve"> ADDIN ZOTERO_ITEM CSL_CITATION {"citationID":"yaHqndCx","properties":{"formattedCitation":"(Cruz et al. 2024)","plainCitation":"(Cruz et al. 2024)","noteIndex":0},"citationItems":[{"id":344,"uris":["http://zotero.org/users/local/emosa1lm/items/TDU9P24J"],"itemData":{"id":344,"type":"article-journal","abstract":"Several probabilistic liquefaction triggering approaches, or liquefaction manifestation severity approaches, have been developed to consider the uncertainties related to liquefaction and its manifestations. Probabilistic approaches are essential for vulnerability and risk models that considers the consequences of liquefaction on building performance. They may be incorporated into a performance-based earthquake engineering framework through a fully probabilistic liquefaction hazard assessment. The objective is to effectively incorporate spatial interaction of two concurrent hazards, specifically earthquake-induced shaking, and liquefaction, and to develop a robust multi-hazard framework applicable to regions with limited input data. For this purpose, it is necessary to establish, according to the available probabilistic liquefaction triggering or manifestation severity assessment approaches, which set of approaches aligns optimally with vulnerability and risk models. Thus, this paper discusses the current methodologies on the ongoing probabilistic liquefaction hazard assessment approaches with the aim of defining a reliable model specific for areas with a non-liquefiable surface layer over a liquefiable layer.","container-title":"Archives of Computational Methods in Engineering","DOI":"10.1007/s11831-024-10124-4","ISSN":"1886-1784","issue":"8","journalAbbreviation":"Arch Computat Methods Eng","language":"en","page":"4673-4708","source":"Springer Link","title":"A Review of Probabilistic Approaches for Assessing the Liquefaction Hazard in Urban Areas","volume":"31","author":[{"family":"Cruz","given":"Alejandro"},{"family":"Karimzadeh","given":"Shaghayegh"},{"family":"Chieffo","given":"Nicola"},{"family":"Sandoval","given":"Eimar"},{"family":"Lourenço","given":"Paulo B."}],"issued":{"date-parts":[["2024",12,1]]}}}],"schema":"https://github.com/citation-style-language/schema/raw/master/csl-citation.json"} </w:instrText>
        <w:fldChar w:fldCharType="separate"/>
      </w:r>
      <w:r>
        <w:rPr>
          <w:rFonts w:ascii="Arial" w:hAnsi="Arial" w:cs="Arial"/>
          <w:sz w:val="21"/>
        </w:rPr>
        <w:t>(Cruz et al. 2024)</w:t>
      </w:r>
      <w:r>
        <w:rPr>
          <w:rFonts w:ascii="Arial" w:hAnsi="Arial" w:cs="Arial"/>
          <w:color w:val="000000" w:themeColor="text1"/>
          <w:sz w:val="21"/>
          <w:szCs w:val="21"/>
        </w:rPr>
        <w:fldChar w:fldCharType="end"/>
        <w:t>.</w:t>
      </w:r>
    </w:p>
    <w:p w14:paraId="76FD5DDA" w14:textId="0EC556F6" w:rsidR="00F837DF" w:rsidRPr="001B5C0A"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Recent research efforts on data-driven LSMs have evolved towards two main pathways. The former focuses on optimizing algorithmic performance metrics, such as the area under the receiver operating characteristic curve (AUC) and accuracy when using ensemble strategies, while the latter combines evaluation data with generation data </w:t>
        <w:fldChar w:fldCharType="begin"/>
        <w:instrText xml:space="preserve"> ADDIN ZOTERO_ITEM CSL_CITATION {"citationID":"cmeZCRX4","properties":{"formattedCitation":"(Zhou and Xing 2025)","plainCitation":"(Zhou and Xing 2025)","noteIndex":0},"citationItems":[{"id":122,"uris":["http://zotero.org/users/local/emosa1lm/items/DYT85EH6"],"itemData":{"id":122,"type":"article-journal","abstract":"Currently, although various landslide susceptibility models can achieve high prediction accuracy, their results have significant differences in spatial distribution, resulting in high prediction uncertainty, which poses a challenge to optimizing assessment methods applicable to such complex geological hazards. In order to reduce uncertainty, this study proposes a machine learning ensemble modeling method that combines spatial consistency analysis. Taking Ruijin City in Jiangxi Province as the research area, based on the selection of 12 influencing factors and hyperparameter optimization, three algorithms including XGBOOST, Random Forest (RF), and Support Vector Machine (SVM) were used to generate landslide susceptibility maps. All models performed well, with AUC values ranging from 0.84 to 0.93. However, spatial consistency analysis shows that the spatial correlation between maps between models is only 0.78 to 0.84, indicating that although the prediction accuracy is high, there is still significant spatial heterogeneity and uncertainty. Therefore, a logistic regression (LR) fusion model based on historical landslides was constructed. Use the compilation results as the dependent variable and the results of the three models as the independent variables. The results indicate that XGBOOST contributes the most, followed by RF and SVM. By integrating the three prediction results, a comprehensive vulnerability map was finally obtained, which was superior to the single model in terms of spatial consistency (correlation coefficient 0.87–0.91) and prediction accuracy (AUC = 0.95). This research framework effectively reduces the uncertainty of landslide prediction and improves the reliability and accuracy of evaluation results.","container-title":"Frontiers in Earth Science","DOI":"10.3389/feart.2025.1702688","ISSN":"2296-6463","publisher":"Frontiers Media","title":"Spatial consistency assessment and landslide susceptibility prediction optimization","URL":"https://doi.org/10.3389/feart.2025.1702688","volume":"13","author":[{"family":"Zhou","given":"Xiaohong"},{"family":"Xing","given":"Yin"}],"issued":{"date-parts":[["2025",10]]}}}],"schema":"https://github.com/citation-style-language/schema/raw/master/csl-citation.json"} </w:instrText>
        <w:fldChar w:fldCharType="separate"/>
      </w:r>
      <w:r>
        <w:rPr>
          <w:rFonts w:ascii="Arial" w:hAnsi="Arial" w:cs="Arial"/>
          <w:sz w:val="21"/>
        </w:rPr>
        <w:t>(Zhou and Xing 2025)</w:t>
      </w:r>
      <w:r>
        <w:rPr>
          <w:rFonts w:ascii="Arial" w:hAnsi="Arial" w:cs="Arial"/>
          <w:color w:val="000000" w:themeColor="text1"/>
          <w:sz w:val="21"/>
          <w:szCs w:val="21"/>
        </w:rPr>
        <w:fldChar w:fldCharType="end"/>
        <w:t xml:space="preserve">. The hybrid and stacked models usually perform better than single learners. These models are also fairly complex, making them less explainable </w:t>
        <w:fldChar w:fldCharType="begin"/>
        <w:instrText xml:space="preserve"> ADDIN ZOTERO_ITEM CSL_CITATION {"citationID":"7AQUtmba","properties":{"formattedCitation":"(Rukh et al. 2024)","plainCitation":"(Rukh et al. 2024)","noteIndex":0},"citationItems":[{"id":342,"uris":["http://zotero.org/users/local/emosa1lm/items/2KAXJYCQ"],"itemData":{"id":342,"type":"article-journal","abstract":"Antioxidant proteins are involved in several biological processes and can protect DNA and cells from the damage of free radicals. These proteins regulate the body's oxidative stress and perform a significant role in many antioxidant-based drugs. The current invitro-based medications are costly, time-consuming, and unable to efficiently screen and identify the targeted motif of antioxidant proteins.","container-title":"BMC Bioinformatics","DOI":"10.1186/s12859-024-05884-6","ISSN":"1471-2105","issue":"1","journalAbbreviation":"BMC Bioinformatics","language":"en","page":"256","source":"Springer Link","title":"StackedEnC-AOP: prediction of antioxidant proteins using transform evolutionary and sequential features based multi-scale vector with stacked ensemble learning","title-short":"StackedEnC-AOP","volume":"25","author":[{"family":"Rukh","given":"Gul"},{"family":"Akbar","given":"Shahid"},{"family":"Rehman","given":"Gauhar"},{"family":"Alarfaj","given":"Fawaz Khaled"},{"family":"Zou","given":"Quan"}],"issued":{"date-parts":[["2024",8,4]]}}}],"schema":"https://github.com/citation-style-language/schema/raw/master/csl-citation.json"} </w:instrText>
        <w:fldChar w:fldCharType="separate"/>
      </w:r>
      <w:r>
        <w:rPr>
          <w:rFonts w:ascii="Arial" w:hAnsi="Arial" w:cs="Arial"/>
          <w:sz w:val="21"/>
        </w:rPr>
        <w:t>(Rukh et al. 2024)</w:t>
      </w:r>
      <w:r>
        <w:rPr>
          <w:rFonts w:ascii="Arial" w:hAnsi="Arial" w:cs="Arial"/>
          <w:color w:val="000000" w:themeColor="text1"/>
          <w:sz w:val="21"/>
          <w:szCs w:val="21"/>
        </w:rPr>
        <w:fldChar w:fldCharType="end"/>
        <w:t xml:space="preserve">. The second direction, which emphasizes a methodological domain in its evaluation for LSMs (spatial validation, probabilistic calibration, and uncertainty quantification) as essential elements of any robust model </w:t>
        <w:fldChar w:fldCharType="begin"/>
        <w:instrText xml:space="preserve"> ADDIN ZOTERO_ITEM CSL_CITATION {"citationID":"wsB3hjeI","properties":{"formattedCitation":"(Vashisht et al. 2026)","plainCitation":"(Vashisht et al. 2026)","noteIndex":0},"citationItems":[{"id":354,"uris":["http://zotero.org/users/local/emosa1lm/items/ZI97HLCY"],"itemData":{"id":354,"type":"article-journal","abstract":"Sixth-generation (6G) networks are projected to include massive machine-type communication (mMTC), ultra-reliable low-latency communications (URLLC), and enhanced mobile broadband (eMBB) to offer immersive, diverse, and latency-critical services. These heterogeneous service requirements demand intelligent and autonomous slicing mechanisms that remain reliable under dynamic traffic, multimodal context variations, and cross-layer uncertainties. Existing machine learning (ML) approaches achieve strong predictive performance but lack built-in Service-Level Agreement (SLA) validation, while rule-based strategies ensure constraint adherence yet struggle with rapidly varying 6G conditions. To address these limitations, this article proposes an Agentic Intelligence–assisted ML Fusion Framework that combines ensemble prediction with autonomous agentic reasoning.For example, an agentic controller can independently override the choice and reallocate resources to avoid service failure if an ML model predicts a slice appropriate for URLLC traffic but the expected latency exceeds the SLA level. A stacked ensemble of Light Gradient Boosting Machine (LightGBM), Random Forest (RF), and Logistic Regression (LR) captures nonlinear and multimodal dependencies in 6G beamforming data, whereas an agentic overlay enforces throughput, latency, and energy constraints in real time. Evaluation on a public 6G IoT beamforming dataset demonstrates near-perfect accuracy (99.9%) with consistent SLA compliance, improved interpretability, and enhanced stability under fluctuating service demands. The hybrid design provides a scalable foundation for multimodal, semantic-aware, and multi-agent orchestration in next-generation 6G slicing ecosystems.","container-title":"IEEE Open Journal of the Communications Society","DOI":"10.1109/OJCOMS.2026.3663612","ISSN":"2644-125X","page":"1643-1653","source":"IEEE Xplore","title":"Multimodal and Agentic Intelligence–Driven ML Fusion for Sustainable 6G Network Slicing","volume":"7","author":[{"family":"Vashisht","given":"Sanchit"},{"family":"Rani","given":"Shalli"},{"family":"Feng","given":"Hailin"}],"issued":{"date-parts":[["2026"]]}}}],"schema":"https://github.com/citation-style-language/schema/raw/master/csl-citation.json"} </w:instrText>
        <w:fldChar w:fldCharType="separate"/>
      </w:r>
      <w:r>
        <w:rPr>
          <w:rFonts w:ascii="Arial" w:hAnsi="Arial" w:cs="Arial"/>
          <w:sz w:val="21"/>
        </w:rPr>
        <w:t>(Vashisht et al. 2026)</w:t>
      </w:r>
      <w:r>
        <w:rPr>
          <w:rFonts w:ascii="Arial" w:hAnsi="Arial" w:cs="Arial"/>
          <w:color w:val="000000" w:themeColor="text1"/>
          <w:sz w:val="21"/>
          <w:szCs w:val="21"/>
        </w:rPr>
        <w:fldChar w:fldCharType="end"/>
        <w:t xml:space="preserve">. </w:t>
      </w:r>
    </w:p>
    <w:p w14:paraId="71065BBE" w14:textId="581790BE" w:rsidR="00F837DF" w:rsidRPr="00340959"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Bayesian machine learning addresses these limitations in a coherent manner. Bayesian logistic regression and Gaussian process classifiers are machine learning algorithms that provide posterior predictive distributions rather than point estimates </w:t>
        <w:fldChar w:fldCharType="begin"/>
        <w:instrText xml:space="preserve"> ADDIN ZOTERO_ITEM CSL_CITATION {"citationID":"T24RgZoC","properties":{"formattedCitation":"(Carleton et al. 2023)","plainCitation":"(Carleton et al. 2023)","noteIndex":0},"citationItems":[{"id":340,"uris":["http://zotero.org/users/local/emosa1lm/items/BVJJPI8W"],"itemData":{"id":340,"type":"article-journal","abstract":"Lidar (light-detection and ranging) has revolutionized archaeology. We are now able to produce high-resolution maps of archaeological surface features over vast areas, allowing us to see ancient land-use and anthropogenic landscape modification at previously un-imagined scales. In the tropics, this has enabled documentation of previously archaeologically unrecorded cities in various tropical regions, igniting scientific and popular interest in ancient tropical urbanism. An emerging challenge, however, is to add temporal depth to this torrent of new spatial data because traditional archaeological investigations are time consuming and inherently destructive. So far, we are aware of only one attempt to apply statistics and machine learning to remotely-sensed data in order to add time-depth to spatial data. Using temples at the well-known massive urban complex of Angkor in Cambodia as a case study, a predictive model was developed combining standard regression with novel machine learning methods to estimate temple foundation dates for undated Angkorian temples identified with remote sensing, including lidar. The model’s predictions were used to produce an historical population curve for Angkor and study urban expansion at this important ancient tropical urban centre. The approach, however, has certain limitations. Importantly, its handling of uncertainties leaves room for improvement, and like many machine learning approaches it is opaque regarding which predictor variables are most relevant. Here we describe a new study in which we investigated an alternative Bayesian regression approach applied to the same case study. We compare the two models in terms of their inner workings, results, and interpretive utility. We also use an updated database of Angkorian temples as the training dataset, allowing us to produce the most current estimate for temple foundations and historic spatiotemporal urban growth patterns at Angkor. Our results demonstrate that, in principle, predictive statistical and machine learning methods could be used to rapidly add chronological information to large lidar datasets and a Bayesian paradigm makes it possible to incorporate important uncertainties—especially chronological—into modelled temporal estimates.","container-title":"Scientific Reports","DOI":"10.1038/s41598-023-44875-0","ISSN":"2045-2322","issue":"1","journalAbbreviation":"Sci Rep","language":"en","license":"2023 The Author(s)","page":"17913","publisher":"Nature Publishing Group","source":"www.nature.com","title":"Bayesian regression versus machine learning for rapid age estimation of archaeological features identified with lidar at Angkor","volume":"13","author":[{"family":"Carleton","given":"W. Christopher"},{"family":"Klassen","given":"Sarah"},{"family":"Niles-Weed","given":"Jonathan"},{"family":"Evans","given":"Damian"},{"family":"Roberts","given":"Patrick"},{"family":"Groucutt","given":"Huw S."}],"issued":{"date-parts":[["2023",10,20]]}}}],"schema":"https://github.com/citation-style-language/schema/raw/master/csl-citation.json"} </w:instrText>
        <w:fldChar w:fldCharType="separate"/>
      </w:r>
      <w:r>
        <w:rPr>
          <w:rFonts w:ascii="Arial" w:hAnsi="Arial" w:cs="Arial"/>
          <w:sz w:val="21"/>
        </w:rPr>
        <w:t>(Carleton et al. 2023)</w:t>
      </w:r>
      <w:r>
        <w:rPr>
          <w:rFonts w:ascii="Arial" w:hAnsi="Arial" w:cs="Arial"/>
          <w:color w:val="000000" w:themeColor="text1"/>
          <w:sz w:val="21"/>
          <w:szCs w:val="21"/>
        </w:rPr>
        <w:fldChar w:fldCharType="end"/>
        <w:t xml:space="preserve">. This ability is especially advantageous in hilly urban settings, where significant epistemic uncertainty accompanies assessments of landslide susceptibility in data-poor contexts due to diverse and overlapping conditioning factors </w:t>
        <w:fldChar w:fldCharType="begin"/>
        <w:instrText xml:space="preserve"> ADDIN ZOTERO_ITEM CSL_CITATION {"citationID":"oxwrsFMZ","properties":{"formattedCitation":"(Chowdhury et al. 2023)","plainCitation":"(Chowdhury et al. 2023)","noteIndex":0},"citationItems":[{"id":112,"uris":["http://zotero.org/users/local/emosa1lm/items/XMLKD9BJ"],"itemData":{"id":112,"type":"article-journal","container-title":"Heliyon","DOI":"10.1016/j.heliyon.2023.e23424","ISSN":"2405-8440","issue":"1","PMID":"38163149","publisher":"Elsevier BV","title":"GIS-based landslide susceptibility mapping using logistic regression, random forest and decision and regression tree models in Chattogram District, Bangladesh","URL":"https://doi.org/10.1016/j.heliyon.2023.e23424","volume":"10","author":[{"family":"Chowdhury","given":"Md Sharafat"},{"family":"Rahman","given":"Md Naimur"},{"family":"Sheikh","given":"Md Sujon"},{"family":"Sayeid","given":"Md Abu"},{"family":"Mahmud","given":"Khandakar Hasan"},{"family":"Hafsa","given":"Bibi"}],"issued":{"date-parts":[["2023",12]]}}}],"schema":"https://github.com/citation-style-language/schema/raw/master/csl-citation.json"} </w:instrText>
        <w:fldChar w:fldCharType="separate"/>
      </w:r>
      <w:r>
        <w:rPr>
          <w:rFonts w:ascii="Arial" w:hAnsi="Arial" w:cs="Arial"/>
          <w:sz w:val="21"/>
        </w:rPr>
        <w:t>(Chowdhury et al. 2023)</w:t>
      </w:r>
      <w:r>
        <w:rPr>
          <w:rFonts w:ascii="Arial" w:hAnsi="Arial" w:cs="Arial"/>
          <w:color w:val="000000" w:themeColor="text1"/>
          <w:sz w:val="21"/>
          <w:szCs w:val="21"/>
        </w:rPr>
        <w:fldChar w:fldCharType="end"/>
        <w:t xml:space="preserve">. In addition, mitigation actions such as the reinforcement of slopes, improvement of drainage, or even relocation </w:t>
        <w:lastRenderedPageBreak/>
        <w:t xml:space="preserve">need to be informed not only by where landslides are likely to happen but also by how confident we are in these predictions </w:t>
        <w:fldChar w:fldCharType="begin"/>
        <w:instrText xml:space="preserve"> ADDIN ZOTERO_ITEM CSL_CITATION {"citationID":"KD1Us9S0","properties":{"formattedCitation":"(Pareek et al. 2024)","plainCitation":"(Pareek et al. 2024)","noteIndex":0},"citationItems":[{"id":126,"uris":["http://zotero.org/users/local/emosa1lm/items/BYMXKHHG"],"itemData":{"id":126,"type":"article-journal","abstract":"Abstract Landslide susceptibility maps serve as the basis for hazard and risk assessment, as well as risk-informed land use planning at various spatial scales. Researchers create these maps aiming to fulfil a variety of purposes, including infrastructure planning and restrictive land use zoning. These applications require accurate and specific information to fulfil these purposes, as decisions based on these maps have the potential to cost lives and cause infrastructure damage. The usability of the maps depends on whether they provide the required information and their accuracy to be utilized for the intended purpose. Therefore, assessing the usability and predictive accuracy of landslide susceptibility maps is of paramount importance. Typically, the accuracy of the maps is evaluated using the same landslide inventory that was used to create the map, which does not actually test the predictive ability of the maps in future situations. In this study, we briefly reviewed the purposes of the map creation using literature and stakeholder interviews and assessed the accuracy of three landslide susceptibility maps in a posterior manner. We generated a multi-temporal landslide event inventory after the creation dates of these landslide susceptibility maps. We devised a method to evaluate classified maps by making use of Unique Conditions Units (UCUs) to compare the posteriorly predicted susceptibility classes and the new landslide occurrences. Interviews with stakeholders revealed a disconnection between the aims set forth by map producers and the specific needs of the end users. Our posterior assessment shows that overall predictions of the maps provide plausible results; however, their interpretations for different use cases make them less likely to be used. When comparing the maps using UCUs, landslide densities overlap between the different susceptibility classes, indicating low predictive performance of the maps. Direct comparison of all maps shows a low agreement between susceptibility classes, which pinpoints the uncertainties in data and methods used to create different maps. This study highlights the need for purpose-oriented landslide susceptibility mapping and posterior assessment of the predictive capabilities of these maps aiming to fulfil respective purposes.","container-title":"Landslides","DOI":"10.1007/s10346-024-02389-4","ISSN":"1612-510X, 1612-5118","issue":"3","page":"655-670","publisher":"Springer Science+Business Media","title":"Analyzing the posterior predictive capability and usability of landslide susceptibility maps: a case of Kerala, India","volume":"22","author":[{"family":"Pareek","given":"Tanuj"},{"family":"Bhuyan","given":"Kushanav"},{"family":"Westen","given":"C. J.","dropping-particle":"van"},{"family":"Rajaneesh","given":"A."},{"family":"Sajinkumar","given":"K. S."},{"family":"Lombardo","given":"Luigi"}],"issued":{"date-parts":[["2024",10]]}}}],"schema":"https://github.com/citation-style-language/schema/raw/master/csl-citation.json"} </w:instrText>
        <w:fldChar w:fldCharType="separate"/>
      </w:r>
      <w:r>
        <w:rPr>
          <w:rFonts w:ascii="Arial" w:hAnsi="Arial" w:cs="Arial"/>
          <w:sz w:val="21"/>
        </w:rPr>
        <w:t>(Pareek et al. 2024)</w:t>
      </w:r>
      <w:r>
        <w:rPr>
          <w:rFonts w:ascii="Arial" w:hAnsi="Arial" w:cs="Arial"/>
          <w:color w:val="000000" w:themeColor="text1"/>
          <w:sz w:val="21"/>
          <w:szCs w:val="21"/>
        </w:rPr>
        <w:fldChar w:fldCharType="end"/>
        <w:t>.</w:t>
      </w:r>
    </w:p>
    <w:p w14:paraId="5C952753" w14:textId="587CF64E" w:rsidR="00F837DF" w:rsidRDefault="00F837DF" w:rsidP="00340959">
      <w:pPr>
        <w:pStyle w:val="Heading1"/>
        <w:spacing w:before="0" w:after="0" w:line="360" w:lineRule="auto"/>
        <w:jc w:val="both"/>
        <w:rPr>
          <w:rFonts w:ascii="Arial" w:hAnsi="Arial" w:cs="Arial"/>
          <w:color w:val="000000" w:themeColor="text1"/>
          <w:sz w:val="21"/>
          <w:szCs w:val="21"/>
        </w:rPr>
      </w:pPr>
      <w:r>
        <w:rPr>
          <w:rFonts w:ascii="Arial" w:hAnsi="Arial" w:cs="Arial"/>
          <w:color w:val="000000" w:themeColor="text1"/>
          <w:sz w:val="21"/>
          <w:szCs w:val="21"/>
        </w:rPr>
        <w:t xml:space="preserve">Addressing these methodological and practical gaps, this study proposes a </w:t>
      </w:r>
      <w:r>
        <w:rPr>
          <w:rFonts w:ascii="Arial" w:hAnsi="Arial" w:cs="Arial"/>
          <w:color w:val="000000" w:themeColor="text1"/>
          <w:sz w:val="21"/>
          <w:szCs w:val="21"/>
        </w:rPr>
        <w:t xml:space="preserve">reproducible, uncertainty-aware modeling framework for LSM on urban hillslopes in regions such as Chattogram, Bangladesh.</w:t>
      </w:r>
      <w:r>
        <w:rPr>
          <w:rFonts w:ascii="Arial" w:hAnsi="Arial" w:cs="Arial"/>
          <w:color w:val="FF0000"/>
          <w:sz w:val="21"/>
          <w:szCs w:val="21"/>
        </w:rPr>
        <w:t xml:space="preserve"> While the conditioning factor set in this study is comprehensive (14 predictors), the region remains data-limited regarding high-resolution, event-based temporal data (e.g., antecedent rainfall series or multi-temporal landslide inventories). Therefore, this study focuses strictly on spatial susceptibility rather than spatio-temporal hazard.</w:t>
      </w:r>
      <w:r>
        <w:rPr>
          <w:rFonts w:ascii="Arial" w:hAnsi="Arial" w:cs="Arial"/>
          <w:color w:val="000000" w:themeColor="text1"/>
          <w:sz w:val="21"/>
          <w:szCs w:val="21"/>
        </w:rPr>
        <w:t xml:space="preserve"> The framework incorporates spatial validation, probabilistic calibration assessment, and uncertainty quantification. Performance estimates (statistically robust and spatially realistic) were compared under repeated stratified cross-validation, spatial block cross-validation, and independent holdout testing for both deterministic and Bayesian classifiers. Model evaluation goes beyond measures of discrimination to include calibration metrics that assess how predicted probabilities relate to observed landslide occurrence rates. Although several algorithms are benchmarked under identical conditions, final deployment is limited to Bayesian classifiers that generate posterior predictive distributions and </w:t>
      </w:r>
      <w:r>
        <w:rPr>
          <w:rFonts w:ascii="Arial" w:hAnsi="Arial" w:cs="Arial"/>
          <w:color w:val="000000" w:themeColor="text1"/>
          <w:sz w:val="21"/>
          <w:szCs w:val="21"/>
        </w:rPr>
        <w:t xml:space="preserve">associated uncertainty surfaces.</w:t>
      </w:r>
      <w:r>
        <w:rPr>
          <w:rFonts w:ascii="Arial" w:hAnsi="Arial" w:cs="Arial"/>
          <w:color w:val="FF0000"/>
          <w:sz w:val="21"/>
          <w:szCs w:val="21"/>
        </w:rPr>
        <w:t xml:space="preserve"> </w:t>
      </w:r>
      <w:r>
        <w:rPr>
          <w:rFonts w:ascii="Arial" w:hAnsi="Arial" w:cs="Arial"/>
          <w:color w:val="000000" w:themeColor="text1"/>
          <w:sz w:val="21"/>
          <w:szCs w:val="21"/>
        </w:rPr>
        <w:t xml:space="preserve">This study</w:t>
      </w:r>
      <w:r>
        <w:rPr>
          <w:rFonts w:ascii="Arial" w:hAnsi="Arial" w:cs="Arial"/>
          <w:color w:val="000000" w:themeColor="text1"/>
          <w:sz w:val="21"/>
          <w:szCs w:val="21"/>
        </w:rPr>
        <w:t xml:space="preserve"> contributes to improving LSM practice for evidence-based intervention planning in data-scarce urban hill regions by integrating predictive accuracy, robust spatial validation, probabilistic classification, and explicit uncertainty representation.</w:t>
      </w:r>
    </w:p>
    <w:p w14:paraId="7ED189C0" w14:textId="77777777" w:rsidR="003C6790" w:rsidRPr="00340959" w:rsidRDefault="003C6790" w:rsidP="00340959">
      <w:pPr>
        <w:pStyle w:val="Heading1"/>
        <w:spacing w:before="0" w:after="0" w:line="360" w:lineRule="auto"/>
        <w:jc w:val="both"/>
        <w:rPr>
          <w:rFonts w:ascii="Arial" w:hAnsi="Arial" w:cs="Arial"/>
          <w:color w:val="000000" w:themeColor="text1"/>
          <w:sz w:val="21"/>
          <w:szCs w:val="21"/>
        </w:rPr>
      </w:pPr>
    </w:p>
    <w:p w14:paraId="64657884" w14:textId="6B2EEBE8" w:rsidR="005B28E8" w:rsidRPr="0025506D" w:rsidRDefault="00000000" w:rsidP="00340959">
      <w:pPr>
        <w:pStyle w:val="Heading1"/>
        <w:spacing w:before="0" w:after="0" w:line="360" w:lineRule="auto"/>
        <w:rPr>
          <w:rFonts w:ascii="Arial" w:hAnsi="Arial" w:cs="Arial"/>
          <w:b/>
          <w:bCs/>
          <w:color w:val="7030A0"/>
          <w:sz w:val="21"/>
          <w:szCs w:val="21"/>
        </w:rPr>
      </w:pPr>
      <w:r>
        <w:rPr>
          <w:rFonts w:ascii="Arial" w:hAnsi="Arial" w:cs="Arial"/>
          <w:b/>
          <w:bCs/>
          <w:color w:val="7030A0"/>
          <w:sz w:val="21"/>
          <w:szCs w:val="21"/>
        </w:rPr>
        <w:t>Study Area</w:t>
      </w:r>
    </w:p>
    <w:p w14:paraId="6DE6148A" w14:textId="06DD0AEF" w:rsidR="00F837DF"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study area is situated in the Chattogram Metropolitan Area (CMA), Bangladesh. CMA is located roughly between (22°06′N–22°34′N) latitude and (91°40′E–92°02′E) longitude, covering an area of about 775 km² </w:t>
        <w:fldChar w:fldCharType="begin"/>
        <w:instrText xml:space="preserve"> ADDIN ZOTERO_ITEM CSL_CITATION {"citationID":"EC2U1951","properties":{"formattedCitation":"(Chowdhury et al. 2023)","plainCitation":"(Chowdhury et al. 2023)","noteIndex":0},"citationItems":[{"id":112,"uris":["http://zotero.org/users/local/emosa1lm/items/XMLKD9BJ"],"itemData":{"id":112,"type":"article-journal","container-title":"Heliyon","DOI":"10.1016/j.heliyon.2023.e23424","ISSN":"2405-8440","issue":"1","PMID":"38163149","publisher":"Elsevier BV","title":"GIS-based landslide susceptibility mapping using logistic regression, random forest and decision and regression tree models in Chattogram District, Bangladesh","URL":"https://doi.org/10.1016/j.heliyon.2023.e23424","volume":"10","author":[{"family":"Chowdhury","given":"Md Sharafat"},{"family":"Rahman","given":"Md Naimur"},{"family":"Sheikh","given":"Md Sujon"},{"family":"Sayeid","given":"Md Abu"},{"family":"Mahmud","given":"Khandakar Hasan"},{"family":"Hafsa","given":"Bibi"}],"issued":{"date-parts":[["2023",12]]}}}],"schema":"https://github.com/citation-style-language/schema/raw/master/csl-citation.json"} </w:instrText>
        <w:fldChar w:fldCharType="separate"/>
      </w:r>
      <w:r>
        <w:rPr>
          <w:rFonts w:ascii="Arial" w:hAnsi="Arial" w:cs="Arial"/>
          <w:sz w:val="21"/>
        </w:rPr>
        <w:t>(Chowdhury et al. 2023)</w:t>
      </w:r>
      <w:r>
        <w:rPr>
          <w:rFonts w:ascii="Arial" w:hAnsi="Arial" w:cs="Arial"/>
          <w:color w:val="000000"/>
          <w:sz w:val="21"/>
          <w:szCs w:val="21"/>
        </w:rPr>
        <w:fldChar w:fldCharType="end"/>
        <w:t xml:space="preserve">. Within CMA, the study area covers a spatially continuous terrain covering Fatehpur Union and parts of several wards under Chattogram City Corporation (CCC) jurisdiction, as well as adjacent administrative areas associated with Bayezid Bostami, Khulshi, Kotwali, and Panchlaish thanas </w:t>
        <w:fldChar w:fldCharType="begin"/>
        <w:instrText xml:space="preserve"> ADDIN ZOTERO_ITEM CSL_CITATION {"citationID":"CAPXBPDO","properties":{"formattedCitation":"(Ahmed 2014)","plainCitation":"(Ahmed 2014)","noteIndex":0},"citationItems":[{"id":127,"uris":["http://zotero.org/users/local/emosa1lm/items/FTMSEJTB"],"itemData":{"id":127,"type":"article-journal","abstract":"Landslides are a common hazard in the highly urbanized hilly areas in Chittagong Metropolitan Area (CMA), Bangladesh. The main cause of the landslides is torrential rain in short period of time. This area experiences several landslides each year, resulting in casualties, property damage, and economic loss. Therefore, the primary objective of this research is to produce the Landslide Susceptibility Maps for CMA so that appropriate landslide disaster risk reduction strategies can be developed. In this research, three different Geographic Information System-based Multi-Criteria Decision Analysis methods—the Artificial Hierarchy Process (AHP), Weighted Linear Combination (WLC), and Ordered Weighted Average (OWA)—were applied to scientifically assess the landslide susceptible areas in CMA. Nine different thematic layers or landslide causative factors were considered. Then, seven different landslide susceptible scenarios were generated based on the three weighted overlay techniques. Later, the performances of the methods were validated using the area under the relative operating characteristic curves. The accuracies of the landslide susceptibility maps produced by the AHP, WLC_1, WLC_2, WLC_3, OWA_1, OWA_2, and OWA_3 methods were found as 89.80, 83.90, 91.10, 88.50, 90.40, 95.10, and 87.10 %, respectively. The verification results showed satisfactory agreement between the susceptibility maps produced and the existing data on the 20 historical landslide locations.","container-title":"Landslides","DOI":"10.1007/s10346-014-0521-x","ISSN":"1612-510X, 1612-5118","issue":"6","page":"1077-1095","publisher":"Springer Science+Business Media","title":"Landslide susceptibility mapping using multi-criteria evaluation techniques in Chittagong Metropolitan Area, Bangladesh","volume":"12","author":[{"family":"Ahmed","given":"Bayes"}],"issued":{"date-parts":[["2014",11]]}}}],"schema":"https://github.com/citation-style-language/schema/raw/master/csl-citation.json"} </w:instrText>
        <w:fldChar w:fldCharType="separate"/>
      </w:r>
      <w:r>
        <w:rPr>
          <w:rFonts w:ascii="Arial" w:hAnsi="Arial" w:cs="Arial"/>
          <w:sz w:val="21"/>
        </w:rPr>
        <w:t>(Ahmed 2014)</w:t>
      </w:r>
      <w:r>
        <w:rPr>
          <w:rFonts w:ascii="Arial" w:hAnsi="Arial" w:cs="Arial"/>
          <w:color w:val="000000"/>
          <w:sz w:val="21"/>
          <w:szCs w:val="21"/>
        </w:rPr>
        <w:fldChar w:fldCharType="end"/>
        <w:t>.</w:t>
      </w:r>
    </w:p>
    <w:p w14:paraId="2EAEEC91" w14:textId="501B2091" w:rsidR="00F837DF"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studied region is characterized by a typical geomorphological feature of the Chattogram metropolitan hill system, an amalgamated topography composed of varied elevations, moderate to steep slopes separated from each other by low-lying plains </w:t>
        <w:fldChar w:fldCharType="begin"/>
        <w:instrText xml:space="preserve"> ADDIN ZOTERO_ITEM CSL_CITATION {"citationID":"F43ElVOq","properties":{"formattedCitation":"(Islam et al. 2021)","plainCitation":"(Islam et al. 2021)","noteIndex":0},"citationItems":[{"id":128,"uris":["http://zotero.org/users/local/emosa1lm/items/9R58KAEW"],"itemData":{"id":128,"type":"article-journal","abstract":"In this study, an attempt is made to uncover and discuss the geo-environmental characteristics, triggers, and consequences of a landslide disaster in the Chattogram Hill Tracts (CHT) region of Bangladesh. The hilly areas are composed of Tertiary and Quaternary sediments which have been folded, faulted, uplifted and, then deeply dissected by rivers and other water bodies. This paper presents a case study on the geotechnical investigation and numerical modeling of the landslides of 13 June 2017. A field visit and soil sample collection, followed by laboratory testing were conducted at the landslide-afflicted areas. The study revealed that the soil type was an important factor behind landslides, while high precipitation, hill cutting, deforestation, and unplanned human settlements act as contributing factors behind the landslide disaster. Extensive analysis of the geotechnical facts has been carried out, and an attempt is made to pinpoint the cause. A finite element modeling was conducted using PLAXIS 2D to investigate the failure mechanism. The numerical modeling results have suggested that most of the hill slopes were susceptible to failure after heavy rainfall. A conclusion is drawn that the landslides were triggered by incessant rainfall infiltrating into the subsoil, which led to a notable increase in its degree of saturation and a simultaneous reduction in suction and shear strength of the soil.","container-title":"Geosciences","DOI":"10.3390/geosciences11080337","ISSN":"2076-3263","issue":"8","page":"337-337","publisher":"Multidisciplinary Digital Publishing Institute","title":"A Geotechnical Investigation of 2017 Chattogram Landslides","volume":"11","author":[{"family":"Islam","given":"Md Azijul"},{"family":"Islam","given":"Mohammad Shariful"},{"family":"Jeet","given":"Abhijeet Acharjee"}],"issued":{"date-parts":[["2021",8]]}}}],"schema":"https://github.com/citation-style-language/schema/raw/master/csl-citation.json"} </w:instrText>
        <w:fldChar w:fldCharType="separate"/>
      </w:r>
      <w:r>
        <w:rPr>
          <w:rFonts w:ascii="Arial" w:hAnsi="Arial" w:cs="Arial"/>
          <w:sz w:val="21"/>
        </w:rPr>
        <w:t>(Islam et al. 2021)</w:t>
      </w:r>
      <w:r>
        <w:rPr>
          <w:rFonts w:ascii="Arial" w:hAnsi="Arial" w:cs="Arial"/>
          <w:color w:val="000000"/>
          <w:sz w:val="21"/>
          <w:szCs w:val="21"/>
        </w:rPr>
        <w:fldChar w:fldCharType="end"/>
        <w:t xml:space="preserve">. Elevation can change significantly over short spatial distances, leading to localized areas of slope instability </w:t>
        <w:fldChar w:fldCharType="begin"/>
        <w:instrText xml:space="preserve"> ADDIN ZOTERO_ITEM CSL_CITATION {"citationID":"FUd16RKh","properties":{"formattedCitation":"(Song et al. 2023)","plainCitation":"(Song et al. 2023)","noteIndex":0},"citationItems":[{"id":129,"uris":["http://zotero.org/users/local/emosa1lm/items/9FUQBHMC"],"itemData":{"id":129,"type":"article-journal","abstract":"The Himalayan alpine canyon area is characterized by complex engineering geological conditions and abnormal internal and external dynamic geological processes. Severe slope disturbance disasters can be caused by engineering disturbances. In this study, field investigations and theoretical analyses were performed to determine the formation mechanism, spatial distribution law, and controlling factors of engineering disturbance disasters in the Himalayan alpine and canyon areas. A total of 396 engineering disturbance disasters were identified within the scope of the 2,800-km survey line. A geographic information system and mathematical statistical analysis were used to analyze the correlation between engineering disturbance disasters and factors such as the slope, slope aspect, elevation, peak ground acceleration, distance from fault, distance from river, rainfall, lithological changes, and historical earthquake effects. The statistical analysis indicates a good power-law and exponential distribution between the engineering disturbance disaster concentration and the slope and distance from the river, respectively. The slope and distance from the river are the two most important factors in determining the spatial distribution of engineering disturbance disasters; the other factors also influence the distribution to some extent. These factors affect the quality of the slope rock and soil mass, affecting slope stability. The main form of engineering disturbance in the study area is slope cutting. The direct result (increase in slope) and secondary result (decrease in rock mass quality caused by unloading rebound) of slope cutting are the most important factors inducing engineering disturbance disasters. Based on previous research results, factors in engineering disturbance disasters in alpine and canyon areas were evaluated, and the distribution of disturbance disasters along the China–Nepal Railway was predicted. The study area was divided into extremely high-(13.6%), high-(30.4%), medium-(34.1%), and low-susceptibility (22.0%) areas. The research results can provide a theoretical basis for prevention and treatment of engineering disturbance disasters in Himalayan alpine valley areas.","container-title":"Frontiers in Earth Science","DOI":"10.3389/feart.2022.1098631","ISSN":"2296-6463","publisher":"Frontiers Media","title":"Spatial distribution analysis and application of engineering disturbance disasters in the Himalayan alpine valley","URL":"https://doi.org/10.3389/feart.2022.1098631","volume":"10","author":[{"family":"Song","given":"Yewei"},{"family":"Guo","given":"Jie"},{"family":"Ma","given":"Fengshan"},{"family":"Liu","given":"Jia"},{"family":"Li","given":"Guang"}],"issued":{"date-parts":[["2023",1]]}}}],"schema":"https://github.com/citation-style-language/schema/raw/master/csl-citation.json"} </w:instrText>
        <w:fldChar w:fldCharType="separate"/>
      </w:r>
      <w:r>
        <w:rPr>
          <w:rFonts w:ascii="Arial" w:hAnsi="Arial" w:cs="Arial"/>
          <w:sz w:val="21"/>
        </w:rPr>
        <w:t>(Song et al. 2023)</w:t>
      </w:r>
      <w:r>
        <w:rPr>
          <w:rFonts w:ascii="Arial" w:hAnsi="Arial" w:cs="Arial"/>
          <w:color w:val="000000"/>
          <w:sz w:val="21"/>
          <w:szCs w:val="21"/>
        </w:rPr>
        <w:fldChar w:fldCharType="end"/>
        <w:t xml:space="preserve">. Natural relief has been modified due to rapid urban growth, hill cutting, road construction, and changing land use, which has increased landslide susceptibility </w:t>
        <w:fldChar w:fldCharType="begin"/>
        <w:instrText xml:space="preserve"> ADDIN ZOTERO_ITEM CSL_CITATION {"citationID":"uBXPblmK","properties":{"formattedCitation":"(Hen-Jones et al. 2025)","plainCitation":"(Hen-Jones et al. 2025)","noteIndex":0},"citationItems":[{"id":130,"uris":["http://zotero.org/users/local/emosa1lm/items/PVA2CTCE"],"itemData":{"id":130,"type":"article-journal","container-title":"Landslides","DOI":"10.1007/s10346-025-02608-6","ISSN":"1612-510X, 1612-5118","publisher":"Springer Science+Business Media","title":"Community-scale slope stability assessment of urbanisation scenarios in North Quito, Ecuador","URL":"https://doi.org/10.1007/s10346-025-02608-6","author":[{"family":"Hen-Jones","given":"R."},{"family":"Zapata","given":"C."},{"family":"Jiménez","given":"E."},{"family":"Holcombe","given":"Elizabeth"},{"family":"Vardanega","given":"Paul J."}],"issued":{"date-parts":[["2025",9]]}}}],"schema":"https://github.com/citation-style-language/schema/raw/master/csl-citation.json"} </w:instrText>
        <w:fldChar w:fldCharType="separate"/>
      </w:r>
      <w:r>
        <w:rPr>
          <w:rFonts w:ascii="Arial" w:hAnsi="Arial" w:cs="Arial"/>
          <w:sz w:val="21"/>
        </w:rPr>
        <w:t>(Hen-Jones et al. 2025)</w:t>
      </w:r>
      <w:r>
        <w:rPr>
          <w:rFonts w:ascii="Arial" w:hAnsi="Arial" w:cs="Arial"/>
          <w:color w:val="000000"/>
          <w:sz w:val="21"/>
          <w:szCs w:val="21"/>
        </w:rPr>
        <w:fldChar w:fldCharType="end"/>
        <w:t>.</w:t>
      </w:r>
    </w:p>
    <w:p w14:paraId="571AC9A2" w14:textId="240460D6" w:rsidR="005B28E8"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Regarding climatic conditions, the region falls in a tropical monsoon zone with high seasonal rainfall during the monsoon period (June–September) </w:t>
        <w:fldChar w:fldCharType="begin"/>
        <w:instrText xml:space="preserve"> ADDIN ZOTERO_ITEM CSL_CITATION {"citationID":"WcGC696a","properties":{"formattedCitation":"(Stacey et al. 2023)","plainCitation":"(Stacey et al. 2023)","noteIndex":0},"citationItems":[{"id":362,"uris":["http://zotero.org/users/local/emosa1lm/items/2AZ7KXUE"],"itemData":{"id":362,"type":"article-journal","abstract":"The South Asia Seasonal Climate Outlook Forum (SASCOF) issues seasonal tercile precipitation forecasts to provide advance warning of anomalously dry or wet monsoon seasons in South Asia. To increase objectivity of the SASCOF seasonal outlook, the World Meteorological Organisation recommends using a multi-model ensemble combining the most skilful dynamical seasonal models for the region. We assess the skill of 12 dynamical models at forecasting seasonal precipitation totals for 1993–2016 for the southwest (June–July–August–September) and northeast (October–November–December) monsoon seasons at regional and national levels for Afghanistan, Bangladesh, Nepal, and Pakistan, using identical forecast periods, hindcast initialisation months and domain used at the SASCOF. All models demonstrate positive skill when regionally-averaged, especially for the southwest monsoon season, noting considerable spatial differences. Models exhibit highest skill where correlation between observed precipitation and El Niño Southern Oscillation (ENSO) is highest, e.g., central/north India and Nepal during the southwest monsoon, and Afghanistan and north Pakistan during the northeast monsoon. Model skill is especially low in northwest India and northeast of South Asia during the southwest monsoon, e.g., Bangladesh (despite high precipitation totals) coinciding with a weak ENSO teleconnection. The Indian Ocean Dipole teleconnection is less pronounced in the southwest monsoon season, whereas the spatial pattern for the northeast monsoon closely resembles that of ENSO. Due to high variability in model skill, we recommend basing the SASCOF forecast on a multi-model ensemble of all models but discounting poorly performing models at the national level.","container-title":"Climate Dynamics","DOI":"10.1007/s00382-023-06770-2","ISSN":"1432-0894","issue":"7","journalAbbreviation":"Clim Dyn","language":"en","page":"3857-3874","source":"Springer Link","title":"Diverse skill of seasonal dynamical models in forecasting South Asian monsoon precipitation and the influence of ENSO and IOD","volume":"61","author":[{"family":"Stacey","given":"J."},{"family":"Salmon","given":"K."},{"family":"Janes","given":"T."},{"family":"Colman","given":"A."},{"family":"Colledge","given":"F."},{"family":"Bett","given":"P. E."},{"family":"Srinivasan","given":"G."},{"family":"Pai","given":"D. S."}],"issued":{"date-parts":[["2023",10,1]]}}}],"schema":"https://github.com/citation-style-language/schema/raw/master/csl-citation.json"} </w:instrText>
        <w:fldChar w:fldCharType="separate"/>
      </w:r>
      <w:r>
        <w:rPr>
          <w:rFonts w:ascii="Arial" w:hAnsi="Arial" w:cs="Arial"/>
          <w:sz w:val="21"/>
        </w:rPr>
        <w:t>(Stacey et al. 2023)</w:t>
      </w:r>
      <w:r>
        <w:rPr>
          <w:rFonts w:ascii="Arial" w:hAnsi="Arial" w:cs="Arial"/>
          <w:color w:val="000000"/>
          <w:sz w:val="21"/>
          <w:szCs w:val="21"/>
        </w:rPr>
        <w:fldChar w:fldCharType="end"/>
        <w:t xml:space="preserve">. Heavy continuous rain increases soil moisture, decreases shear strength, and raises the risk of landslides </w:t>
        <w:fldChar w:fldCharType="begin"/>
        <w:instrText xml:space="preserve"> ADDIN ZOTERO_ITEM CSL_CITATION {"citationID":"HStWnlay","properties":{"formattedCitation":"(Biswas et al. 2026)","plainCitation":"(Biswas et al. 2026)","noteIndex":0},"citationItems":[{"id":120,"uris":["http://zotero.org/users/local/emosa1lm/items/UL5PCFR8"],"itemData":{"id":120,"type":"article-journal","abstract":"Landslides pose a persistent threat to life, livelihoods, and critical infrastructure in the Chittagong Hill Tracts (CHT) of Bangladesh, a region marked by steep slopes, intense monsoonal rainfall, and increasing anthropogenic pressure. This study presents a comprehensive landslide susceptibility assessment for the monsoon-dominated Chittagong Hill Tracts (CHT), addressing data scarcity challenges. An ensemble model integrating Convolutional Neural Networks, Deep Neural Networks, and Long Short-Term Memory networks was developed using ten standardized 30-meter resolution geo-environmental variables. A balanced dataset of 5,082 samples was generated through spatially stratified random sampling. Spatial-block 10-fold cross-validation demonstrated strong model performance with an F1-score of 0.8923 and an AUC of 0.9558, outperforming individual models. Key drivers identified include annual rainfall and proximity to fault lines, highlighting the role of hydro-tectonic factors. Additionally, a Road Vulnerability Index based on six physical parameters revealed that 13% of the regional road network is highly vulnerable to landslides. These findings offer high-resolution, interpretable susceptibility and infrastructure risk maps to support disaster risk reduction strategies, contributing to Sustainable Development Goals 11 and 13. This framework advances understanding of landslide hazards and infrastructure vulnerability in data-limited mountainous regions.","container-title":"Geomatics Natural Hazards and Risk","DOI":"10.1080/19475705.2026.2634207","ISSN":"1947-5705, 1947-5713","issue":"1","publisher":"Taylor &amp; Francis","title":"Ensemble deep learning framework for landslide susceptibility mapping and road vulnerability index development in the Chittagong Hill Tracts, Bangladesh","URL":"https://doi.org/10.1080/19475705.2026.2634207","volume":"17","author":[{"family":"Biswas","given":"Niloy"},{"family":"Islam","given":"K. M. Ashraful"},{"family":"Efty","given":"Eftekher Ahammed"},{"family":"Das","given":"S."},{"family":"Pathan","given":"Abrar Muhtasim"},{"family":"Ferdaus","given":"Md Rayhanul"}],"issued":{"date-parts":[["2026",2]]}}}],"schema":"https://github.com/citation-style-language/schema/raw/master/csl-citation.json"} </w:instrText>
        <w:fldChar w:fldCharType="separate"/>
      </w:r>
      <w:r>
        <w:rPr>
          <w:rFonts w:ascii="Arial" w:hAnsi="Arial" w:cs="Arial"/>
          <w:sz w:val="21"/>
        </w:rPr>
        <w:t>(Biswas et al. 2026)</w:t>
      </w:r>
      <w:r>
        <w:rPr>
          <w:rFonts w:ascii="Arial" w:hAnsi="Arial" w:cs="Arial"/>
          <w:color w:val="000000"/>
          <w:sz w:val="21"/>
          <w:szCs w:val="21"/>
        </w:rPr>
        <w:fldChar w:fldCharType="end"/>
        <w:t xml:space="preserve">. The area studied was selected due to the documented occurrence of landslides, heterogeneous terrain, and pressures from urban infrastructure and building construction development. These attributes render it an ideal case for probabilistic landslide-susceptibility modeling and subsequent infrastructure-vulnerability assessment, employing geospatial and Bayesian machine-learning techniques. The location map is shown in Figure 1. </w:t>
      </w:r>
    </w:p>
    <w:p w14:paraId="39B632A7" w14:textId="77777777" w:rsidR="005B28E8" w:rsidRPr="00340959" w:rsidRDefault="005B28E8" w:rsidP="00340959">
      <w:pPr>
        <w:spacing w:before="0" w:after="0" w:line="360" w:lineRule="auto"/>
        <w:jc w:val="both"/>
        <w:rPr>
          <w:rFonts w:ascii="Arial" w:hAnsi="Arial" w:cs="Arial"/>
          <w:sz w:val="21"/>
          <w:szCs w:val="21"/>
        </w:rPr>
      </w:pPr>
    </w:p>
    <w:p w14:paraId="1DC2129A" w14:textId="77777777" w:rsidR="005B28E8" w:rsidRPr="00340959" w:rsidRDefault="00000000" w:rsidP="00DA73E5">
      <w:pPr>
        <w:spacing w:before="0" w:after="0" w:line="360" w:lineRule="auto"/>
        <w:jc w:val="center"/>
        <w:rPr>
          <w:rFonts w:ascii="Arial" w:hAnsi="Arial" w:cs="Arial"/>
          <w:sz w:val="21"/>
          <w:szCs w:val="21"/>
        </w:rPr>
      </w:pPr>
      <w:r>
        <w:rPr>
          <w:rFonts w:ascii="Arial" w:hAnsi="Arial" w:cs="Arial"/>
          <w:noProof/>
          <w:sz w:val="21"/>
          <w:szCs w:val="21"/>
        </w:rPr>
        <w:lastRenderedPageBreak/>
        <w:drawing>
          <wp:inline distT="0" distB="0" distL="0" distR="0" wp14:anchorId="015EE3C8" wp14:editId="6AD7D742">
            <wp:extent cx="5694218" cy="4397766"/>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94728" cy="4398160"/>
                    </a:xfrm>
                    <a:prstGeom prst="rect">
                      <a:avLst/>
                    </a:prstGeom>
                  </pic:spPr>
                </pic:pic>
              </a:graphicData>
            </a:graphic>
          </wp:inline>
        </w:drawing>
      </w:r>
    </w:p>
    <w:p w14:paraId="0D3CCF6F" w14:textId="373B2EA1" w:rsidR="000152B3" w:rsidRPr="00340959" w:rsidRDefault="00000000" w:rsidP="00340959">
      <w:pPr>
        <w:spacing w:before="0" w:after="0" w:line="360" w:lineRule="auto"/>
        <w:jc w:val="center"/>
        <w:rPr>
          <w:rFonts w:ascii="Arial" w:hAnsi="Arial" w:cs="Arial"/>
          <w:i/>
          <w:iCs/>
          <w:color w:val="000000"/>
          <w:sz w:val="21"/>
          <w:szCs w:val="21"/>
        </w:rPr>
      </w:pPr>
      <w:r>
        <w:rPr>
          <w:rFonts w:ascii="Arial" w:hAnsi="Arial" w:cs="Arial"/>
          <w:i/>
          <w:iCs/>
          <w:color w:val="000000"/>
          <w:sz w:val="21"/>
          <w:szCs w:val="21"/>
        </w:rPr>
        <w:t xml:space="preserve">Figure 1: Study Area with Landslide Inventory Points</w:t>
      </w:r>
    </w:p>
    <w:p w14:paraId="3A0DB604" w14:textId="77777777" w:rsidR="000152B3" w:rsidRPr="00340959" w:rsidRDefault="000152B3" w:rsidP="00340959">
      <w:pPr>
        <w:spacing w:before="0" w:after="0" w:line="360" w:lineRule="auto"/>
        <w:jc w:val="both"/>
        <w:rPr>
          <w:rFonts w:ascii="Arial" w:hAnsi="Arial" w:cs="Arial"/>
          <w:b/>
          <w:bCs/>
          <w:sz w:val="21"/>
          <w:szCs w:val="21"/>
        </w:rPr>
      </w:pPr>
    </w:p>
    <w:p w14:paraId="5BA37322" w14:textId="67740C15" w:rsidR="005B28E8" w:rsidRPr="004D3B85" w:rsidRDefault="00000000" w:rsidP="00340959">
      <w:pPr>
        <w:pStyle w:val="Heading2"/>
        <w:spacing w:before="0" w:after="0" w:line="360" w:lineRule="auto"/>
        <w:rPr>
          <w:rFonts w:ascii="Arial" w:hAnsi="Arial" w:cs="Arial"/>
          <w:b/>
          <w:bCs/>
          <w:color w:val="7030A0"/>
          <w:sz w:val="21"/>
          <w:szCs w:val="21"/>
        </w:rPr>
      </w:pPr>
      <w:r>
        <w:rPr>
          <w:rFonts w:ascii="Arial" w:hAnsi="Arial" w:cs="Arial"/>
          <w:b/>
          <w:bCs/>
          <w:color w:val="7030A0"/>
          <w:sz w:val="21"/>
          <w:szCs w:val="21"/>
        </w:rPr>
        <w:t xml:space="preserve">Landslide Inventory &amp; Conditioning Factors</w:t>
      </w:r>
    </w:p>
    <w:p>
      <w:pPr>
        <w:pStyle w:val="Heading2"/>
        <w:spacing w:before="0" w:after="0" w:line="360" w:lineRule="auto"/>
        <w:jc w:val="both"/>
        <w:rPr>
          <w:rFonts w:ascii="Arial" w:hAnsi="Arial" w:cs="Arial"/>
          <w:b/>
          <w:bCs/>
          <w:sz w:val="21"/>
          <w:szCs w:val="21"/>
        </w:rPr>
      </w:pPr>
      <w:r>
        <w:rPr>
          <w:rFonts w:ascii="Arial" w:hAnsi="Arial" w:cs="Arial"/>
          <w:b/>
          <w:bCs/>
          <w:color w:val="FF0000"/>
          <w:sz w:val="21"/>
          <w:szCs w:val="21"/>
        </w:rPr>
        <w:t xml:space="preserve">Landslide Inventory Processing and Quality Control</w:t>
      </w:r>
    </w:p>
    <w:p w14:paraId="617A651B" w14:textId="6F3573E3" w:rsidR="000152B3"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landslide inventory map is the primary step of this research. The historical landslide locations were collected from several credible datasets, such as NASA’s global landslide catalogue dataset, the Center for Environmental and Geographic Information Services (CEGIS), the Bangladesh Army, and some related literature records </w:t>
        <w:fldChar w:fldCharType="begin"/>
        <w:instrText xml:space="preserve"> ADDIN ZOTERO_ITEM CSL_CITATION {"citationID":"Pff71eMs","properties":{"formattedCitation":"(Rabby and Li 2019)","plainCitation":"(Rabby and Li 2019)","noteIndex":0},"citationItems":[{"id":132,"uris":["http://zotero.org/users/local/emosa1lm/items/CF7RY2CF"],"itemData":{"id":132,"type":"article-journal","abstract":"Landslides are a frequent natural hazard in Chittagong Hilly Areas (CHA), Bangladesh, which causes the loss of lives and damage to the economy. Despite this, an official landslide inventory is still lacking in this area. In this paper, we present a landslide inventory of this area prepared using the visual interpretation of Google Earth images (Google Earth Mapping), field mapping, and a literature search. We mapped 730 landslides that occurred from January 2001 to March 2017. Different landslide attributes including type, size, distribution, state, water content, and triggers are presented in the dataset. In this area, slide and flow were the two dominant types of landslides. Out of the five districts (Bandarban, Chittagong, Cox’s Bazar, Khagrachari, and Rangamati), most (55%) of the landslides occurred in the Chittagong and Rangamati districts. About 45% of the landslides were small (&amp;lt;100 m2) in size, while the maximum size of the detected landslides was 85202 m2. This dataset will help to understand the characteristics of landslides in CHA and provide useful guidance for policy implementation.","container-title":"Data","DOI":"10.3390/data5010004","ISSN":"2306-5729","issue":"1","page":"4-4","publisher":"Multidisciplinary Digital Publishing Institute","title":"Landslide Inventory (2001–2017) of Chittagong Hilly Areas, Bangladesh","volume":"5","author":[{"family":"Rabby","given":"Yasin Wahid"},{"family":"Li","given":"Yingkui"}],"issued":{"date-parts":[["2019",12]]}}}],"schema":"https://github.com/citation-style-language/schema/raw/master/csl-citation.json"} </w:instrText>
        <w:fldChar w:fldCharType="separate"/>
      </w:r>
      <w:r>
        <w:rPr>
          <w:rFonts w:ascii="Arial" w:hAnsi="Arial" w:cs="Arial"/>
          <w:sz w:val="21"/>
        </w:rPr>
        <w:t>(Rabby and Li 2019)</w:t>
      </w:r>
      <w:r>
        <w:rPr>
          <w:rFonts w:ascii="Arial" w:hAnsi="Arial" w:cs="Arial"/>
          <w:color w:val="000000"/>
          <w:sz w:val="21"/>
          <w:szCs w:val="21"/>
        </w:rPr>
        <w:fldChar w:fldCharType="end"/>
        <w:t xml:space="preserve">. Overall, 155 validated landslide points from 2001 to 2022 were identified in the study area, spanning a range of topographical and geomorphological conditions. </w:t>
      </w:r>
      <w:r>
        <w:rPr>
          <w:rFonts w:ascii="Arial" w:hAnsi="Arial" w:cs="Arial"/>
          <w:color w:val="FF0000"/>
          <w:sz w:val="21"/>
          <w:szCs w:val="21"/>
        </w:rPr>
        <w:t xml:space="preserve">These records underwent a strict quality-control workflow. First, each point was cross-referenced against high-resolution satellite imagery and 30 m SRTM elevation data to confirm that the recorded location corresponded to observable slope disturbance features. Second, records sharing identical geographic coordinates (within a 10 m tolerance) were consolidated to a single representative point to prevent spatial pseudo-replication. Third, it is important to acknowledge that specific landslide volumes or areal extents (sizes) were not consistently recorded in the historical source catalogs; therefore, size-based stratification of the models was not feasible. The resulting inventory includes a range of failure mechanisms, from shallow rainfall-triggered slides to anthropogenically induced slope collapses. While mixing these may introduce heterogeneity in the conditioning factor–landslide relationship, separating them was constrained by the absence of systematic field-based classification in the source records. </w:t>
      </w:r>
      <w:r>
        <w:rPr>
          <w:rFonts w:ascii="Arial" w:hAnsi="Arial" w:cs="Arial"/>
          <w:color w:val="000000"/>
          <w:sz w:val="21"/>
          <w:szCs w:val="21"/>
        </w:rPr>
        <w:t xml:space="preserve">These sites were treated as point features</w:t>
      </w:r>
      <w:r>
        <w:rPr>
          <w:rFonts w:ascii="Arial" w:hAnsi="Arial" w:cs="Arial"/>
          <w:color w:val="000000"/>
          <w:sz w:val="21"/>
          <w:szCs w:val="21"/>
        </w:rPr>
        <w:t xml:space="preserve"> in a GIS environment to create an overall landslide inventory map for susceptibility modeling. The landslide points are marked in Figure 1.  </w:t>
      </w:r>
    </w:p>
    <w:p>
      <w:pPr>
        <w:pStyle w:val="Heading2"/>
        <w:spacing w:before="0" w:after="0" w:line="360" w:lineRule="auto"/>
        <w:jc w:val="both"/>
        <w:rPr>
          <w:rFonts w:ascii="Arial" w:hAnsi="Arial" w:cs="Arial"/>
          <w:b/>
          <w:bCs/>
          <w:sz w:val="21"/>
          <w:szCs w:val="21"/>
        </w:rPr>
      </w:pPr>
      <w:r>
        <w:rPr>
          <w:rFonts w:ascii="Arial" w:hAnsi="Arial" w:cs="Arial"/>
          <w:b/>
          <w:bCs/>
          <w:color w:val="FF0000"/>
          <w:sz w:val="21"/>
          <w:szCs w:val="21"/>
        </w:rPr>
        <w:t xml:space="preserve">Non-Landslide (Negative) Sampling</w:t>
      </w:r>
    </w:p>
    <w:p>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In addition to those recorded</w:t>
      </w:r>
      <w:r>
        <w:rPr>
          <w:rFonts w:ascii="Arial" w:hAnsi="Arial" w:cs="Arial"/>
          <w:color w:val="000000"/>
          <w:sz w:val="21"/>
          <w:szCs w:val="21"/>
        </w:rPr>
        <w:t xml:space="preserve"> at the landslide points, around 200 non-landslide alternatives were randomly synthesized from stable places devoid of any historical landslide incidents </w:t>
        <w:fldChar w:fldCharType="begin"/>
        <w:instrText xml:space="preserve"> ADDIN ZOTERO_ITEM CSL_CITATION {"citationID":"EBUXfjJX","properties":{"formattedCitation":"(Xia et al. 2023)","plainCitation":"(Xia et al. 2023)","noteIndex":0},"citationItems":[{"id":133,"uris":["http://zotero.org/users/local/emosa1lm/items/RTDFKI57"],"itemData":{"id":133,"type":"article-journal","abstract":"Introduction: Landslide is one of the most widespread geohazards around the world. Therefore, it is necessary and meaningful to map regional landslide susceptibility for landslide mitigation. In this research, landslide susceptibility maps were produced by four models, namely, certainty factors (CF), naive Bayes (NB), J48 decision tree (J48), and multilayer perceptron (MLP) models. Methods: In the first step, 328 landslides were identified via historical data, interpretation of remote sensing images, and field investigation, and they were divided into two subsets that were assigned different uses: 70% subset for training and 30% subset for validating. Then, twelve conditioning factors were employed, namely, altitude, slope angle, slope aspect, plan curvature, profile curvature, TWI, NDVI, distance to rivers, distance to roads, land use, soil, and lithology. Later, the importance of each conditioning factor was analyzed by average merit (AM) values, and the relationship between landslide occurrence and various factors was evaluated using the certainty factor (CF) approach. In the next step, the landslide susceptibility maps were produced based on four models, and the effect of the four models were quantitatively compared by receiver operating characteristic (ROC) curves, area under curve (AUC) values, and non-parametric tests. Results: The results demonstrated that all the four models can reasonably assess landslide susceptibility. Of these four models, the CF model has the best predictive performance for the training (AUC=0.901) and validating data (AUC=0.892). Discussion: The proposed approach is an innovative method that may also help other scientists to develop landslide susceptibility maps in other areas and that could be used for geo-environmental problems besides natural hazard assessments.","container-title":"Frontiers in Earth Science","DOI":"10.3389/feart.2023.1187384","ISSN":"2296-6463","publisher":"Frontiers Media","title":"GIS-based landslide susceptibility modeling using data mining techniques","URL":"https://doi.org/10.3389/feart.2023.1187384","volume":"11","author":[{"family":"Xia","given":"Liheng"},{"family":"Shen","given":"Jianglong"},{"family":"Zhang","given":"Tingyu"},{"family":"Dang","given":"Guangpu"},{"family":"Wang","given":"Tao"}],"issued":{"date-parts":[["2023",6]]}}}],"schema":"https://github.com/citation-style-language/schema/raw/master/csl-citation.json"} </w:instrText>
        <w:fldChar w:fldCharType="separate"/>
      </w:r>
      <w:r>
        <w:rPr>
          <w:rFonts w:ascii="Arial" w:hAnsi="Arial" w:cs="Arial"/>
          <w:sz w:val="21"/>
        </w:rPr>
        <w:t>(Xia et al. 2023)</w:t>
      </w:r>
      <w:r>
        <w:rPr>
          <w:rFonts w:ascii="Arial" w:hAnsi="Arial" w:cs="Arial"/>
          <w:color w:val="000000"/>
          <w:sz w:val="21"/>
          <w:szCs w:val="21"/>
        </w:rPr>
        <w:fldChar w:fldCharType="end"/>
        <w:t>.</w:t>
      </w:r>
      <w:r>
        <w:rPr>
          <w:rFonts w:ascii="Arial" w:hAnsi="Arial" w:cs="Arial"/>
          <w:color w:val="FF0000"/>
          <w:sz w:val="21"/>
          <w:szCs w:val="21"/>
        </w:rPr>
        <w:t xml:space="preserve"> To ensure the robustness of the absence class, strict geomorphic criteria were applied: (i) a minimum spatial exclusion buffer of 500 m from any known landslide point was enforced to reduce the risk of labeling marginally unstable terrain as stable; (ii) a geomorphic stability preference was established by restricting points to terrain with low slope gradients (&lt; 10°) and stable land cover without visible recent mass movement; and (iii) points were broadly distributed across the full study area extent.</w:t>
      </w:r>
    </w:p>
    <w:p w14:paraId="19AA1DB1" w14:textId="2700996E" w:rsidR="004976F9"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Based on literature review and data availability, fourteen conditioning factors representing topographic (slope, aspect, elevation), hydrological (drainage density), environmental (land use/land cover), proximity (distance to road, distance to river), and soil-related factors were selected, as given in Table-1. All raster layers were resampled to a consistent 30-m spatial resolution for data analysis </w:t>
        <w:fldChar w:fldCharType="begin"/>
        <w:instrText xml:space="preserve"> ADDIN ZOTERO_ITEM CSL_CITATION {"citationID":"zY4Zk0PW","properties":{"formattedCitation":"(Adnan et al. 2020)","plainCitation":"(Adnan et al. 2020)","noteIndex":0},"citationItems":[{"id":115,"uris":["http://zotero.org/users/local/emosa1lm/items/MRDN5S6U"],"itemData":{"id":115,"type":"article-journal","abstract":"Despite yielding considerable degrees of accuracy in landslide predictions, the outcomes of different landslide susceptibility models are prone to spatial disagreement; and therefore, uncertainties. Uncertainties in the results of various landslide susceptibility models create challenges in selecting the most suitable method to manage this complex natural phenomenon. This study aimed to propose an approach to reduce uncertainties in landslide prediction, diagnosing spatial agreement in machine learning-based landslide susceptibility maps. It first developed landslide susceptibility maps of Cox’s Bazar district of Bangladesh, applying four machine learning algorithms: K-Nearest Neighbor (KNN), Multi-Layer Perceptron (MLP), Random Forest (RF), and Support Vector Machine (SVM), featuring hyperparameter optimization of 12 landslide conditioning factors. The results of all the four models yielded very high prediction accuracy, with the area under the curve (AUC) values range between 0.93 to 0.96. The assessment of spatial agreement of landslide predictions showed that the pixel-wise correlation coefficients of landslide probability between various models range from 0.69 to 0.85, indicating the uncertainty in predicted landslides by various models, despite their considerable prediction accuracy. The uncertainty was addressed by establishing a Logistic Regression (LR) model, incorporating the binary landslide inventory data as the dependent variable and the results of the four landslide susceptibility models as independent variables. The outcomes indicated that the RF model had the highest influence in predicting the observed landslide locations, followed by the MLP, SVM, and KNN models. Finally, a combined landslide susceptibility map was developed by integrating the results of the four machine learning-based landslide predictions. The combined map resulted in better spatial agreement (correlation coefficients range between 0.88 and 0.92) and greater prediction accuracy (0.97) compared to the individual models. The modelling approach followed in this study would be useful in minimizing uncertainties of various methods and improving landslide predictions.","container-title":"Remote Sensing","DOI":"10.3390/rs12203347","ISSN":"2072-4292","issue":"20","page":"3347-3347","publisher":"Multidisciplinary Digital Publishing Institute","title":"Improving Spatial Agreement in Machine Learning-Based Landslide Susceptibility Mapping","volume":"12","author":[{"family":"Adnan","given":"Mohammed Sarfaraz Gani"},{"family":"Rahman","given":"Md Salman"},{"family":"Ahmed","given":"Nahian"},{"family":"Ahmed","given":"Bayes"},{"family":"Rabbi","given":"Md Fazleh"},{"family":"Rahman","given":"Rashedur M."}],"issued":{"date-parts":[["2020",10]]}}}],"schema":"https://github.com/citation-style-language/schema/raw/master/csl-citation.json"} </w:instrText>
        <w:fldChar w:fldCharType="separate"/>
      </w:r>
      <w:r>
        <w:rPr>
          <w:rFonts w:ascii="Arial" w:hAnsi="Arial" w:cs="Arial"/>
          <w:sz w:val="21"/>
        </w:rPr>
        <w:t>(Adnan et al. 2020)</w:t>
      </w:r>
      <w:r>
        <w:rPr>
          <w:rFonts w:ascii="Arial" w:hAnsi="Arial" w:cs="Arial"/>
          <w:color w:val="000000"/>
          <w:sz w:val="21"/>
          <w:szCs w:val="21"/>
        </w:rPr>
        <w:fldChar w:fldCharType="end"/>
        <w:t xml:space="preserve">. Topographic derivatives, including slope, aspect, curvature, SPI, TWI, and TRI, were extracted from the 30 m SRTM DEM </w:t>
        <w:fldChar w:fldCharType="begin"/>
        <w:instrText xml:space="preserve"> ADDIN ZOTERO_ITEM CSL_CITATION {"citationID":"1oIy7X58","properties":{"formattedCitation":"(Murad et al. 2025)","plainCitation":"(Murad et al. 2025)","noteIndex":0},"citationItems":[{"id":382,"uris":["http://zotero.org/users/local/emosa1lm/items/AV42XUJ8"],"itemData":{"id":382,"type":"paper-conference","abstract":"The Chittagong Hill Tracts of southeastern Bangladesh, including the districts of Chittagong, Rangamati, Bandarban, Cox’s Bazar, and Khagrachari, are acutely vulnerable to landslides due to their rugged topography, intense precipitation, and anthropogenic disturbances such as deforestation and unregulated hill cutting. To address the pressing need for accurate geospatial data in risk mitigation and urban planning, this study develops a comprehensive landslide inventory map encompassing 1,005 documented landslide occurrences. The dataset integrates inputs from NASA’s global landslide inventory, peer-reviewed literature, field reports, and UAV drone surveys. Employing Getis-Ord Gi* within a GIS environment, the analysis delineates landslide hotspots and cold spots, thereby revealing critical spatial heterogeneity in landslide distribution. These results show the visual distribution of landslide inventory data and which area to focus on for the field survey to collect more landslide inventory points. These outputs are essential for enhancing disaster risk reduction strategies, informing land-use regulations, and fostering resilient infrastructure planning in this high-risk region of Bangladesh. While the study underscores the value of multi-source data aggregation, it also acknowledges inherent limitations such as discrepancies in data resolution and challenges associated with dynamic urban land use. Despite these constraints, the research contributes to the geohazard knowledge base. It serves as a pivotal resource for stakeholders involved in disaster risk reduction and sustainable land management in the CHT.","container-title":"Proceedings of International Conference on Civil Engineering Research &amp; Innovations","event-title":"International Conference on Civil Engineering Research &amp; Innovations (ICCEI 2025)","language":"en","source":"Zotero","title":"Comprehensive Landslide Inventory and Hotspot Analysis in the Chittagong Hill Tracts of Southeastern Bangladesh","author":[{"family":"Murad","given":"Golam"},{"family":"Nawar","given":"Nawrin"},{"family":"Ashrafi","given":"Hamim"},{"family":"Gupta","given":"Debajit Das"},{"family":"Banu","given":"Mukta"},{"family":"Rahman","given":"Aftabur"}],"issued":{"date-parts":[["2025"]]}}}],"schema":"https://github.com/citation-style-language/schema/raw/master/csl-citation.json"} </w:instrText>
        <w:fldChar w:fldCharType="separate"/>
      </w:r>
      <w:r>
        <w:rPr>
          <w:rFonts w:ascii="Arial" w:hAnsi="Arial" w:cs="Arial"/>
          <w:sz w:val="21"/>
        </w:rPr>
        <w:t>(Murad et al. 2025)</w:t>
      </w:r>
      <w:r>
        <w:rPr>
          <w:rFonts w:ascii="Arial" w:hAnsi="Arial" w:cs="Arial"/>
          <w:color w:val="000000"/>
          <w:sz w:val="21"/>
          <w:szCs w:val="21"/>
        </w:rPr>
        <w:fldChar w:fldCharType="end"/>
        <w:t xml:space="preserve">. Hydrological and proximity-related variables were generated from DEM-based drainage networks and OpenStreetMap road data </w:t>
        <w:fldChar w:fldCharType="begin"/>
        <w:instrText xml:space="preserve"> ADDIN ZOTERO_ITEM CSL_CITATION {"citationID":"mkVoCWK2","properties":{"formattedCitation":"(Tai et al. 2020)","plainCitation":"(Tai et al. 2020)","noteIndex":0},"citationItems":[{"id":135,"uris":["http://zotero.org/users/local/emosa1lm/items/69JFK8YG"],"itemData":{"id":135,"type":"article-journal","abstract":"Abstract Prediction of ecosystem responses to a changing climate is challenging at the landscape to regional scale, in part because topography creates various habitats and influences ecosystem productivity in complex ways. However, the effects of topography on ecosystem function remain poorly characterized and quantified. To address this knowledge gap, we developed a framework to systematically quantify and evaluate the effects of topographic conver</w:instrText>
      </w:r>
      <w:r>
        <w:rPr>
          <w:rFonts w:ascii="Arial" w:hAnsi="Arial" w:cs="Arial" w:hint="eastAsia"/>
          <w:color w:val="000000"/>
          <w:sz w:val="21"/>
          <w:szCs w:val="21"/>
        </w:rPr>
        <w:instrText>gence, elevation, aspect, and forest type on the long</w:instrText>
      </w:r>
      <w:r>
        <w:rPr>
          <w:rFonts w:ascii="Cambria Math" w:hAnsi="Cambria Math" w:cs="Cambria Math"/>
          <w:color w:val="000000"/>
          <w:sz w:val="21"/>
          <w:szCs w:val="21"/>
        </w:rPr>
        <w:instrText>‐</w:instrText>
      </w:r>
      <w:r>
        <w:rPr>
          <w:rFonts w:ascii="Arial" w:hAnsi="Arial" w:cs="Arial" w:hint="eastAsia"/>
          <w:color w:val="000000"/>
          <w:sz w:val="21"/>
          <w:szCs w:val="21"/>
        </w:rPr>
        <w:instrText>term (1986</w:instrText>
        <w:instrText>–</w:instrText>
        <w:instrText>2011) average and interannual variability of remotely sensed ecosystem productivity. In a forested watershed in the Rocky Mountains, spanning elevations from 1,800 to 4,000 m, we found a prevalent and positive influence of topographic convergence on long</w:instrText>
      </w:r>
      <w:r>
        <w:rPr>
          <w:rFonts w:ascii="Cambria Math" w:hAnsi="Cambria Math" w:cs="Cambria Math"/>
          <w:color w:val="000000"/>
          <w:sz w:val="21"/>
          <w:szCs w:val="21"/>
        </w:rPr>
        <w:instrText>‐</w:instrText>
      </w:r>
      <w:r>
        <w:rPr>
          <w:rFonts w:ascii="Arial" w:hAnsi="Arial" w:cs="Arial" w:hint="eastAsia"/>
          <w:color w:val="000000"/>
          <w:sz w:val="21"/>
          <w:szCs w:val="21"/>
        </w:rPr>
        <w:instrText>term productivity. Interannual growing season productivity was positively related to precipitation, with higher sensitivity in low elevation and highly productive areas and lower sensitivity in convergent areas. Our findings highlight the influence of topographic complexity on both long</w:instrText>
      </w:r>
      <w:r>
        <w:rPr>
          <w:rFonts w:ascii="Cambria Math" w:hAnsi="Cambria Math" w:cs="Cambria Math"/>
          <w:color w:val="000000"/>
          <w:sz w:val="21"/>
          <w:szCs w:val="21"/>
        </w:rPr>
        <w:instrText>‐</w:instrText>
      </w:r>
      <w:r>
        <w:rPr>
          <w:rFonts w:ascii="Arial" w:hAnsi="Arial" w:cs="Arial" w:hint="eastAsia"/>
          <w:color w:val="000000"/>
          <w:sz w:val="21"/>
          <w:szCs w:val="21"/>
        </w:rPr>
        <w:instrText>term and interannual variations of ecosystem productivity and have implications for understanding and prediction of ecosystem dynamics at hillslope to region</w:instrText>
      </w:r>
      <w:r>
        <w:rPr>
          <w:rFonts w:ascii="Arial" w:hAnsi="Arial" w:cs="Arial"/>
          <w:color w:val="000000"/>
          <w:sz w:val="21"/>
          <w:szCs w:val="21"/>
        </w:rPr>
        <w:instrText xml:space="preserve">al scales.","container-title":"Water Resources Research","DOI":"10.1029/2020wr027630","ISSN":"0043-1397, 1944-7973","issue":"11","publisher":"Wiley","title":"Hillslope Hydrology Influences the Spatial and Temporal Patterns of Remotely Sensed Ecosystem Productivity","URL":"https://doi.org/10.1029/2020wr027630","volume":"56","author":[{"family":"Tai","given":"Xiaonan"},{"family":"Anderegg","given":"William R. L."},{"family":"Blanken","given":"Peter D."},{"family":"Burns","given":"Sean P."},{"family":"Christensen","given":"Lindsey"},{"family":"Brooks","given":"P. D."}],"issued":{"date-parts":[["2020",10]]}}}],"schema":"https://github.com/citation-style-language/schema/raw/master/csl-citation.json"} </w:instrText>
        <w:fldChar w:fldCharType="separate"/>
      </w:r>
      <w:r>
        <w:rPr>
          <w:rFonts w:ascii="Arial" w:hAnsi="Arial" w:cs="Arial"/>
          <w:sz w:val="21"/>
        </w:rPr>
        <w:t>(Tai et al. 2020)</w:t>
      </w:r>
      <w:r>
        <w:rPr>
          <w:rFonts w:ascii="Arial" w:hAnsi="Arial" w:cs="Arial"/>
          <w:color w:val="000000"/>
          <w:sz w:val="21"/>
          <w:szCs w:val="21"/>
        </w:rPr>
        <w:fldChar w:fldCharType="end"/>
        <w:t xml:space="preserve">. Vegetation and land cover information were derived from Landsat 8 Level-2 surface reflectance imagery (NDVI) and Esri Sentinel-2 Land Cover data (10 m, resampled to 30 m) </w:t>
        <w:fldChar w:fldCharType="begin"/>
        <w:instrText xml:space="preserve"> ADDIN ZOTERO_ITEM CSL_CITATION {"citationID":"UH7hkeoe","properties":{"formattedCitation":"(Arrogante-Funes et al. 2024a)","plainCitation":"(Arrogante-Funes et al. 2024a)","noteIndex":0},"citationItems":[{"id":338,"uris":["http://zotero.org/users/local/emosa1lm/items/L7SBV97X"],"itemData":{"id":338,"type":"article-journal","abstract":"Regeneration after landslides is how an ecosystem recovers itself following a landslide event. Natural systems can recover and regenerate over time. The main objective of the current work is to identify and characterise the regeneration pattern after a great landslide event in 2013 in the Guerrero state (Mexico) using remote sensing, geographic information system (GIS), and machine learning techniques. Remarkably, the authors consider normalised difference vegetation index (NDVI) as a proxy of part of this “regeneration” in the present work. A first methodology attempt presented here was to monitor and characterise the “regeneration” after severe landslide events. First, the authors calculated and identified the (1) losses, (2) speed and (3) recovery time through a continuous change detection and classification algorithm (CCDC) in Google Earth Engine (GEE) from a NDVI-Landsat time series (from 1984 to 2021). Second, these three factors were introduced as variables in a not supervised machine-learning model to get 5 clusters that characterise the different regeneration patterns followed from 2013 to 2021 in the landslide zones. Finally, we studied 16 variables like elevation, slope, or soil pH. The authors included those variables in a supervised machine learning classification to find the most important main drivers related to the NDVI regeneration of the landslide areas. The results showed that the cluster called Group 0 had a low loss of NDVI value, speed and medium recovery time. Group 1 showed a medium–high loss, high speed and low recovery time. Group 2 reached a high loss, a low speed, and an increased recovery time. Group 3 with a medium loss, a medium speed, and a low recovery time. Finally, Group 4 with a high loss of NDVI, a medium speed, and a medium recovery time. Distance to the edge of the landslide, precipitation, land cover type and lithology are highlighted as the main drivers in landslide regeneration.","container-title":"Landslides","DOI":"10.1007/s10346-023-02154-z","ISSN":"1612-5118","issue":"2","journalAbbreviation":"Landslides","language":"en","page":"275-290","source":"Springer Link","title":"Assessment of the regeneration of landslides areas using unsupervised and supervised methods and explainable machine learning models","volume":"21","author":[{"family":"Arrogante-Funes","given":"Patricia"},{"family":"Bruzón","given":"Adrián G."},{"family":"Álvarez-Ripado","given":"Ariadna"},{"family":"Arrogante-Funes","given":"Fátima"},{"family":"Martín-González","given":"Fidel"},{"family":"Novillo","given":"Carlos J."}],"issued":{"date-parts":[["2024",2,1]]}}}],"schema":"https://github.com/citation-style-language/schema/raw/master/csl-citation.json"} </w:instrText>
        <w:fldChar w:fldCharType="separate"/>
      </w:r>
      <w:r>
        <w:rPr>
          <w:rFonts w:ascii="Arial" w:hAnsi="Arial" w:cs="Arial"/>
          <w:sz w:val="21"/>
        </w:rPr>
        <w:t>(Arrogante-Funes et al. 2024a)</w:t>
      </w:r>
      <w:r>
        <w:rPr>
          <w:rFonts w:ascii="Arial" w:hAnsi="Arial" w:cs="Arial"/>
          <w:color w:val="000000"/>
          <w:sz w:val="21"/>
          <w:szCs w:val="21"/>
        </w:rPr>
        <w:fldChar w:fldCharType="end"/>
        <w:t xml:space="preserve">. Precipitation data were obtained from the CHIRPS dataset (5 km resolution), and soil texture data were sourced from the ISRIC SoilGrids </w:t>
        <w:lastRenderedPageBreak/>
        <w:t xml:space="preserve">(250 m resolution) </w:t>
        <w:fldChar w:fldCharType="begin"/>
        <w:instrText xml:space="preserve"> ADDIN ZOTERO_ITEM CSL_CITATION {"citationID":"9HmJOZag","properties":{"formattedCitation":"(Cunha et al. 2018)","plainCitation":"(Cunha et al. 2018)","noteIndex":0},"citationItems":[{"id":137,"uris":["http://zotero.org/users/local/emosa1lm/items/U5NRDZBX"],"itemData":{"id":137,"type":"article-journal","abstract":"Yield forecast is essential to agriculture stakeholders and can be obtained with the use of machine learning models and data coming from multiple sources. Most solutions for yield forecast rely on NDVI (Normalized Difference Vegetation Index) data which, besides being time-consuming to acquire and process, only allows forecasting once crop season has already started. To bring scalability for yield forecast, in the present paper we describe a system that incorporates satellite-derived precipitation and soil properties datasets, seasonal climate forecasting data from physical models and other sources to produce a pre-season prediction of soybean/maize yield-with no need of NDVI data. This system provides significantly useful results by the exempting the need for high-resolution remote-sensing data and allowing farmers to prepare for adverse climate influence on the crop cycle. In our studies, we forecast the soybean and maize yields for Brazil and USA, which corresponded to 44% of the world's grain production in 2016. Results show the error metrics for soybean and maize yield forecasts are comparable to similar systems that only provide yield forecast information in the first weeks to months of the crop cycle.","DOI":"10.1109/escience.2018.00131","page":"423-430","title":"A Scalable Machine Learning System for Pre-Season Agriculture Yield Forecast","author":[{"family":"Cunha","given":"Renato L. F."},{"family":"Silva","given":"Bruno"},{"family":"Netto","given":"Marco A. S."}],"issued":{"date-parts":[["2018",10]]}}}],"schema":"https://github.com/citation-style-language/schema/raw/master/csl-citation.json"} </w:instrText>
        <w:fldChar w:fldCharType="separate"/>
      </w:r>
      <w:r>
        <w:rPr>
          <w:rFonts w:ascii="Arial" w:hAnsi="Arial" w:cs="Arial"/>
          <w:sz w:val="21"/>
        </w:rPr>
        <w:t>(Cunha et al. 2018)</w:t>
      </w:r>
      <w:r>
        <w:rPr>
          <w:rFonts w:ascii="Arial" w:hAnsi="Arial" w:cs="Arial"/>
          <w:color w:val="000000"/>
          <w:sz w:val="21"/>
          <w:szCs w:val="21"/>
        </w:rPr>
        <w:fldChar w:fldCharType="end"/>
        <w:t xml:space="preserve">. Categorical variables (aspect, LULC, and soil texture) were transformed using one-hot encoding to avoid artificial ordinality in machine learning models </w:t>
        <w:fldChar w:fldCharType="begin"/>
        <w:instrText xml:space="preserve"> ADDIN ZOTERO_ITEM CSL_CITATION {"citationID":"1j1xN72H","properties":{"formattedCitation":"(Hengl et al. 2017)","plainCitation":"(Hengl et al. 2017)","noteIndex":0},"citationItems":[{"id":138,"uris":["http://zotero.org/users/local/emosa1lm/items/92WDB5P8"],"itemData":{"id":138,"type":"article-journal","abstract":"This paper describes the technical development and accuracy assessment of the most recent and improved version of the SoilGrids system at 250m resolution (June 2016 update). SoilGrids provides global predictions for standard numeric soil properties (organic carbon, bulk density, Cation Exchange Capacity (CEC), pH, soil texture fractions and coarse fragments) at seven standard depths (0, 5, 15, 30, 60, 100 and 200 cm), in addition to predictions of depth to bedrock and distribution of soil classes based on the World Reference Base (WRB) and USDA classification systems (ca. 280 raster layers in total). Predictions were based on ca. 150,000 soil profiles used for training and a stack of 158 remote sensing-based soil covariates (primarily derived from MODIS land products, SRTM DEM derivatives, climatic images and global landform and lithology maps), which were used to fit an ensemble of machine learning methods-random forest and gradient boosting and/or multinomial logistic regression-as implemented in the R packages ranger, xgboost, nnet and caret. The results of 10-fold cross-validation show that the ensemble models explain between 56% (coarse fragments) and 83% (pH) of variation with an overall average of 61%. Improvements in the relative accuracy considering the amount of variation explained, in comparison to the previous version of SoilGrids at 1 km spatial resolution, range from 60 to 230%. Improvements can be attributed to: (1) the use of machine learning instead of linear regression, (2) to considerable investments in preparing finer resolution covariate layers and (3) to insertion of additional soil profiles. Further development of SoilGrids could include refinement of methods to incorporate input uncertainties and derivation of posterior probability distributions (per pixel), and further automation of spatial modeling so that soil maps can be generated for potentially hundreds of soil variables. Another area of future research is the development of methods for multiscale merging of SoilGrids predictions with local and/or national gridded soil products (e.g. up to 50 m spatial resolution) so that increasingly more accurate, complete and consistent global soil information can be produced. SoilGrids are available under the Open Data Base License.","container-title":"PLoS ONE","DOI":"10.1371/journal.pone.0169748","ISSN":"1932-6203","issue":"2","PMID":"28207752","publisher":"Public Library of Science","title":"SoilGrids250m: Global gridded soil information based on machine learning","URL":"https://doi.org/10.1371/journal.pone.0169748","volume":"12","author":[{"family":"Hengl","given":"Tomislav"},{"family":"Jesus","given":"Jorge Mendes","dropping-particle":"de"},{"family":"Heuvelink","given":"G. B. M."},{"family":"González","given":"M. Ruiperez"},{"family":"Kilibarda","given":"Milan"},{"family":"Blagotić","given":"Aleksandar"},{"family":"Shangguan","given":"Wei"},{"family":"Wright","given":"Marvin N."},{"family":"Geng","given":"Xiaoyuan"},{"family":"Bauer-Marschallinger","given":"Bernhard"},{"family":"Guevara","given":"Mário"},{"family":"Vargas","given":"Rodrigo"},{"family":"MacMillan","given":"R. A."},{"family":"Batjes","given":"N. H."},{"family":"Leenaars","given":"J. G. B."},{"family":"Ribeiro","given":"Eloi"},{"family":"Wheeler","given":"Ichsani"},{"family":"Mantel","given":"S."},{"family":"Kempen","given":"Bas"}],"issued":{"date-parts":[["2017",2]]}}}],"schema":"https://github.com/citation-style-language/schema/raw/master/csl-citation.json"} </w:instrText>
        <w:fldChar w:fldCharType="separate"/>
      </w:r>
      <w:r>
        <w:rPr>
          <w:rFonts w:ascii="Arial" w:hAnsi="Arial" w:cs="Arial"/>
          <w:sz w:val="21"/>
        </w:rPr>
        <w:t>(Hengl et al. 2017)</w:t>
      </w:r>
      <w:r>
        <w:rPr>
          <w:rFonts w:ascii="Arial" w:hAnsi="Arial" w:cs="Arial"/>
          <w:color w:val="000000"/>
          <w:sz w:val="21"/>
          <w:szCs w:val="21"/>
        </w:rPr>
        <w:fldChar w:fldCharType="end"/>
        <w:t>.</w:t>
      </w:r>
    </w:p>
    <w:p>
      <w:pPr>
        <w:pStyle w:val="Heading2"/>
        <w:spacing w:before="0" w:after="0" w:line="360" w:lineRule="auto"/>
        <w:jc w:val="both"/>
        <w:rPr>
          <w:rFonts w:ascii="Arial" w:hAnsi="Arial" w:cs="Arial"/>
          <w:b/>
          <w:bCs/>
          <w:sz w:val="21"/>
          <w:szCs w:val="21"/>
        </w:rPr>
      </w:pPr>
      <w:r>
        <w:rPr>
          <w:rFonts w:ascii="Arial" w:hAnsi="Arial" w:cs="Arial"/>
          <w:b/>
          <w:bCs/>
          <w:color w:val="FF0000"/>
          <w:sz w:val="21"/>
          <w:szCs w:val="21"/>
        </w:rPr>
        <w:t xml:space="preserve">Representation of Anthropogenic Processes</w:t>
      </w:r>
    </w:p>
    <w:p>
      <w:pPr>
        <w:spacing w:before="0" w:after="0" w:line="360" w:lineRule="auto"/>
        <w:jc w:val="both"/>
        <w:rPr>
          <w:rFonts w:ascii="Arial" w:hAnsi="Arial" w:cs="Arial"/>
          <w:color w:val="000000"/>
          <w:sz w:val="21"/>
          <w:szCs w:val="21"/>
        </w:rPr>
      </w:pPr>
      <w:r>
        <w:rPr>
          <w:rFonts w:ascii="Arial" w:hAnsi="Arial" w:cs="Arial"/>
          <w:color w:val="FF0000"/>
          <w:sz w:val="21"/>
          <w:szCs w:val="21"/>
        </w:rPr>
        <w:t xml:space="preserve">Although direct measurements of toe excavation, building loads, or illegal hill cutting are unavailable across the study area, these anthropogenic disturbance processes are implicitly represented through three selected proxy variables. LULC captures the conversion from vegetated hillslopes to built-up areas, which is the primary spatial signature of urbanization-driven slope modification. NDVI provides a continuous measure of vegetation integrity; declining NDVI values on hillslopes frequently indicate vegetation removal associated with hill cutting. Finally, distance to roads serves as a proxy for the spatial extent of engineered slope cuts, since road construction in hilly terrain typically involves toe excavation, slope benching, and drainage alteration that destabilize adjacent hillslopes.</w:t>
      </w:r>
    </w:p>
    <w:p>
      <w:pPr>
        <w:pStyle w:val="Heading2"/>
        <w:spacing w:before="0" w:after="0" w:line="360" w:lineRule="auto"/>
        <w:jc w:val="both"/>
        <w:rPr>
          <w:rFonts w:ascii="Arial" w:hAnsi="Arial" w:cs="Arial"/>
          <w:b/>
          <w:bCs/>
          <w:sz w:val="21"/>
          <w:szCs w:val="21"/>
        </w:rPr>
      </w:pPr>
      <w:r>
        <w:rPr>
          <w:rFonts w:ascii="Arial" w:hAnsi="Arial" w:cs="Arial"/>
          <w:b/>
          <w:bCs/>
          <w:color w:val="FF0000"/>
          <w:sz w:val="21"/>
          <w:szCs w:val="21"/>
        </w:rPr>
        <w:t xml:space="preserve">Scale Mismatch and Rainfall Limitations</w:t>
      </w:r>
    </w:p>
    <w:p>
      <w:pPr>
        <w:spacing w:before="0" w:after="0" w:line="360" w:lineRule="auto"/>
        <w:jc w:val="both"/>
        <w:rPr>
          <w:rFonts w:ascii="Arial" w:hAnsi="Arial" w:cs="Arial"/>
          <w:color w:val="000000"/>
          <w:sz w:val="21"/>
          <w:szCs w:val="21"/>
        </w:rPr>
      </w:pPr>
      <w:r>
        <w:rPr>
          <w:rFonts w:ascii="Arial" w:hAnsi="Arial" w:cs="Arial"/>
          <w:color w:val="FF0000"/>
          <w:sz w:val="21"/>
          <w:szCs w:val="21"/>
        </w:rPr>
        <w:t xml:space="preserve">It is essential to acknowledge that the bilinear resampling of coarse-resolution data—such as the 5 km CHIRPS precipitation and 250 m SoilGrids—to a 30 m analysis grid does not introduce additional spatial information beyond the native resolution of each source product. Rather, it produces a spatially smoothed representation that may attenuate local-scale variations. This scale mismatch should be considered when interpreting variable importance rankings. Furthermore, the precipitation variable used in this study is a static mean annual estimate. Because landslides in the Chittagong region are primarily triggered by short-duration, high-intensity monsoon anomalies, the absence of event-based or antecedent rainfall data (i.e., cumulative rainfall over preceding days) means this framework does not incorporate an explicit triggering component. This is a fundamental distinction between susceptibility and hazard, limiting this model to evaluating static spatial susceptibility.</w:t>
      </w:r>
    </w:p>
    <w:p w14:paraId="1EC749B6" w14:textId="77777777" w:rsidR="004A2710" w:rsidRDefault="004A2710" w:rsidP="00340959">
      <w:pPr>
        <w:spacing w:before="0" w:after="0" w:line="360" w:lineRule="auto"/>
        <w:jc w:val="both"/>
        <w:rPr>
          <w:rFonts w:ascii="Arial" w:hAnsi="Arial" w:cs="Arial"/>
          <w:color w:val="000000"/>
          <w:sz w:val="21"/>
          <w:szCs w:val="21"/>
        </w:rPr>
      </w:pPr>
    </w:p>
    <w:p w14:paraId="53EAE97F" w14:textId="36B6D2F1" w:rsidR="005B28E8" w:rsidRPr="00340959" w:rsidRDefault="00000000" w:rsidP="004A2710">
      <w:pPr>
        <w:spacing w:before="0" w:after="0" w:line="360" w:lineRule="auto"/>
        <w:jc w:val="center"/>
        <w:rPr>
          <w:rFonts w:ascii="Arial" w:hAnsi="Arial" w:cs="Arial"/>
          <w:i/>
          <w:iCs/>
          <w:sz w:val="21"/>
          <w:szCs w:val="21"/>
        </w:rPr>
      </w:pPr>
      <w:r>
        <w:rPr>
          <w:rFonts w:ascii="Arial" w:hAnsi="Arial" w:cs="Arial"/>
          <w:i/>
          <w:iCs/>
          <w:color w:val="000000"/>
          <w:sz w:val="21"/>
          <w:szCs w:val="21"/>
        </w:rPr>
        <w:t xml:space="preserve">Table 1: Landslide Conditioning Factors</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4747"/>
        <w:gridCol w:w="2171"/>
      </w:tblGrid>
      <w:tr w:rsidR="005B28E8" w:rsidRPr="00340959" w14:paraId="672D9E4C" w14:textId="77777777" w:rsidTr="004A2710">
        <w:trPr>
          <w:trHeight w:val="20"/>
          <w:jc w:val="center"/>
        </w:trPr>
        <w:tc>
          <w:tcPr>
            <w:tcW w:w="0" w:type="auto"/>
            <w:vAlign w:val="center"/>
          </w:tcPr>
          <w:p w14:paraId="760C8CD1"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Factor</w:t>
            </w:r>
          </w:p>
        </w:tc>
        <w:tc>
          <w:tcPr>
            <w:tcW w:w="0" w:type="auto"/>
            <w:vAlign w:val="center"/>
          </w:tcPr>
          <w:p w14:paraId="5A832C67"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Source of Data</w:t>
            </w:r>
          </w:p>
        </w:tc>
        <w:tc>
          <w:tcPr>
            <w:tcW w:w="0" w:type="auto"/>
            <w:vAlign w:val="center"/>
          </w:tcPr>
          <w:p w14:paraId="754B5CA2"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Spatial Resolution (m)</w:t>
            </w:r>
          </w:p>
        </w:tc>
      </w:tr>
      <w:tr w:rsidR="005B28E8" w:rsidRPr="00340959" w14:paraId="6A484A9E" w14:textId="77777777" w:rsidTr="004A2710">
        <w:trPr>
          <w:trHeight w:val="20"/>
          <w:jc w:val="center"/>
        </w:trPr>
        <w:tc>
          <w:tcPr>
            <w:tcW w:w="0" w:type="auto"/>
            <w:vAlign w:val="center"/>
          </w:tcPr>
          <w:p w14:paraId="5C1EB5BB"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Elevation</w:t>
            </w:r>
          </w:p>
        </w:tc>
        <w:tc>
          <w:tcPr>
            <w:tcW w:w="0" w:type="auto"/>
            <w:vAlign w:val="center"/>
          </w:tcPr>
          <w:p w14:paraId="212EA4E5"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1578B67E"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SRTM DEM</w:t>
            </w:r>
          </w:p>
        </w:tc>
        <w:tc>
          <w:tcPr>
            <w:tcW w:w="0" w:type="auto"/>
            <w:vAlign w:val="center"/>
          </w:tcPr>
          <w:p w14:paraId="52FDB652"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2D199997" w14:textId="77777777" w:rsidTr="004A2710">
        <w:trPr>
          <w:trHeight w:val="20"/>
          <w:jc w:val="center"/>
        </w:trPr>
        <w:tc>
          <w:tcPr>
            <w:tcW w:w="0" w:type="auto"/>
            <w:vAlign w:val="center"/>
          </w:tcPr>
          <w:p w14:paraId="72637FA3"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Slope</w:t>
            </w:r>
          </w:p>
        </w:tc>
        <w:tc>
          <w:tcPr>
            <w:tcW w:w="0" w:type="auto"/>
            <w:vAlign w:val="center"/>
          </w:tcPr>
          <w:p w14:paraId="6E249429"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0C54E428"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2FC17E5E"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3F602EB0" w14:textId="77777777" w:rsidTr="004A2710">
        <w:trPr>
          <w:trHeight w:val="20"/>
          <w:jc w:val="center"/>
        </w:trPr>
        <w:tc>
          <w:tcPr>
            <w:tcW w:w="0" w:type="auto"/>
            <w:vAlign w:val="center"/>
          </w:tcPr>
          <w:p w14:paraId="4A260D99"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Aspect</w:t>
            </w:r>
          </w:p>
        </w:tc>
        <w:tc>
          <w:tcPr>
            <w:tcW w:w="0" w:type="auto"/>
            <w:vAlign w:val="center"/>
          </w:tcPr>
          <w:p w14:paraId="30E474F5"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4767B4B1"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708BD466"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2AC228A6" w14:textId="77777777" w:rsidTr="004A2710">
        <w:trPr>
          <w:trHeight w:val="20"/>
          <w:jc w:val="center"/>
        </w:trPr>
        <w:tc>
          <w:tcPr>
            <w:tcW w:w="0" w:type="auto"/>
            <w:vAlign w:val="center"/>
          </w:tcPr>
          <w:p w14:paraId="67EBE37C"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Curvature</w:t>
            </w:r>
          </w:p>
        </w:tc>
        <w:tc>
          <w:tcPr>
            <w:tcW w:w="0" w:type="auto"/>
            <w:vAlign w:val="center"/>
          </w:tcPr>
          <w:p w14:paraId="5F830C2C"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4176E50D"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093E013D"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69F4FCC4" w14:textId="77777777" w:rsidTr="004A2710">
        <w:trPr>
          <w:trHeight w:val="20"/>
          <w:jc w:val="center"/>
        </w:trPr>
        <w:tc>
          <w:tcPr>
            <w:tcW w:w="0" w:type="auto"/>
            <w:vAlign w:val="center"/>
          </w:tcPr>
          <w:p w14:paraId="759E3793"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SPI</w:t>
            </w:r>
          </w:p>
        </w:tc>
        <w:tc>
          <w:tcPr>
            <w:tcW w:w="0" w:type="auto"/>
            <w:vAlign w:val="center"/>
          </w:tcPr>
          <w:p w14:paraId="51C70959"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5BBE7A6A"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356B219B"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3D481086" w14:textId="77777777" w:rsidTr="004A2710">
        <w:trPr>
          <w:trHeight w:val="20"/>
          <w:jc w:val="center"/>
        </w:trPr>
        <w:tc>
          <w:tcPr>
            <w:tcW w:w="0" w:type="auto"/>
            <w:vAlign w:val="center"/>
          </w:tcPr>
          <w:p w14:paraId="7691D3A6"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TWI</w:t>
            </w:r>
          </w:p>
        </w:tc>
        <w:tc>
          <w:tcPr>
            <w:tcW w:w="0" w:type="auto"/>
            <w:vAlign w:val="center"/>
          </w:tcPr>
          <w:p w14:paraId="53718F73"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46990A44"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782BA439"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7520580B" w14:textId="77777777" w:rsidTr="004A2710">
        <w:trPr>
          <w:trHeight w:val="20"/>
          <w:jc w:val="center"/>
        </w:trPr>
        <w:tc>
          <w:tcPr>
            <w:tcW w:w="0" w:type="auto"/>
            <w:vAlign w:val="center"/>
          </w:tcPr>
          <w:p w14:paraId="10AEBB3A"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TRI</w:t>
            </w:r>
          </w:p>
        </w:tc>
        <w:tc>
          <w:tcPr>
            <w:tcW w:w="0" w:type="auto"/>
            <w:vAlign w:val="center"/>
          </w:tcPr>
          <w:p w14:paraId="1A514BAE"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3BD1211C"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60F01346"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101F3900" w14:textId="77777777" w:rsidTr="004A2710">
        <w:trPr>
          <w:trHeight w:val="20"/>
          <w:jc w:val="center"/>
        </w:trPr>
        <w:tc>
          <w:tcPr>
            <w:tcW w:w="0" w:type="auto"/>
            <w:vAlign w:val="center"/>
          </w:tcPr>
          <w:p w14:paraId="74DE823F"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NDVI</w:t>
            </w:r>
          </w:p>
        </w:tc>
        <w:tc>
          <w:tcPr>
            <w:tcW w:w="0" w:type="auto"/>
            <w:vAlign w:val="center"/>
          </w:tcPr>
          <w:p w14:paraId="1737AC97"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4DE4E084"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Landsat 8 Level-2 Surface Reflectance</w:t>
            </w:r>
          </w:p>
        </w:tc>
        <w:tc>
          <w:tcPr>
            <w:tcW w:w="0" w:type="auto"/>
            <w:vAlign w:val="center"/>
          </w:tcPr>
          <w:p w14:paraId="6086029D"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76B966C4" w14:textId="77777777" w:rsidTr="004A2710">
        <w:trPr>
          <w:trHeight w:val="20"/>
          <w:jc w:val="center"/>
        </w:trPr>
        <w:tc>
          <w:tcPr>
            <w:tcW w:w="0" w:type="auto"/>
            <w:vAlign w:val="center"/>
          </w:tcPr>
          <w:p w14:paraId="18DA6110"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LULC</w:t>
            </w:r>
          </w:p>
        </w:tc>
        <w:tc>
          <w:tcPr>
            <w:tcW w:w="0" w:type="auto"/>
            <w:vAlign w:val="center"/>
          </w:tcPr>
          <w:p w14:paraId="0CCA4ECD"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https://livingatlas.arcgis.com/landcover/</w:t>
            </w:r>
          </w:p>
          <w:p w14:paraId="483DB37D"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Esri Sentinel-2 Land Cover</w:t>
            </w:r>
          </w:p>
        </w:tc>
        <w:tc>
          <w:tcPr>
            <w:tcW w:w="0" w:type="auto"/>
            <w:vAlign w:val="center"/>
          </w:tcPr>
          <w:p w14:paraId="021B91EA"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10 m × 10 m</w:t>
            </w:r>
          </w:p>
        </w:tc>
      </w:tr>
      <w:tr w:rsidR="005B28E8" w:rsidRPr="00340959" w14:paraId="180DE36F" w14:textId="77777777" w:rsidTr="004A2710">
        <w:trPr>
          <w:trHeight w:val="20"/>
          <w:jc w:val="center"/>
        </w:trPr>
        <w:tc>
          <w:tcPr>
            <w:tcW w:w="0" w:type="auto"/>
            <w:vAlign w:val="center"/>
          </w:tcPr>
          <w:p w14:paraId="41A86637"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Rainfall</w:t>
            </w:r>
          </w:p>
        </w:tc>
        <w:tc>
          <w:tcPr>
            <w:tcW w:w="0" w:type="auto"/>
            <w:vAlign w:val="center"/>
          </w:tcPr>
          <w:p w14:paraId="746623DE"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https://www.chc.ucsb.edu/data/chirps</w:t>
            </w:r>
          </w:p>
          <w:p w14:paraId="0D7AFE54"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CHIRPS Precipitation Dataset</w:t>
            </w:r>
          </w:p>
        </w:tc>
        <w:tc>
          <w:tcPr>
            <w:tcW w:w="0" w:type="auto"/>
            <w:vAlign w:val="center"/>
          </w:tcPr>
          <w:p w14:paraId="427B8799"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5000 m × 5000 m</w:t>
            </w:r>
          </w:p>
        </w:tc>
      </w:tr>
      <w:tr w:rsidR="005B28E8" w:rsidRPr="00340959" w14:paraId="6CC466C0" w14:textId="77777777" w:rsidTr="004A2710">
        <w:trPr>
          <w:trHeight w:val="20"/>
          <w:jc w:val="center"/>
        </w:trPr>
        <w:tc>
          <w:tcPr>
            <w:tcW w:w="0" w:type="auto"/>
            <w:vAlign w:val="center"/>
          </w:tcPr>
          <w:p w14:paraId="67DACD8C"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Drainage Density</w:t>
            </w:r>
          </w:p>
        </w:tc>
        <w:tc>
          <w:tcPr>
            <w:tcW w:w="0" w:type="auto"/>
            <w:vAlign w:val="center"/>
          </w:tcPr>
          <w:p w14:paraId="500C64DA"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0685D5BE"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Derived from SRTM DEM</w:t>
            </w:r>
          </w:p>
        </w:tc>
        <w:tc>
          <w:tcPr>
            <w:tcW w:w="0" w:type="auto"/>
            <w:vAlign w:val="center"/>
          </w:tcPr>
          <w:p w14:paraId="576585A1"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3FB30987" w14:textId="77777777" w:rsidTr="004A2710">
        <w:trPr>
          <w:trHeight w:val="20"/>
          <w:jc w:val="center"/>
        </w:trPr>
        <w:tc>
          <w:tcPr>
            <w:tcW w:w="0" w:type="auto"/>
            <w:vAlign w:val="center"/>
          </w:tcPr>
          <w:p w14:paraId="45A6B7DB"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Distance to River</w:t>
            </w:r>
          </w:p>
        </w:tc>
        <w:tc>
          <w:tcPr>
            <w:tcW w:w="0" w:type="auto"/>
            <w:vAlign w:val="center"/>
          </w:tcPr>
          <w:p w14:paraId="27E819D0"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https://earthexplorer.usgs.gov/</w:t>
            </w:r>
          </w:p>
          <w:p w14:paraId="0E32FE75" w14:textId="5DE58AE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 xml:space="preserve">Derived from the drainage network (SRTM DEM)</w:t>
            </w:r>
          </w:p>
        </w:tc>
        <w:tc>
          <w:tcPr>
            <w:tcW w:w="0" w:type="auto"/>
            <w:vAlign w:val="center"/>
          </w:tcPr>
          <w:p w14:paraId="55588354"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1DF02C8A" w14:textId="77777777" w:rsidTr="004A2710">
        <w:trPr>
          <w:trHeight w:val="20"/>
          <w:jc w:val="center"/>
        </w:trPr>
        <w:tc>
          <w:tcPr>
            <w:tcW w:w="0" w:type="auto"/>
            <w:vAlign w:val="center"/>
          </w:tcPr>
          <w:p w14:paraId="52815BFB"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Distance to Road</w:t>
            </w:r>
          </w:p>
        </w:tc>
        <w:tc>
          <w:tcPr>
            <w:tcW w:w="0" w:type="auto"/>
            <w:vAlign w:val="center"/>
          </w:tcPr>
          <w:p w14:paraId="47B28127" w14:textId="3E190D6A"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https://www.openstreetmap.org/</w:t>
            </w:r>
          </w:p>
          <w:p w14:paraId="26118E42"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OpenStreetMap Road Network</w:t>
            </w:r>
          </w:p>
        </w:tc>
        <w:tc>
          <w:tcPr>
            <w:tcW w:w="0" w:type="auto"/>
            <w:vAlign w:val="center"/>
          </w:tcPr>
          <w:p w14:paraId="0A8B52B2"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30 m × 30 m</w:t>
            </w:r>
          </w:p>
        </w:tc>
      </w:tr>
      <w:tr w:rsidR="005B28E8" w:rsidRPr="00340959" w14:paraId="48E5C557" w14:textId="77777777" w:rsidTr="004A2710">
        <w:trPr>
          <w:trHeight w:val="20"/>
          <w:jc w:val="center"/>
        </w:trPr>
        <w:tc>
          <w:tcPr>
            <w:tcW w:w="0" w:type="auto"/>
            <w:vAlign w:val="center"/>
          </w:tcPr>
          <w:p w14:paraId="21E9749D"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Soil Texture</w:t>
            </w:r>
          </w:p>
        </w:tc>
        <w:tc>
          <w:tcPr>
            <w:tcW w:w="0" w:type="auto"/>
            <w:vAlign w:val="center"/>
          </w:tcPr>
          <w:p w14:paraId="142B73A5"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https://soilgrids.org/</w:t>
            </w:r>
          </w:p>
          <w:p w14:paraId="620034CA"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ISRIC SoilGrids</w:t>
            </w:r>
          </w:p>
        </w:tc>
        <w:tc>
          <w:tcPr>
            <w:tcW w:w="0" w:type="auto"/>
            <w:vAlign w:val="center"/>
          </w:tcPr>
          <w:p w14:paraId="3CF61DE6" w14:textId="77777777" w:rsidR="005B28E8" w:rsidRPr="00340959" w:rsidRDefault="00000000" w:rsidP="00162937">
            <w:pPr>
              <w:spacing w:before="0" w:after="0" w:line="276" w:lineRule="auto"/>
              <w:jc w:val="center"/>
              <w:rPr>
                <w:rFonts w:ascii="Arial" w:hAnsi="Arial" w:cs="Arial"/>
                <w:sz w:val="21"/>
                <w:szCs w:val="21"/>
              </w:rPr>
            </w:pPr>
            <w:r>
              <w:rPr>
                <w:rFonts w:ascii="Arial" w:hAnsi="Arial" w:cs="Arial"/>
                <w:color w:val="000000"/>
                <w:sz w:val="21"/>
                <w:szCs w:val="21"/>
              </w:rPr>
              <w:t>250 m × 250 m</w:t>
            </w:r>
          </w:p>
        </w:tc>
      </w:tr>
    </w:tbl>
    <w:p w14:paraId="69C89B89" w14:textId="77777777" w:rsidR="004A2710" w:rsidRDefault="004A2710" w:rsidP="00340959">
      <w:pPr>
        <w:spacing w:before="0" w:after="0" w:line="360" w:lineRule="auto"/>
        <w:jc w:val="both"/>
        <w:rPr>
          <w:rFonts w:ascii="Arial" w:hAnsi="Arial" w:cs="Arial"/>
          <w:color w:val="000000"/>
          <w:sz w:val="21"/>
          <w:szCs w:val="21"/>
        </w:rPr>
      </w:pPr>
    </w:p>
    <w:p w14:paraId="1138C8B3" w14:textId="77777777" w:rsidR="00C10773" w:rsidRDefault="00C10773">
      <w:pPr>
        <w:rPr>
          <w:rFonts w:ascii="Arial" w:hAnsi="Arial" w:cs="Arial"/>
          <w:color w:val="000000"/>
          <w:sz w:val="21"/>
          <w:szCs w:val="21"/>
        </w:rPr>
      </w:pPr>
      <w:r>
        <w:rPr>
          <w:rFonts w:ascii="Arial" w:hAnsi="Arial" w:cs="Arial"/>
          <w:color w:val="000000"/>
          <w:sz w:val="21"/>
          <w:szCs w:val="21"/>
        </w:rPr>
        <w:br w:type="page"/>
      </w:r>
    </w:p>
    <w:p w14:paraId="3CC3C6F3" w14:textId="086E7986" w:rsidR="004A2710"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lastRenderedPageBreak/>
        <w:t xml:space="preserve">The spatial patterns of the fourteen conditioning factors are presented in Figure 2.</w:t>
      </w:r>
    </w:p>
    <w:p w14:paraId="397E40BC" w14:textId="1B9B339B" w:rsidR="008B39EC" w:rsidRDefault="008B39EC" w:rsidP="00C10773">
      <w:pPr>
        <w:spacing w:before="0" w:after="0" w:line="360" w:lineRule="auto"/>
        <w:jc w:val="center"/>
        <w:rPr>
          <w:rFonts w:ascii="Arial" w:hAnsi="Arial" w:cs="Arial"/>
          <w:color w:val="000000"/>
          <w:sz w:val="21"/>
          <w:szCs w:val="21"/>
        </w:rPr>
      </w:pPr>
      <w:r>
        <w:rPr>
          <w:rFonts w:ascii="Arial" w:hAnsi="Arial" w:cs="Arial"/>
          <w:noProof/>
          <w:color w:val="000000"/>
          <w:sz w:val="21"/>
          <w:szCs w:val="21"/>
        </w:rPr>
        <w:drawing>
          <wp:inline distT="0" distB="0" distL="0" distR="0" wp14:anchorId="2C177D07" wp14:editId="345C8499">
            <wp:extent cx="6280150" cy="8062595"/>
            <wp:effectExtent l="0" t="0" r="6350" b="0"/>
            <wp:docPr id="2163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68652" name="Picture 2163686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0150" cy="8062595"/>
                    </a:xfrm>
                    <a:prstGeom prst="rect">
                      <a:avLst/>
                    </a:prstGeom>
                  </pic:spPr>
                </pic:pic>
              </a:graphicData>
            </a:graphic>
          </wp:inline>
        </w:drawing>
      </w:r>
    </w:p>
    <w:p w14:paraId="1DCA35D2" w14:textId="758D7641" w:rsidR="00F837DF" w:rsidRDefault="004A2710" w:rsidP="004A2710">
      <w:pPr>
        <w:spacing w:before="0" w:after="0" w:line="276" w:lineRule="auto"/>
        <w:jc w:val="center"/>
        <w:rPr>
          <w:rFonts w:ascii="Arial" w:hAnsi="Arial" w:cs="Arial"/>
          <w:i/>
          <w:iCs/>
          <w:sz w:val="21"/>
          <w:szCs w:val="21"/>
        </w:rPr>
      </w:pPr>
      <w:r>
        <w:rPr>
          <w:rFonts w:ascii="Arial" w:hAnsi="Arial" w:cs="Arial"/>
          <w:i/>
          <w:iCs/>
          <w:color w:val="000000"/>
          <w:sz w:val="21"/>
          <w:szCs w:val="21"/>
        </w:rPr>
        <w:t>Figure 2: (a)Elevation, (b)Slope, (c)Aspect, (d)Curvature, ISPI, (f)TWI, (g)TRI, (h)LULC, (i)</w:t>
      </w:r>
      <w:commentRangeStart w:id="2"/>
      <w:r>
        <w:rPr>
          <w:rFonts w:ascii="Arial" w:hAnsi="Arial" w:cs="Arial"/>
          <w:i/>
          <w:iCs/>
          <w:color w:val="000000"/>
          <w:sz w:val="21"/>
          <w:szCs w:val="21"/>
        </w:rPr>
        <w:t>NDVI</w:t>
      </w:r>
      <w:commentRangeEnd w:id="2"/>
      <w:r>
        <w:rPr>
          <w:rStyle w:val="CommentReference"/>
          <w:rFonts w:ascii="Arial" w:hAnsi="Arial" w:cs="Arial"/>
          <w:i/>
          <w:iCs/>
          <w:color w:val="000000"/>
          <w:sz w:val="21"/>
          <w:szCs w:val="21"/>
        </w:rPr>
        <w:commentReference w:id="2"/>
      </w:r>
      <w:r>
        <w:rPr>
          <w:rFonts w:ascii="Arial" w:hAnsi="Arial" w:cs="Arial"/>
          <w:i/>
          <w:iCs/>
          <w:color w:val="000000"/>
          <w:sz w:val="21"/>
          <w:szCs w:val="21"/>
        </w:rPr>
        <w:t>, (j)Precipitation, (k)Drainage Density, (l)Distance to River, (m)Distance to Road, (n)Soil Texture.</w:t>
      </w:r>
    </w:p>
    <w:p w14:paraId="2E54D16D" w14:textId="77777777" w:rsidR="004A2710" w:rsidRPr="004A2710" w:rsidRDefault="004A2710" w:rsidP="004A2710">
      <w:pPr>
        <w:spacing w:before="0" w:after="0" w:line="276" w:lineRule="auto"/>
        <w:jc w:val="center"/>
        <w:rPr>
          <w:rFonts w:ascii="Arial" w:hAnsi="Arial" w:cs="Arial"/>
          <w:i/>
          <w:iCs/>
          <w:sz w:val="21"/>
          <w:szCs w:val="21"/>
        </w:rPr>
      </w:pPr>
    </w:p>
    <w:p w14:paraId="43EFDFF3" w14:textId="0797F0A0" w:rsidR="005B28E8" w:rsidRPr="00340959" w:rsidRDefault="004A2710"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Elevation ranges from −0.9 m to 88 m in the study area and is classified into five altitudinal intervals. Slope values were grouped into six classes (0–5°, 5–10°, 10–15°, 15–20°, 20–25°, and 25–35°), representing </w:t>
        <w:lastRenderedPageBreak/>
        <w:t xml:space="preserve">terrain ranging from gentle to moderately steep. Aspect was categorized into eight cardinal directions. Curvature values were divided into five classes representing concave to convex terrain forms. SPI and TWI were derived from hydrological analysis of the DEM and categorized into five classes each, representing increasing flow accumulation and soil moisture potential, respectively. TRI was grouped into five classes to represent increasing terrain ruggedness. The LULC layer was classified into seven categories: water bodies, trees, flooded vegetation, cropland, built-up areas, barren land, and rangeland. NDVI values were reclassified into five vegetation-density levels. Mean annual precipitation ranges between approximately 2,983 mm and 3,150 mm and was grouped into seven intensity classes. Drainage density was categorized into seven classes reflecting increasing channel concentration. Euclidean distances to rivers and roads were classified into seven proximity intervals to represent the influence of fluvial erosion and the intensity of anthropogenic disturbance. Soil texture was categorized into three dominant classes: sandy loam, loam, and clay loam.</w:t>
      </w:r>
    </w:p>
    <w:p w14:paraId="36A0F58A" w14:textId="77777777" w:rsidR="000152B3" w:rsidRPr="00340959" w:rsidRDefault="000152B3" w:rsidP="00340959">
      <w:pPr>
        <w:pStyle w:val="Heading1"/>
        <w:spacing w:before="0" w:after="0" w:line="360" w:lineRule="auto"/>
        <w:jc w:val="both"/>
        <w:rPr>
          <w:rFonts w:ascii="Arial" w:hAnsi="Arial" w:cs="Arial"/>
          <w:color w:val="000000"/>
          <w:sz w:val="21"/>
          <w:szCs w:val="21"/>
        </w:rPr>
      </w:pPr>
    </w:p>
    <w:p w14:paraId="1C1B2D24" w14:textId="4D5E52F2" w:rsidR="005B28E8" w:rsidRPr="004D3B85" w:rsidRDefault="00000000" w:rsidP="00340959">
      <w:pPr>
        <w:pStyle w:val="Heading1"/>
        <w:spacing w:before="0" w:after="0" w:line="360" w:lineRule="auto"/>
        <w:rPr>
          <w:rFonts w:ascii="Arial" w:hAnsi="Arial" w:cs="Arial"/>
          <w:b/>
          <w:bCs/>
          <w:sz w:val="21"/>
          <w:szCs w:val="21"/>
        </w:rPr>
      </w:pPr>
      <w:r>
        <w:rPr>
          <w:rFonts w:ascii="Arial" w:hAnsi="Arial" w:cs="Arial"/>
          <w:b/>
          <w:bCs/>
          <w:color w:val="7030A0"/>
          <w:sz w:val="21"/>
          <w:szCs w:val="21"/>
        </w:rPr>
        <w:t>Methodology</w:t>
      </w:r>
    </w:p>
    <w:p w14:paraId="5971911B" w14:textId="40636802" w:rsidR="005B28E8" w:rsidRPr="00340959" w:rsidRDefault="00F837D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This study presents an integrated Bayesian machine-learning framework for landslide susceptibility mapping (LSM), which incorporates flexibility-revealed preposing, probabilistic modeling, multilevel testing, and uncertainty-aware spatial deployment. The workflow began with compiling historical landslide records and their associated conditioning factors, followed by standard preprocessing operations. Multivariate analysis, assessment, imputation, and feature scaling were conducted only on the training data set </w:t>
        <w:fldChar w:fldCharType="begin"/>
        <w:instrText xml:space="preserve"> ADDIN ZOTERO_ITEM CSL_CITATION {"citationID":"3YwIFtEW","properties":{"formattedCitation":"(Achu et al. 2023)","plainCitation":"(Achu et al. 2023)","noteIndex":0},"citationItems":[{"id":332,"uris":["http://zotero.org/users/local/emosa1lm/items/EAEBALG2"],"itemData":{"id":332,"type":"article-journal","abstract":"Landslide susceptibility maps are vital tools used by decision-makers to adopt mitigation strategies for future calamities. In this context, research on landslide susceptibility modelling has become a topic of relevance and is in constant evolution. Though various machine-learning techniques (MLTs) have been identified for landslide susceptibility modelling, the uncertainty inherent in the models is rarely considered. The present study attempts to quantify the uncertainty associated with landslide prediction models by developing a new methodological framework based on the ensembles of the eight MLTs. This methodology has been tested at the highlands of the southern Western Ghats region (Kerala, India), where landslides have frequently been occurring. Fourteen landslide conditioning factors have been identified as part of this study, and their association was correlated with 671 historic landslides in the study area. The study used four ensemble models such as the mean of probabilities, the median of probabilities, the weighted mean of probabilities, and the committee average. The weighted mean of probability was proved to be the best model based on the average of 800 standalone MLTs, viz., receiver operating characteristics, true skill statistics, and area under curve with corresponding validation scores. Thereafter, an uncertainty analysis was carried out on the coefficient of variation. A confident map was generated to represent the distinct zonation of landslide susceptibility areas with definite uncertainty scales. Nearly 74% of the past landslides fall in the higher susceptibility-low uncertainty category. It is also inferred that such micro-level zonation based on MLTs may improve the efficiency of landslide susceptibility maps and may help in accurately identifying landslide-prone areas in the future. The confident maps thus generated can be used as a ready reference to the planners for the formulation of landslide adaptation strategies at micro-scales.","container-title":"Geoscience Frontiers","DOI":"10.1016/j.gsf.2023.101657","ISSN":"1674-9871","issue":"6","journalAbbreviation":"Geoscience Frontiers","page":"101657","source":"ScienceDirect","title":"Machine-learning based landslide susceptibility modelling with emphasis on uncertainty analysis","volume":"14","author":[{"family":"Achu","given":"A. L."},{"family":"Aju","given":"C. D."},{"family":"Di Napoli","given":"Mariano"},{"family":"Prakash","given":"Pranav"},{"family":"Gopinath","given":"Girish"},{"family":"Shaji","given":"E."},{"family":"Chandra","given":"Vinod"}],"issued":{"date-parts":[["2023",11,1]]}}}],"schema":"https://github.com/citation-style-language/schema/raw/master/csl-citation.json"} </w:instrText>
        <w:fldChar w:fldCharType="separate"/>
      </w:r>
      <w:r>
        <w:rPr>
          <w:rFonts w:ascii="Arial" w:hAnsi="Arial" w:cs="Arial"/>
          <w:sz w:val="21"/>
        </w:rPr>
        <w:t>(Achu et al. 2023)</w:t>
      </w:r>
      <w:r>
        <w:rPr>
          <w:rFonts w:ascii="Arial" w:hAnsi="Arial" w:cs="Arial"/>
          <w:color w:val="000000"/>
          <w:sz w:val="21"/>
          <w:szCs w:val="21"/>
        </w:rPr>
        <w:fldChar w:fldCharType="end"/>
        <w:t xml:space="preserve"> beginning with an exploratory data analysis (EDA). All steps were performed carefully to prevent data leakage. Both classes of models (Bayesian: Bayesian Logistic Regression, Gaussian Process Classifier; conventional benchmark) were trained using the same pipeline configurations to ensure a fair comparison. The proposed model performance was evaluated using a comprehensive validation strategy, along with repeated stratified cross-validation, spatial block cross-validation to assess the geographic generalization of results, and an independent holdout test for external evaluation </w:t>
        <w:fldChar w:fldCharType="begin"/>
        <w:instrText xml:space="preserve"> ADDIN ZOTERO_ITEM CSL_CITATION {"citationID":"bvczH05M","properties":{"formattedCitation":"(Afzal et al. 2025)","plainCitation":"(Afzal et al. 2025)","noteIndex":0},"citationItems":[{"id":334,"uris":["http://zotero.org/users/local/emosa1lm/items/AK4VFGDS"],"itemData":{"id":334,"type":"article-journal","abstract":"The agriculture field is the basis of a country’s change and financial system. Crops are the main source of revenue for the people. One of the farmer’s most challenging problems is choosing the right crops for their land. This critical decision has a direct impact on productivity and profit. Wrong crop selection not only reduces yields but also causes food shortages, creating more problems for farmers. The best crop depends on many parameters such as illustration humidity, N, K, P, pH, rainfall, and temperature of the soil. Getting advice from experts is not an easy task. This requires intelligent models in crop recommendations that use machine-learning models to suggest suitable crops for soil and other environmental conditions. Temperature, humidity, and pH are important data for growing crops in agriculture. In this study, we gather and preprocess relevant data. To recommend the most suitable crop, we propose a novel ensemble learning approach called RFXG based on random forest (RF) and extreme gradient boosting (XGB) to suggest the best crop out of the twenty-two major crops. To measure the capability of the proposed approach, various machine learning models are utilized including extra tree classifier, multilayer perceptron, RF, decision trees, logistic regression, and XGB classifiers. To get the best performance, optimization of hyperparameter, and K-fold cross-validation procedures are performed. Experimental outcomes show that the proposed RFXG technique achieves a recommendation accuracy is 98%. Specifically, the proposed solution provides immediate recommendations to help farmers make timely decisions.","container-title":"Scientific Reports","DOI":"10.1038/s41598-025-88676-z","ISSN":"2045-2322","issue":"1","journalAbbreviation":"Sci Rep","language":"en","license":"2025 The Author(s)","page":"8560","publisher":"Nature Publishing Group","source":"www.nature.com","title":"Incorporating soil information with machine learning for crop recommendation to improve agricultural output","volume":"15","author":[{"family":"Afzal","given":"Hadeeqa"},{"family":"Amjad","given":"Madiha"},{"family":"Raza","given":"Ali"},{"family":"Munir","given":"Kashif"},{"family":"Villar","given":"Santos Gracia"},{"family":"Lopez","given":"Luis Alonso Dzul"},{"family":"Ashraf","given":"Imran"}],"issued":{"date-parts":[["2025",3,12]]}}}],"schema":"https://github.com/citation-style-language/schema/raw/master/csl-citation.json"} </w:instrText>
        <w:fldChar w:fldCharType="separate"/>
      </w:r>
      <w:r>
        <w:rPr>
          <w:rFonts w:ascii="Arial" w:hAnsi="Arial" w:cs="Arial"/>
          <w:sz w:val="21"/>
        </w:rPr>
        <w:t>(Afzal et al. 2025)</w:t>
      </w:r>
      <w:r>
        <w:rPr>
          <w:rFonts w:ascii="Arial" w:hAnsi="Arial" w:cs="Arial"/>
          <w:color w:val="000000"/>
          <w:sz w:val="21"/>
          <w:szCs w:val="21"/>
        </w:rPr>
        <w:fldChar w:fldCharType="end"/>
        <w:t xml:space="preserve">. Discrimination, calibration, and probabilistic error metrics were jointly analyzed, and formal statistical tests were applied to identify groups that differ significantly. Final model selection was also based on performance assessments within a weighted multi-criteria rank-based framework that balances predictive power, spatial stability, and calibration fit. The chosen Bayesian model was then retrained on the entire dataset to produce a bivariate map of landslide susceptibility and uncertainty. The methodological flow chart is shown in Figure </w:t>
      </w:r>
      <w:commentRangeStart w:id="3"/>
      <w:commentRangeStart w:id="4"/>
      <w:r>
        <w:rPr>
          <w:rFonts w:ascii="Arial" w:hAnsi="Arial" w:cs="Arial"/>
          <w:color w:val="000000"/>
          <w:sz w:val="21"/>
          <w:szCs w:val="21"/>
        </w:rPr>
        <w:t>3</w:t>
      </w:r>
      <w:commentRangeEnd w:id="3"/>
      <w:r>
        <w:rPr>
          <w:rStyle w:val="CommentReference"/>
          <w:rFonts w:ascii="Arial" w:hAnsi="Arial" w:cs="Arial"/>
          <w:color w:val="000000"/>
          <w:sz w:val="21"/>
          <w:szCs w:val="21"/>
        </w:rPr>
        <w:commentReference w:id="3"/>
      </w:r>
      <w:commentRangeEnd w:id="4"/>
      <w:r>
        <w:rPr>
          <w:rStyle w:val="CommentReference"/>
          <w:rFonts w:ascii="Arial" w:hAnsi="Arial" w:cs="Arial"/>
          <w:color w:val="000000"/>
          <w:sz w:val="21"/>
          <w:szCs w:val="21"/>
        </w:rPr>
        <w:commentReference w:id="4"/>
      </w:r>
      <w:r>
        <w:rPr>
          <w:rFonts w:ascii="Arial" w:hAnsi="Arial" w:cs="Arial"/>
          <w:color w:val="000000"/>
          <w:sz w:val="21"/>
          <w:szCs w:val="21"/>
        </w:rPr>
        <w:t xml:space="preserve">. </w:t>
      </w:r>
    </w:p>
    <w:p w14:paraId="0343773B" w14:textId="263167F8" w:rsidR="000152B3" w:rsidRPr="00340959" w:rsidRDefault="00E47337" w:rsidP="00340959">
      <w:pPr>
        <w:spacing w:before="0" w:after="0" w:line="360" w:lineRule="auto"/>
        <w:jc w:val="center"/>
        <w:rPr>
          <w:rFonts w:ascii="Arial" w:hAnsi="Arial" w:cs="Arial"/>
          <w:sz w:val="21"/>
          <w:szCs w:val="21"/>
        </w:rPr>
      </w:pPr>
      <w:r>
        <w:rPr>
          <w:rFonts w:ascii="Arial" w:hAnsi="Arial" w:cs="Arial"/>
          <w:noProof/>
          <w:sz w:val="21"/>
          <w:szCs w:val="21"/>
        </w:rPr>
        <w:lastRenderedPageBreak/>
        <w:drawing>
          <wp:inline distT="0" distB="0" distL="0" distR="0" wp14:anchorId="61B38948" wp14:editId="506E6F28">
            <wp:extent cx="9045022" cy="5894354"/>
            <wp:effectExtent l="0" t="5715" r="0" b="0"/>
            <wp:docPr id="648832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2382" name="Picture 648832382"/>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9046454" cy="5895287"/>
                    </a:xfrm>
                    <a:prstGeom prst="rect">
                      <a:avLst/>
                    </a:prstGeom>
                  </pic:spPr>
                </pic:pic>
              </a:graphicData>
            </a:graphic>
          </wp:inline>
        </w:drawing>
      </w:r>
    </w:p>
    <w:p w14:paraId="5F29EA5C" w14:textId="595C632E" w:rsidR="005B28E8" w:rsidRPr="00340959" w:rsidRDefault="00000000" w:rsidP="00340959">
      <w:pPr>
        <w:spacing w:before="0" w:after="0" w:line="360" w:lineRule="auto"/>
        <w:jc w:val="center"/>
        <w:rPr>
          <w:rFonts w:ascii="Arial" w:hAnsi="Arial" w:cs="Arial"/>
          <w:i/>
          <w:iCs/>
          <w:sz w:val="21"/>
          <w:szCs w:val="21"/>
        </w:rPr>
      </w:pPr>
      <w:r>
        <w:rPr>
          <w:rFonts w:ascii="Arial" w:hAnsi="Arial" w:cs="Arial"/>
          <w:i/>
          <w:iCs/>
          <w:color w:val="000000"/>
          <w:sz w:val="21"/>
          <w:szCs w:val="21"/>
        </w:rPr>
        <w:t xml:space="preserve">Figure 3: Methodological workflow for Bayesian deployment with benchmark comparison.</w:t>
      </w:r>
    </w:p>
    <w:p w14:paraId="4FD3B319" w14:textId="77777777" w:rsidR="00D53A16" w:rsidRPr="00340959" w:rsidRDefault="00D53A16" w:rsidP="00340959">
      <w:pPr>
        <w:pStyle w:val="Heading2"/>
        <w:spacing w:before="0" w:after="0" w:line="360" w:lineRule="auto"/>
        <w:jc w:val="both"/>
        <w:rPr>
          <w:rFonts w:ascii="Arial" w:hAnsi="Arial" w:cs="Arial"/>
          <w:b/>
          <w:bCs/>
          <w:color w:val="000000"/>
          <w:sz w:val="21"/>
          <w:szCs w:val="21"/>
        </w:rPr>
      </w:pPr>
    </w:p>
    <w:p w14:paraId="6610A7E2" w14:textId="24C5B594" w:rsidR="005B28E8" w:rsidRPr="0029321A" w:rsidRDefault="00000000" w:rsidP="00340959">
      <w:pPr>
        <w:pStyle w:val="Heading2"/>
        <w:spacing w:before="0" w:after="0" w:line="360" w:lineRule="auto"/>
        <w:jc w:val="both"/>
        <w:rPr>
          <w:rFonts w:ascii="Arial" w:hAnsi="Arial" w:cs="Arial"/>
          <w:b/>
          <w:bCs/>
          <w:sz w:val="21"/>
          <w:szCs w:val="21"/>
        </w:rPr>
      </w:pPr>
      <w:r>
        <w:rPr>
          <w:rFonts w:ascii="Arial" w:hAnsi="Arial" w:cs="Arial"/>
          <w:b/>
          <w:bCs/>
          <w:color w:val="000000"/>
          <w:sz w:val="21"/>
          <w:szCs w:val="21"/>
        </w:rPr>
        <w:t>Multicollinearity screening</w:t>
      </w:r>
    </w:p>
    <w:p w14:paraId="7C1AEFEE" w14:textId="4C2BECFD" w:rsidR="00904121" w:rsidRPr="00340959" w:rsidRDefault="0029321A"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Multicollinearity was evaluated among the conditioning factors prior to model development to ensure that regression-based and kernel-based models would be statistically stable and interpretable </w:t>
        <w:fldChar w:fldCharType="begin"/>
        <w:instrText xml:space="preserve"> ADDIN ZOTERO_ITEM CSL_CITATION {"citationID":"sr29ygaA","properties":{"formattedCitation":"(Bobb et al. 2018)","plainCitation":"(Bobb et al. 2018)","noteIndex":0},"citationItems":[{"id":141,"uris":["http://zotero.org/users/local/emosa1lm/items/XCZVTZMR"],"itemData":{"id":141,"type":"article-journal","abstract":"Estimating the health effects of multi-pollutant mixtures is of increasing interest in environmental epidemiology. Recently, a new approach for estimating the health effects of mixtures, Bayesian kernel machine regression (BKMR), has been developed. This method estimates the multivariable exposure-response function in a flexible and parsimonious way, conducts variable selection on the (potentially high-dimensional) vector of exposures, and allows for a grouped variable selection approach that can accommodate highly correlated exposures. However, the application of this novel method has been limited by a lack of available software, the need to derive interpretable output in a computationally efficient manner, and the inability to apply the method to non-continuous outcome variables. This paper addresses these limitations by (i) introducing an open-source software package in the R programming language, the bkmr R package, (ii) demonstrating methods for visualizing high-dimensional exposure-response functions, and for estimating scientifically relevant summaries, (iii) illustrating a probit regression implementation of BKMR for binary outcomes, and (iv) describing a fast version of BKMR that utilizes a Gaussian predictive process approach. All of the methods are illustrated using fully reproducible examples with the provided R code. Applying the methods to a continuous outcome example illustrated the ability of the BKMR implementation to estimate the health effects of multi-pollutant mixtures in the context of a highly nonlinear, biologically-based dose-response function, and to estimate overall, single-exposure, and interactive health effects. The Gaussian predictive process method led to a substantial reduction in the runtime, without a major decrease in accuracy. In the setting of a larger number of exposures and a dichotomous outcome, the probit BKMR implementation was able to correctly identify the variables included in the exposure-response function and yielded interpretable quantities on the scale of a latent continuous outcome or on the scale of the outcome probability. This newly developed software, integrated suite of tools, and extended methodology makes BKMR accessible for use across a broad range of epidemiological applications in which multiple risk factors have complex effects on health.","container-title":"Environmental Health","DOI":"10.1186/s12940-018-0413-y","ISSN":"1476-069X","issue":"1","PMID":"30126431","publisher":"BioMed Central","title":"Statistical software for analyzing the health effects of multiple concurrent exposures via Bayesian kernel machine regression","URL":"https://doi.org/10.1186/s12940-018-0413-y","volume":"17","author":[{"family":"Bobb","given":"Jennifer F."},{"family":"Henn","given":"Birgit Claus"},{"family":"Valeri","given":"Linda"},{"family":"Coull","given":"Brent A."}],"issued":{"date-parts":[["2018",8]]}}}],"schema":"https://github.com/citation-style-language/schema/raw/master/csl-citation.json"} </w:instrText>
        <w:fldChar w:fldCharType="separate"/>
      </w:r>
      <w:r>
        <w:rPr>
          <w:rFonts w:ascii="Arial" w:hAnsi="Arial" w:cs="Arial"/>
          <w:sz w:val="21"/>
        </w:rPr>
        <w:t>(Bobb et al. 2018)</w:t>
      </w:r>
      <w:r>
        <w:rPr>
          <w:rFonts w:ascii="Arial" w:hAnsi="Arial" w:cs="Arial"/>
          <w:color w:val="000000"/>
          <w:sz w:val="21"/>
          <w:szCs w:val="21"/>
        </w:rPr>
        <w:fldChar w:fldCharType="end"/>
        <w:t xml:space="preserve">. Predictor intercorrelation induces inflation in variance estimates, destabilizes coefficient estimation, and distorts posterior uncertainty of inference based on Bayesian frameworks </w:t>
        <w:fldChar w:fldCharType="begin"/>
        <w:instrText xml:space="preserve"> ADDIN ZOTERO_ITEM CSL_CITATION {"citationID":"XjpeAIO5","properties":{"formattedCitation":"(Gregorich et al. 2021)","plainCitation":"(Gregorich et al. 2021)","noteIndex":0},"citationItems":[{"id":142,"uris":["http://zotero.org/users/local/emosa1lm/items/6YTBFZEY"],"itemData":{"id":142,"type":"article-journal","abstract":"Regression models have been in use for decades to explore and quantify the association between a dependent response and several independent variables in environmental sciences, epidemiology and public health. However, researchers often encounter situations in which some independent variables exhibit high bivariate correlation, or may even be collinear. Improper statistical handling of this situation will most certainly generate models of little or no practical use and misleading interpretations. By means of two example studies, we demonstrate how diagnostic tools for collinearity or near-collinearity may fail in guiding the analyst. Instead, the most appropriate way of handling collinearity should be driven by the research question at hand and, in particular, by the distinction between predictive or explanatory aims.","container-title":"International Journal of Environmental Research and Public Health","DOI":"10.3390/ijerph18084259","ISSN":"1660-4601, 1661-7827","issue":"8","page":"4259-4259","PMID":"33920501","publisher":"Multidisciplinary Digital Publishing Institute","title":"Regression with Highly Correlated Predictors: Variable Omission Is Not the Solution","volume":"18","author":[{"family":"Gregorich","given":"Mariella"},{"family":"Strohmaier","given":"Susanne"},{"family":"Dunkler","given":"Daniela"},{"family":"Heinze","given":"Georg"}],"issued":{"date-parts":[["2021",4]]}}}],"schema":"https://github.com/citation-style-language/schema/raw/master/csl-citation.json"} </w:instrText>
        <w:fldChar w:fldCharType="separate"/>
      </w:r>
      <w:r>
        <w:rPr>
          <w:rFonts w:ascii="Arial" w:hAnsi="Arial" w:cs="Arial"/>
          <w:sz w:val="21"/>
        </w:rPr>
        <w:t>(Gregorich et al. 2021)</w:t>
      </w:r>
      <w:r>
        <w:rPr>
          <w:rFonts w:ascii="Arial" w:hAnsi="Arial" w:cs="Arial"/>
          <w:color w:val="000000"/>
          <w:sz w:val="21"/>
          <w:szCs w:val="21"/>
        </w:rPr>
        <w:fldChar w:fldCharType="end"/>
        <w:t xml:space="preserve">. Hence, the multicollinearity diagnostics were carried out only on the training subset to avoid any information leakage into the validation stages </w:t>
        <w:fldChar w:fldCharType="begin"/>
        <w:instrText xml:space="preserve"> ADDIN ZOTERO_ITEM CSL_CITATION {"citationID":"T9HaBExx","properties":{"formattedCitation":"(Rahaman and Abdul 2024)","plainCitation":"(Rahaman and Abdul 2024)","noteIndex":0},"citationItems":[{"id":336,"uris":["http://zotero.org/users/local/emosa1lm/items/X8GASUYC"],"itemData":{"id":336,"type":"article","abstract":"Economic policy uncertainty relates to the unpredictability in government policies that can impact economic decision-making. High policy uncertainty can lead to less investment, slower economic growth, and increased volatility in financial markets. This study aims to quantify the uncertainty by employing a data-driven approach based on Bayesian Hierarchical Modeling (BHM) and Markov Chain Monte Carlo simulations. This research focuses essentially on key policy domains such as monetary policy, fiscal policy, and trade policy where uncertainty underlies crucial influences upon economic decisions. The methodology integrates data collection, feature scaling, normalization, Bayesian inference using MCMC simulations, uncertainty quantification and policy prediction to produce predictive insights under various economic scenarios. The Bayesian Hierarchical Model was employed to estimate the relationships between macroeconomic variables and policy outcomes. The posterior distribution results revealed significant predictors, with certain factors like monetary policy uncertainty exerting a substantial negative impact, while others such as equity market-related uncertainty showed positive influence. &amp;amp;nbsp;A rigorous uncertainty quantification step provided credible intervals for predicted outcomes with a 95% credible interval ranging between 0.276 - 0.359. This enabled an assessment of the potential variability in predictions based on differing levels of economic uncertainty. The study concluded with policy predictions generated under two distinct economic scenarios. Under conditions of high uncertainty, the predicted policy outcome was -0.2346, while a moderate uncertainty scenario resulted in a less negative outcome of -0.2060. These results demonstrate the sensitivity of economic policy predictions to varying levels of uncertainty. The findings provide a robust framework for understanding and quantifying uncertainty in economic policy-making. By applying BHM and Monte Carlo methods, this study contributes to the development of more resilient and adaptive economic strategies in the face of uncertainty.","DOI":"10.21203/rs.3.rs-5299835/v1","note":"ISSN: 2693-5015","publisher":"Research Square","source":"Research Square","title":"Quantifying Uncertainty in Economics Policy Predictions: A Bayesian &amp;amp; Monte Carlo based Data-Driven Approach","title-short":"Quantifying Uncertainty in Economics Policy Predictions","URL":"https://www.researchsquare.com/article/rs-5299835/v1","author":[{"family":"Rahaman","given":"Shafeeq Ur"},{"family":"Abdul","given":"Mahe Jabeen"}],"accessed":{"date-parts":[["2026",4,25]]},"issued":{"date-parts":[["2024",10,22]]}}}],"schema":"https://github.com/citation-style-language/schema/raw/master/csl-citation.json"} </w:instrText>
        <w:fldChar w:fldCharType="separate"/>
      </w:r>
      <w:r>
        <w:rPr>
          <w:rFonts w:ascii="Arial" w:hAnsi="Arial" w:cs="Arial"/>
          <w:sz w:val="21"/>
        </w:rPr>
        <w:t>(Rahaman and Abdul 2024)</w:t>
      </w:r>
      <w:r>
        <w:rPr>
          <w:rFonts w:ascii="Arial" w:hAnsi="Arial" w:cs="Arial"/>
          <w:color w:val="000000"/>
          <w:sz w:val="21"/>
          <w:szCs w:val="21"/>
        </w:rPr>
        <w:fldChar w:fldCharType="end"/>
        <w:t>.</w:t>
      </w:r>
    </w:p>
    <w:p w14:paraId="28E38371" w14:textId="7EC77543" w:rsidR="000152B3" w:rsidRPr="00340959" w:rsidRDefault="000152B3"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In this study, multicollinearity was assessed using the Variance Inflation Factor (VIF) and its reciprocal, the Tolerance (TOL) index. For each predictor variable </w:t>
      </w:r>
      <m:oMath>
        <m:sSub>
          <m:sSubPr>
            <m:ctrlPr>
              <w:rPr>
                <w:rFonts w:ascii="Cambria Math" w:hAnsi="Cambria Math" w:cs="Arial"/>
                <w:color w:val="000000"/>
                <w:sz w:val="21"/>
                <w:szCs w:val="21"/>
              </w:rPr>
            </m:ctrlPr>
          </m:sSubPr>
          <m:e>
            <m:r>
              <w:rPr>
                <w:rFonts w:ascii="Cambria Math" w:hAnsi="Cambria Math" w:cs="Arial"/>
                <w:color w:val="000000"/>
                <w:sz w:val="21"/>
                <w:szCs w:val="21"/>
              </w:rPr>
              <m:t>X</m:t>
            </m:r>
          </m:e>
          <m:sub>
            <m:r>
              <w:rPr>
                <w:rFonts w:ascii="Cambria Math" w:hAnsi="Cambria Math" w:cs="Arial"/>
                <w:color w:val="000000"/>
                <w:sz w:val="21"/>
                <w:szCs w:val="21"/>
              </w:rPr>
              <m:t>j</m:t>
            </m:r>
          </m:sub>
        </m:sSub>
      </m:oMath>
      <w:r>
        <w:rPr>
          <w:rFonts w:ascii="Arial" w:hAnsi="Arial" w:cs="Arial"/>
          <w:color w:val="000000"/>
          <w:sz w:val="21"/>
          <w:szCs w:val="21"/>
        </w:rPr>
        <w:t xml:space="preserve">, a regression model was fitted against all remaining predictors, and the corresponding coefficient of determination </w:t>
      </w:r>
      <m:oMath>
        <m:sSubSup>
          <m:sSubSupPr>
            <m:ctrlPr>
              <w:rPr>
                <w:rFonts w:ascii="Cambria Math" w:hAnsi="Cambria Math" w:cs="Arial"/>
                <w:color w:val="000000"/>
                <w:sz w:val="21"/>
                <w:szCs w:val="21"/>
              </w:rPr>
            </m:ctrlPr>
          </m:sSubSupPr>
          <m:e>
            <m:r>
              <w:rPr>
                <w:rFonts w:ascii="Cambria Math" w:hAnsi="Cambria Math" w:cs="Arial"/>
                <w:color w:val="000000"/>
                <w:sz w:val="21"/>
                <w:szCs w:val="21"/>
              </w:rPr>
              <m:t>R</m:t>
            </m:r>
          </m:e>
          <m:sub>
            <m:r>
              <w:rPr>
                <w:rFonts w:ascii="Cambria Math" w:hAnsi="Cambria Math" w:cs="Arial"/>
                <w:color w:val="000000"/>
                <w:sz w:val="21"/>
                <w:szCs w:val="21"/>
              </w:rPr>
              <m:t>j</m:t>
            </m:r>
          </m:sub>
          <m:sup>
            <m:r>
              <w:rPr>
                <w:rFonts w:ascii="Cambria Math" w:hAnsi="Cambria Math" w:cs="Arial"/>
                <w:color w:val="000000"/>
                <w:sz w:val="21"/>
                <w:szCs w:val="21"/>
              </w:rPr>
              <m:t>2</m:t>
            </m:r>
          </m:sup>
        </m:sSubSup>
      </m:oMath>
      <w:r>
        <w:rPr>
          <w:rFonts w:ascii="Arial" w:hAnsi="Arial" w:cs="Arial"/>
          <w:color w:val="000000"/>
          <w:sz w:val="21"/>
          <w:szCs w:val="21"/>
        </w:rPr>
        <w:t>was computed. The tolerance value is defined as:</w:t>
      </w:r>
    </w:p>
    <w:p w14:paraId="2B6EF486" w14:textId="3E8E08D1" w:rsidR="000152B3" w:rsidRPr="00340959" w:rsidRDefault="00000000" w:rsidP="00340959">
      <w:pPr>
        <w:spacing w:before="0" w:after="0" w:line="360" w:lineRule="auto"/>
        <w:jc w:val="both"/>
        <w:rPr>
          <w:rFonts w:ascii="Arial" w:hAnsi="Arial" w:cs="Arial"/>
          <w:color w:val="000000"/>
          <w:sz w:val="21"/>
          <w:szCs w:val="21"/>
        </w:rPr>
      </w:pPr>
      <m:oMathPara>
        <m:oMath>
          <m:m>
            <m:mPr>
              <m:plcHide m:val="1"/>
              <m:mcs>
                <m:mc>
                  <m:mcPr>
                    <m:count m:val="4"/>
                    <m:mcJc m:val="center"/>
                  </m:mcPr>
                </m:mc>
              </m:mcs>
              <m:ctrlPr>
                <w:rPr>
                  <w:rFonts w:ascii="Cambria Math" w:hAnsi="Cambria Math" w:cs="Arial"/>
                  <w:color w:val="000000"/>
                  <w:sz w:val="21"/>
                  <w:szCs w:val="21"/>
                </w:rPr>
              </m:ctrlPr>
            </m:mPr>
            <m:mr>
              <m:e/>
              <m:e>
                <m:sSub>
                  <m:sSubPr>
                    <m:ctrlPr>
                      <w:rPr>
                        <w:rFonts w:ascii="Cambria Math" w:hAnsi="Cambria Math" w:cs="Arial"/>
                        <w:color w:val="000000"/>
                        <w:sz w:val="21"/>
                        <w:szCs w:val="21"/>
                      </w:rPr>
                    </m:ctrlPr>
                  </m:sSubPr>
                  <m:e>
                    <m:r>
                      <m:rPr>
                        <m:nor/>
                      </m:rPr>
                      <w:rPr>
                        <w:rFonts w:ascii="Arial" w:hAnsi="Arial" w:cs="Arial"/>
                        <w:color w:val="000000"/>
                        <w:sz w:val="21"/>
                        <w:szCs w:val="21"/>
                      </w:rPr>
                      <m:t>Tolerance</m:t>
                    </m:r>
                  </m:e>
                  <m:sub>
                    <m:r>
                      <w:rPr>
                        <w:rFonts w:ascii="Cambria Math" w:hAnsi="Cambria Math" w:cs="Arial"/>
                        <w:color w:val="000000"/>
                        <w:sz w:val="21"/>
                        <w:szCs w:val="21"/>
                      </w:rPr>
                      <m:t>j</m:t>
                    </m:r>
                  </m:sub>
                </m:sSub>
                <m:r>
                  <w:rPr>
                    <w:rFonts w:ascii="Cambria Math" w:hAnsi="Cambria Math" w:cs="Arial"/>
                    <w:color w:val="000000"/>
                    <w:sz w:val="21"/>
                    <w:szCs w:val="21"/>
                  </w:rPr>
                  <m:t>=1-</m:t>
                </m:r>
                <m:sSubSup>
                  <m:sSubSupPr>
                    <m:ctrlPr>
                      <w:rPr>
                        <w:rFonts w:ascii="Cambria Math" w:hAnsi="Cambria Math" w:cs="Arial"/>
                        <w:color w:val="000000"/>
                        <w:sz w:val="21"/>
                        <w:szCs w:val="21"/>
                      </w:rPr>
                    </m:ctrlPr>
                  </m:sSubSupPr>
                  <m:e>
                    <m:r>
                      <w:rPr>
                        <w:rFonts w:ascii="Cambria Math" w:hAnsi="Cambria Math" w:cs="Arial"/>
                        <w:color w:val="000000"/>
                        <w:sz w:val="21"/>
                        <w:szCs w:val="21"/>
                      </w:rPr>
                      <m:t>R</m:t>
                    </m:r>
                  </m:e>
                  <m:sub>
                    <m:r>
                      <w:rPr>
                        <w:rFonts w:ascii="Cambria Math" w:hAnsi="Cambria Math" w:cs="Arial"/>
                        <w:color w:val="000000"/>
                        <w:sz w:val="21"/>
                        <w:szCs w:val="21"/>
                      </w:rPr>
                      <m:t>j</m:t>
                    </m:r>
                  </m:sub>
                  <m:sup>
                    <m:r>
                      <w:rPr>
                        <w:rFonts w:ascii="Cambria Math" w:hAnsi="Cambria Math" w:cs="Arial"/>
                        <w:color w:val="000000"/>
                        <w:sz w:val="21"/>
                        <w:szCs w:val="21"/>
                      </w:rPr>
                      <m:t>2</m:t>
                    </m:r>
                  </m:sup>
                </m:sSubSup>
              </m:e>
              <m:e/>
              <m:e>
                <m:r>
                  <m:rPr>
                    <m:nor/>
                  </m:rPr>
                  <w:rPr>
                    <w:rFonts w:ascii="Arial" w:hAnsi="Arial" w:cs="Arial"/>
                    <w:color w:val="000000"/>
                    <w:sz w:val="21"/>
                    <w:szCs w:val="21"/>
                  </w:rPr>
                  <m:t>(1)</m:t>
                </m:r>
              </m:e>
            </m:mr>
          </m:m>
          <m:r>
            <m:rPr>
              <m:sty m:val="p"/>
            </m:rPr>
            <w:rPr>
              <w:rFonts w:ascii="Cambria Math" w:hAnsi="Cambria Math" w:cs="Arial"/>
              <w:color w:val="000000"/>
              <w:sz w:val="21"/>
              <w:szCs w:val="21"/>
            </w:rPr>
            <w:br/>
          </m:r>
        </m:oMath>
      </m:oMathPara>
      <w:r>
        <w:rPr>
          <w:rFonts w:ascii="Arial" w:hAnsi="Arial" w:cs="Arial"/>
          <w:color w:val="000000"/>
          <w:sz w:val="21"/>
          <w:szCs w:val="21"/>
        </w:rPr>
        <w:t>The Variance Inflation Factor is then calculated as:</w:t>
      </w:r>
    </w:p>
    <w:p w14:paraId="69DAC7EB" w14:textId="3C5B5B01" w:rsidR="000152B3" w:rsidRPr="00340959" w:rsidRDefault="00000000" w:rsidP="00340959">
      <w:pPr>
        <w:spacing w:before="0" w:after="0" w:line="360" w:lineRule="auto"/>
        <w:jc w:val="both"/>
        <w:rPr>
          <w:rFonts w:ascii="Arial" w:hAnsi="Arial" w:cs="Arial"/>
          <w:color w:val="000000"/>
          <w:sz w:val="21"/>
          <w:szCs w:val="21"/>
        </w:rPr>
      </w:pPr>
      <m:oMathPara>
        <m:oMath>
          <m:m>
            <m:mPr>
              <m:plcHide m:val="1"/>
              <m:mcs>
                <m:mc>
                  <m:mcPr>
                    <m:count m:val="4"/>
                    <m:mcJc m:val="center"/>
                  </m:mcPr>
                </m:mc>
              </m:mcs>
              <m:ctrlPr>
                <w:rPr>
                  <w:rFonts w:ascii="Cambria Math" w:hAnsi="Cambria Math" w:cs="Arial"/>
                  <w:color w:val="000000"/>
                  <w:sz w:val="21"/>
                  <w:szCs w:val="21"/>
                </w:rPr>
              </m:ctrlPr>
            </m:mPr>
            <m:mr>
              <m:e/>
              <m:e>
                <m:sSub>
                  <m:sSubPr>
                    <m:ctrlPr>
                      <w:rPr>
                        <w:rFonts w:ascii="Cambria Math" w:hAnsi="Cambria Math" w:cs="Arial"/>
                        <w:color w:val="000000"/>
                        <w:sz w:val="21"/>
                        <w:szCs w:val="21"/>
                      </w:rPr>
                    </m:ctrlPr>
                  </m:sSubPr>
                  <m:e>
                    <m:r>
                      <m:rPr>
                        <m:nor/>
                      </m:rPr>
                      <w:rPr>
                        <w:rFonts w:ascii="Arial" w:hAnsi="Arial" w:cs="Arial"/>
                        <w:color w:val="000000"/>
                        <w:sz w:val="21"/>
                        <w:szCs w:val="21"/>
                      </w:rPr>
                      <m:t>VIF</m:t>
                    </m:r>
                  </m:e>
                  <m:sub>
                    <m:r>
                      <w:rPr>
                        <w:rFonts w:ascii="Cambria Math" w:hAnsi="Cambria Math" w:cs="Arial"/>
                        <w:color w:val="000000"/>
                        <w:sz w:val="21"/>
                        <w:szCs w:val="21"/>
                      </w:rPr>
                      <m:t>j</m:t>
                    </m:r>
                  </m:sub>
                </m:sSub>
                <m:r>
                  <w:rPr>
                    <w:rFonts w:ascii="Cambria Math" w:hAnsi="Cambria Math" w:cs="Arial"/>
                    <w:color w:val="000000"/>
                    <w:sz w:val="21"/>
                    <w:szCs w:val="21"/>
                  </w:rPr>
                  <m:t>=</m:t>
                </m:r>
                <m:f>
                  <m:fPr>
                    <m:ctrlPr>
                      <w:rPr>
                        <w:rFonts w:ascii="Cambria Math" w:hAnsi="Cambria Math" w:cs="Arial"/>
                        <w:color w:val="000000"/>
                        <w:sz w:val="21"/>
                        <w:szCs w:val="21"/>
                      </w:rPr>
                    </m:ctrlPr>
                  </m:fPr>
                  <m:num>
                    <m:r>
                      <w:rPr>
                        <w:rFonts w:ascii="Cambria Math" w:hAnsi="Cambria Math" w:cs="Arial"/>
                        <w:color w:val="000000"/>
                        <w:sz w:val="21"/>
                        <w:szCs w:val="21"/>
                      </w:rPr>
                      <m:t>1</m:t>
                    </m:r>
                  </m:num>
                  <m:den>
                    <m:sSub>
                      <m:sSubPr>
                        <m:ctrlPr>
                          <w:rPr>
                            <w:rFonts w:ascii="Cambria Math" w:hAnsi="Cambria Math" w:cs="Arial"/>
                            <w:color w:val="000000"/>
                            <w:sz w:val="21"/>
                            <w:szCs w:val="21"/>
                          </w:rPr>
                        </m:ctrlPr>
                      </m:sSubPr>
                      <m:e>
                        <m:r>
                          <m:rPr>
                            <m:nor/>
                          </m:rPr>
                          <w:rPr>
                            <w:rFonts w:ascii="Arial" w:hAnsi="Arial" w:cs="Arial"/>
                            <w:color w:val="000000"/>
                            <w:sz w:val="21"/>
                            <w:szCs w:val="21"/>
                          </w:rPr>
                          <m:t>Tolerance</m:t>
                        </m:r>
                      </m:e>
                      <m:sub>
                        <m:r>
                          <w:rPr>
                            <w:rFonts w:ascii="Cambria Math" w:hAnsi="Cambria Math" w:cs="Arial"/>
                            <w:color w:val="000000"/>
                            <w:sz w:val="21"/>
                            <w:szCs w:val="21"/>
                          </w:rPr>
                          <m:t>j</m:t>
                        </m:r>
                      </m:sub>
                    </m:sSub>
                  </m:den>
                </m:f>
              </m:e>
              <m:e/>
              <m:e>
                <m:r>
                  <m:rPr>
                    <m:nor/>
                  </m:rPr>
                  <w:rPr>
                    <w:rFonts w:ascii="Arial" w:hAnsi="Arial" w:cs="Arial"/>
                    <w:color w:val="000000"/>
                    <w:sz w:val="21"/>
                    <w:szCs w:val="21"/>
                  </w:rPr>
                  <m:t>(2)</m:t>
                </m:r>
              </m:e>
            </m:mr>
          </m:m>
          <m:r>
            <m:rPr>
              <m:sty m:val="p"/>
            </m:rPr>
            <w:rPr>
              <w:rFonts w:ascii="Cambria Math" w:hAnsi="Cambria Math" w:cs="Arial"/>
              <w:color w:val="000000"/>
              <w:sz w:val="21"/>
              <w:szCs w:val="21"/>
            </w:rPr>
            <w:br/>
          </m:r>
        </m:oMath>
      </m:oMathPara>
      <w:r>
        <w:rPr>
          <w:rFonts w:ascii="Arial" w:hAnsi="Arial" w:cs="Arial"/>
          <w:color w:val="000000"/>
          <w:sz w:val="21"/>
          <w:szCs w:val="21"/>
        </w:rPr>
        <w:t xml:space="preserve">where </w:t>
      </w:r>
      <m:oMath>
        <m:sSubSup>
          <m:sSubSupPr>
            <m:ctrlPr>
              <w:rPr>
                <w:rFonts w:ascii="Cambria Math" w:hAnsi="Cambria Math" w:cs="Arial"/>
                <w:color w:val="000000"/>
                <w:sz w:val="21"/>
                <w:szCs w:val="21"/>
              </w:rPr>
            </m:ctrlPr>
          </m:sSubSupPr>
          <m:e>
            <m:r>
              <w:rPr>
                <w:rFonts w:ascii="Cambria Math" w:hAnsi="Cambria Math" w:cs="Arial"/>
                <w:color w:val="000000"/>
                <w:sz w:val="21"/>
                <w:szCs w:val="21"/>
              </w:rPr>
              <m:t>R</m:t>
            </m:r>
          </m:e>
          <m:sub>
            <m:r>
              <w:rPr>
                <w:rFonts w:ascii="Cambria Math" w:hAnsi="Cambria Math" w:cs="Arial"/>
                <w:color w:val="000000"/>
                <w:sz w:val="21"/>
                <w:szCs w:val="21"/>
              </w:rPr>
              <m:t>j</m:t>
            </m:r>
          </m:sub>
          <m:sup>
            <m:r>
              <w:rPr>
                <w:rFonts w:ascii="Cambria Math" w:hAnsi="Cambria Math" w:cs="Arial"/>
                <w:color w:val="000000"/>
                <w:sz w:val="21"/>
                <w:szCs w:val="21"/>
              </w:rPr>
              <m:t>2</m:t>
            </m:r>
          </m:sup>
        </m:sSubSup>
      </m:oMath>
      <w:r>
        <w:rPr>
          <w:rFonts w:ascii="Arial" w:hAnsi="Arial" w:cs="Arial"/>
          <w:color w:val="000000"/>
          <w:sz w:val="21"/>
          <w:szCs w:val="21"/>
        </w:rPr>
        <w:t xml:space="preserve">represents the coefficient of determination obtained when the </w:t>
      </w:r>
      <m:oMath>
        <m:sSup>
          <m:sSupPr>
            <m:ctrlPr>
              <w:rPr>
                <w:rFonts w:ascii="Cambria Math" w:hAnsi="Cambria Math" w:cs="Arial"/>
                <w:color w:val="000000"/>
                <w:sz w:val="21"/>
                <w:szCs w:val="21"/>
              </w:rPr>
            </m:ctrlPr>
          </m:sSupPr>
          <m:e>
            <m:r>
              <w:rPr>
                <w:rFonts w:ascii="Cambria Math" w:hAnsi="Cambria Math" w:cs="Arial"/>
                <w:color w:val="000000"/>
                <w:sz w:val="21"/>
                <w:szCs w:val="21"/>
              </w:rPr>
              <m:t>j</m:t>
            </m:r>
          </m:e>
          <m:sup>
            <m:r>
              <w:rPr>
                <w:rFonts w:ascii="Cambria Math" w:hAnsi="Cambria Math" w:cs="Arial"/>
                <w:color w:val="000000"/>
                <w:sz w:val="21"/>
                <w:szCs w:val="21"/>
              </w:rPr>
              <m:t>th</m:t>
            </m:r>
          </m:sup>
        </m:sSup>
        <m:r>
          <w:rPr>
            <w:rFonts w:ascii="Cambria Math" w:hAnsi="Cambria Math" w:cs="Arial"/>
            <w:color w:val="000000"/>
            <w:sz w:val="21"/>
            <w:szCs w:val="21"/>
          </w:rPr>
          <m:t xml:space="preserve"> </m:t>
        </m:r>
      </m:oMath>
      <w:r>
        <w:rPr>
          <w:rFonts w:ascii="Arial" w:hAnsi="Arial" w:cs="Arial"/>
          <w:color w:val="000000"/>
          <w:sz w:val="21"/>
          <w:szCs w:val="21"/>
        </w:rPr>
        <w:t xml:space="preserve"> The predictor is regressed on the remaining predictors.</w:t>
      </w:r>
    </w:p>
    <w:p w14:paraId="7F3E5D69" w14:textId="085C25C1" w:rsidR="005B28E8" w:rsidRPr="00340959"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Following established recommendations in susceptibility modeling studies, predictors with VIF values greater than 5 were considered indicative of substantial multicollinearity and were iteratively removed. The iterative elimination process continued until all remaining predictors met the predefined VIF criterion </w:t>
        <w:fldChar w:fldCharType="begin"/>
        <w:instrText xml:space="preserve"> ADDIN ZOTERO_ITEM CSL_CITATION {"citationID":"7DENy3VC","properties":{"formattedCitation":"(Manczinger et al. 2025)","plainCitation":"(Manczinger et al. 2025)","noteIndex":0},"citationItems":[{"id":144,"uris":["http://zotero.org/users/local/emosa1lm/items/GZLQLB4J"],"itemData":{"id":144,"type":"article-journal","abstract":"Abstract Climate change endangers the Carpathian region by increasing the risk of fires. In response, our study provides a harmonised dataset with twenty-seven variables and develops an interpretable machine learning-based framework for assessing fire susceptibility across all seven countries of the region. We applied a two-stage process: first, using various feature selection techniques to refine predictors before the modeling phase, and second, utilising the SHAP framework to interpret model predictions. Between these steps, advanced machine learning models were optimised and trained in the H2O environment, demonstrating high predictive accuracy. Our findings revealed eight fire susceptibility clusters. The resulting dataset, susceptibility maps, and detailed interpretative insights serve as a valuable resource for local communities and policy-makers in the region.","container-title":"Scientific Reports","DOI":"10.1038/s41598-025-10296-4","ISSN":"2045-2322","issue":"1","PMID":"40826149","publisher":"Nature Portfolio","title":"Fire susceptibility assessment in the Carpathians using an interpretable framework","URL":"https://doi.org/10.1038/s41598-025-10296-4","volume":"15","author":[{"family":"Manczinger","given":"Melinda"},{"family":"Kovács","given":"László"},{"family":"Kovács","given":"Tibor"}],"issued":{"date-parts":[["2025",8]]}}}],"schema":"https://github.com/citation-style-language/schema/raw/master/csl-citation.json"} </w:instrText>
        <w:fldChar w:fldCharType="separate"/>
      </w:r>
      <w:r>
        <w:rPr>
          <w:rFonts w:ascii="Arial" w:hAnsi="Arial" w:cs="Arial"/>
          <w:sz w:val="21"/>
        </w:rPr>
        <w:t>(Manczinger et al. 2025)</w:t>
      </w:r>
      <w:r>
        <w:rPr>
          <w:rFonts w:ascii="Arial" w:hAnsi="Arial" w:cs="Arial"/>
          <w:color w:val="000000"/>
          <w:sz w:val="21"/>
          <w:szCs w:val="21"/>
        </w:rPr>
        <w:fldChar w:fldCharType="end"/>
        <w:t>.</w:t>
      </w:r>
    </w:p>
    <w:p w14:paraId="5ACEAE5C" w14:textId="77777777" w:rsidR="000152B3" w:rsidRPr="00340959" w:rsidRDefault="000152B3" w:rsidP="00340959">
      <w:pPr>
        <w:pStyle w:val="Heading2"/>
        <w:spacing w:before="0" w:after="0" w:line="360" w:lineRule="auto"/>
        <w:jc w:val="both"/>
        <w:rPr>
          <w:rFonts w:ascii="Arial" w:hAnsi="Arial" w:cs="Arial"/>
          <w:color w:val="000000"/>
          <w:sz w:val="21"/>
          <w:szCs w:val="21"/>
        </w:rPr>
      </w:pPr>
    </w:p>
    <w:p w14:paraId="16927DDB" w14:textId="57185055" w:rsidR="005B28E8" w:rsidRPr="004D3B85" w:rsidRDefault="00000000" w:rsidP="00340959">
      <w:pPr>
        <w:pStyle w:val="Heading1"/>
        <w:spacing w:before="0" w:after="0" w:line="360" w:lineRule="auto"/>
        <w:rPr>
          <w:rFonts w:ascii="Arial" w:hAnsi="Arial" w:cs="Arial"/>
          <w:b/>
          <w:bCs/>
          <w:color w:val="7030A0"/>
          <w:sz w:val="21"/>
          <w:szCs w:val="21"/>
        </w:rPr>
      </w:pPr>
      <w:r>
        <w:rPr>
          <w:rFonts w:ascii="Arial" w:hAnsi="Arial" w:cs="Arial"/>
          <w:b/>
          <w:bCs/>
          <w:color w:val="7030A0"/>
          <w:sz w:val="21"/>
          <w:szCs w:val="21"/>
        </w:rPr>
        <w:t>Machine Learning Models</w:t>
      </w:r>
    </w:p>
    <w:p w14:paraId="0CF30604" w14:textId="2E5C4AC3" w:rsidR="005B28E8"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Four classification algorithms were implemented within a unified preprocessing and validation framework to ensure methodological consistency, while conventional models were included as discriminative benchmarks. These algorithms were selected based on various studies in the literature </w:t>
        <w:fldChar w:fldCharType="begin"/>
        <w:instrText xml:space="preserve"> ADDIN ZOTERO_ITEM CSL_CITATION {"citationID":"Xplh1Ed7","properties":{"formattedCitation":"(Gupta and Sivakumar 2025)","plainCitation":"(Gupta and Sivakumar 2025)","noteIndex":0},"citationItems":[{"id":348,"uris":["http://zotero.org/users/local/emosa1lm/items/C3QKNLBR"],"itemData":{"id":348,"type":"article-journal","abstract":"Brain-computer interfaces (BCIs) offer an implicit, non-linguistic communication channel between users and machines. Despite their potential, BCIs are far from becoming a mainstream communication modality like text and speech. While non-invasive BCIs, such as Electroencephalography, are favored for their ease of use, their broader adoption is limited by challenges related to signal noise, artifacts, and variability across users. In this paper, we propose a novel method called response coupling, aimed at enhancing brain signal detection and reliability by pairing a brain signal with an artificially induced auxiliary signal and leveraging their interaction. Specifically, we use error-related potentials (ErrPs) as the primary signal and steady-state visual evoked potentials (SSVEPs) as the auxiliary signal. SSVEPs, known for their phase-locked responses to rhythmic stimuli, are selected because rhythmic neural activity plays a critical role in sensory and cognitive processes, with evidence suggesting that reinforcing these oscillations can improve neural performance. By exploring the interaction between these two signals, we demonstrate that response coupling significantly improves the detection accuracy of ErrPs, especially in the parietal and occipital regions. This method introduces a new paradigm for enhancing BCI performance, where the interaction between a primary and an auxiliary signal is harnessed to enhance the detection performance. Additionally, the phase-locking properties of SSVEPs allow for unsupervised rejection of suboptimal data, further increasing BCI reliability.","container-title":"Scientific Reports","DOI":"10.1038/s41598-025-87414-9","ISSN":"2045-2322","issue":"1","journalAbbreviation":"Sci Rep","language":"en","license":"2025 The Author(s)","page":"6227","publisher":"Nature Publishing Group","source":"www.nature.com","title":"Response coupling with an auxiliary neural signal for enhancing brain signal detection","volume":"15","author":[{"family":"Gupta","given":"Ekansh"},{"family":"Sivakumar","given":"Raghupathy"}],"issued":{"date-parts":[["2025",2,20]]}}}],"schema":"https://github.com/citation-style-language/schema/raw/master/csl-citation.json"} </w:instrText>
        <w:fldChar w:fldCharType="separate"/>
      </w:r>
      <w:r>
        <w:rPr>
          <w:rFonts w:ascii="Arial" w:hAnsi="Arial" w:cs="Arial"/>
          <w:sz w:val="21"/>
        </w:rPr>
        <w:t>(Gupta and Sivakumar 2025)</w:t>
      </w:r>
      <w:r>
        <w:rPr>
          <w:rFonts w:ascii="Arial" w:hAnsi="Arial" w:cs="Arial"/>
          <w:color w:val="000000"/>
          <w:sz w:val="21"/>
          <w:szCs w:val="21"/>
        </w:rPr>
        <w:fldChar w:fldCharType="end"/>
        <w:t>.</w:t>
      </w:r>
    </w:p>
    <w:p w14:paraId="4F62FED1" w14:textId="77777777" w:rsidR="0029321A" w:rsidRPr="00340959" w:rsidRDefault="0029321A" w:rsidP="00340959">
      <w:pPr>
        <w:spacing w:before="0" w:after="0" w:line="360" w:lineRule="auto"/>
        <w:jc w:val="both"/>
        <w:rPr>
          <w:rFonts w:ascii="Arial" w:hAnsi="Arial" w:cs="Arial"/>
          <w:color w:val="000000"/>
          <w:sz w:val="21"/>
          <w:szCs w:val="21"/>
        </w:rPr>
      </w:pPr>
    </w:p>
    <w:p w14:paraId="623A778E" w14:textId="77777777" w:rsidR="005B28E8" w:rsidRPr="00693F4F"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Bayesian Logistic Regression (BLR)</w:t>
      </w:r>
    </w:p>
    <w:p w14:paraId="014CC1A7" w14:textId="0911ADCF" w:rsidR="00162937" w:rsidRDefault="00904121" w:rsidP="00162937">
      <w:pPr>
        <w:spacing w:before="0" w:after="0" w:line="360" w:lineRule="auto"/>
        <w:jc w:val="both"/>
        <w:rPr>
          <w:rFonts w:ascii="Arial" w:hAnsi="Arial" w:cs="Arial"/>
          <w:b/>
          <w:bCs/>
          <w:color w:val="000000" w:themeColor="text1"/>
          <w:sz w:val="21"/>
          <w:szCs w:val="21"/>
        </w:rPr>
      </w:pPr>
      <w:r>
        <w:rPr>
          <w:rFonts w:ascii="Arial" w:hAnsi="Arial" w:cs="Arial"/>
          <w:color w:val="000000"/>
          <w:sz w:val="21"/>
          <w:szCs w:val="21"/>
        </w:rPr>
        <w:t xml:space="preserve">Bayesian Logistic Regression was implemented as a probabilistic linear classifier using a logit link function </w:t>
        <w:fldChar w:fldCharType="begin"/>
        <w:instrText xml:space="preserve"> ADDIN ZOTERO_ITEM CSL_CITATION {"citationID":"mwqEOviV","properties":{"formattedCitation":"(Genkin et al. 2007)","plainCitation":"(Genkin et al. 2007)","noteIndex":0},"citationItems":[{"id":146,"uris":["http://zotero.org/users/local/emosa1lm/items/76CEZ8PM"],"itemData":{"id":146,"type":"article-journal","abstract":"Logistic regression analysis of high-dimensional data, such as natural language text, poses computational and statistical challenges. Maximum likelihood estimation often fails in these applications. We present a simple Bayesian logistic regression approach that uses a Laplace prior to avoid overfitting and produces sparse predictive models for text data. We apply this approach to a range of document classification problems and show that it produces compact predictive models at least as effective as those produced by support vector machine classifiers or ridge logistic regression combined with feature selection. We describe our model fitting algorithm, our open source implementations (BBR and BMR), and experimental results.","container-title":"Technometrics","DOI":"10.1198/004017007000000245","ISSN":"0040-1706, 1537-2723","issue":"3","page":"291-304","publisher":"Taylor &amp; Francis","title":"Large-Scale Bayesian Logistic Regression for Text Categorization","volume":"49","author":[{"family":"Genkin","given":"Alexander"},{"family":"Lewis","given":"David"},{"family":"Madigan","given":"David"}],"issued":{"date-parts":[["2007",7]]}}}],"schema":"https://github.com/citation-style-language/schema/raw/master/csl-citation.json"} </w:instrText>
        <w:fldChar w:fldCharType="separate"/>
      </w:r>
      <w:r>
        <w:rPr>
          <w:rFonts w:ascii="Arial" w:hAnsi="Arial" w:cs="Arial"/>
          <w:sz w:val="21"/>
        </w:rPr>
        <w:t>(Genkin et al. 2007)</w:t>
      </w:r>
      <w:r>
        <w:rPr>
          <w:rFonts w:ascii="Arial" w:hAnsi="Arial" w:cs="Arial"/>
          <w:color w:val="000000"/>
          <w:sz w:val="21"/>
          <w:szCs w:val="21"/>
        </w:rPr>
        <w:fldChar w:fldCharType="end"/>
        <w:t xml:space="preserve">. Regression coefficients were treated as random variables with zero-mean Gaussian priors </w:t>
        <w:fldChar w:fldCharType="begin"/>
        <w:instrText xml:space="preserve"> ADDIN ZOTERO_ITEM CSL_CITATION {"citationID":"lXHAjqsB","properties":{"formattedCitation":"(Kumar et al. 2026)","plainCitation":"(Kumar et al. 2026)","noteIndex":0},"citationItems":[{"id":330,"uris":["http://zotero.org/users/local/emosa1lm/items/3TZAU8CF"],"itemData":{"id":330,"type":"article-journal","abstract":"The diverse topography, varying land use, and inconsistent data across political borders render flood-susceptibility mapping especially difficult in transboundary river basins. Heterogeneous topography, variable land use, and discontinuous data across political boundaries make flood-susceptibility mapping particularly challenging in transboundary river basins. In order to identify flood-prone areas in the transboundary Rapti River Basin, this work offers an integrated, interpretable ensemble-based method that combines the Random Forest (RF), Extreme Gradient Boosting (XGBoost), and Long Short-Term Memory (LSTM) models. Open-access geospatial datasets were used to develop twelve flood-conditioning parameters that represent topographic, hydrologic, and land-surface properties. Model performance was assessed using spatially blocked train-test splits and evaluated with receiver-operating characteristic area under the curve, precision-recall metrics, and related indices. The highest accuracy was achieved by XGBoost with an AUC of 0.93, followed by RF with 0.91 and LSTM with 0.88. To ensure interpretability and to overcome limitations of gain-based importance, feature contributions were quantified using SHapley Additive exPlanations (SHAP). The SHAP analysis revealed that slope, elevation, and drainage density are the dominant controls on flood susceptibility, whereas NDVI and land-use/land-cover exert more localized influence in low-relief and urbanized areas. Overall, the proposed workflow enhances transparency, reproducibility, and physical interpretability in flood-susceptibility modeling and provides a robust, scalable tool for data-driven flood-risk management and policy planning in transboundary watersheds.","container-title":"Environmental Earth Sciences","DOI":"10.1007/s12665-026-12912-6","ISSN":"1866-6299","issue":"7","journalAbbreviation":"Environ Earth Sci","language":"en","page":"168","source":"Springer Link","title":"Ensemble machine learning and deep learning framework for flood susceptibility mapping in the transboundary Rapti River Basin","volume":"85","author":[{"family":"Kumar","given":"Ankur"},{"family":"Pandey","given":"Govind"},{"family":"Kale","given":"Ravindra Vitthal"}],"issued":{"date-parts":[["2026",3,17]]}}}],"schema":"https://github.com/citation-style-language/schema/raw/master/csl-citation.json"} </w:instrText>
        <w:fldChar w:fldCharType="separate"/>
      </w:r>
      <w:r>
        <w:rPr>
          <w:rFonts w:ascii="Arial" w:hAnsi="Arial" w:cs="Arial"/>
          <w:sz w:val="21"/>
        </w:rPr>
        <w:t>(Kumar et al. 2026)</w:t>
      </w:r>
      <w:r>
        <w:rPr>
          <w:rFonts w:ascii="Arial" w:hAnsi="Arial" w:cs="Arial"/>
          <w:color w:val="000000"/>
          <w:sz w:val="21"/>
          <w:szCs w:val="21"/>
        </w:rPr>
        <w:fldChar w:fldCharType="end"/>
        <w:t xml:space="preserve">, and the intercept remained unpenalized </w:t>
        <w:fldChar w:fldCharType="begin"/>
        <w:instrText xml:space="preserve"> ADDIN ZOTERO_ITEM CSL_CITATION {"citationID":"inNEbrKo","properties":{"formattedCitation":"(Ghosal et al. 2025)","plainCitation":"(Ghosal et al. 2025)","noteIndex":0},"citationItems":[{"id":148,"uris":["http://zotero.org/users/local/emosa1lm/items/8WH6BJNI"],"itemData":{"id":148,"type":"article-journal","abstract":"In several modern applications, data are generated continuously over time, such as data generated from smartwatches. We assume data are collected and analyzed sequentially, in batches. Since traditional or offline methods can be extremely slow, Ghosh et al. (2025) proposed an online method for Bayesian model averaging (BMA). Inspired by the literature on renewable estimation, they developed an online Bayesian method for generalized linear models (GLMs) that reduces storage and computational demands dramatically compared to traditional methods for BMA. The method of Ghosh et al. (2025) works very well when the number of models is small. It can also work reasonably well in moderately large model spaces. For the latter case, the method relies on a screening stage to identify important models in the first several batches via offline methods. Thereafter, the model space remains fixed in all subsequent batches. In the post-screening stage, online updates are made to the model specific parameters, for models selected in the screening stage. For high-dimensional model spaces, the chance of missing important models in the screening stage is more likely. This necessitates the development of a method, which permits the model space to be updated as new batches of data arrive. In this article, we develop an online Bayesian model selection method for logistic regression, where the selected model can potentially change throughout the data collection process. We use simulation studies to show that our new method can outperform the method of Ghosh et al. (2025). Furthermore, we describe scenarios under which the gain from our new method is expected to be small. We revisit the traffic crash data analyzed by Ghosh et al. (2025) and illustrate that our new model selection method can have better performance for variable selection.","container-title":"arXiv (Cornell University)","DOI":"10.48550/arxiv.2501.10930","publisher":"Cornell University","title":"An Online Algorithm for Bayesian Variable Selection in Logistic Regression Models With Streaming Data","URL":"http://arxiv.org/abs/2501.10930","author":[{"family":"Ghosal","given":"Prasun"},{"family":"De","given":"S."},{"family":"Ghosh","given":"Joyee"}],"issued":{"date-parts":[["2025",1]]}}}],"schema":"https://github.com/citation-style-language/schema/raw/master/csl-citation.json"} </w:instrText>
        <w:fldChar w:fldCharType="separate"/>
      </w:r>
      <w:r>
        <w:rPr>
          <w:rFonts w:ascii="Arial" w:hAnsi="Arial" w:cs="Arial"/>
          <w:sz w:val="21"/>
        </w:rPr>
        <w:t>(Ghosal et al. 2025)</w:t>
      </w:r>
      <w:r>
        <w:rPr>
          <w:rFonts w:ascii="Arial" w:hAnsi="Arial" w:cs="Arial"/>
          <w:color w:val="000000"/>
          <w:sz w:val="21"/>
          <w:szCs w:val="21"/>
        </w:rPr>
        <w:fldChar w:fldCharType="end"/>
        <w:t xml:space="preserve">. The Laplace method was used for posterior inference, employing a multivariate normal approximation centered around the maximum </w:t>
        <w:fldChar w:fldCharType="begin"/>
        <w:instrText xml:space="preserve"> ADDIN ZOTERO_ITEM CSL_CITATION {"citationID":"5pgbRA9o","properties":{"formattedCitation":"(Garcia et al. 2024)","plainCitation":"(Garcia et al. 2024)","noteIndex":0},"citationItems":[{"id":327,"uris":["http://zotero.org/users/local/emosa1lm/items/7QPQCIJ4"],"itemData":{"id":327,"type":"article-journal","abstract":"We consider unsupervised classification by means of a latent multinomial variable which categorizes a scalar response into one of the L components of a mixture model which incorporates scalar and functional covariates. This process can be thought as a hierarchical model with the first level modelling a scalar response according to a mixture of parametric distributions and the second level modelling the mixture probabilities by means of a generalized linear model with functional and scalar covariates. The traditional approach of treating functional covariates as vectors not only suffers from the curse of dimensionality, since functional covariates can be measured at very small intervals leading to a highly parametrized model, but also does not take into account the nature of the data. We use basis expansions to reduce the dimensionality and a Bayesian approach for estimating the parameters while providing predictions of the latent classification vector. The method is motivated by two data examples that are not easily handled by existing methods. The first example concerns identifying placebo responders on a clinical trial (normal mixture model) and the other predicting illness for milking cows (zero-inflated mixture of the Poisson model).","container-title":"Journal of the Royal Statistical Society Series C: Applied Statistics","DOI":"10.1093/jrsssc/qlae006","ISSN":"0035-9254","issue":"3","journalAbbreviation":"J. R. Stat. Soc. Ser. C. Appl. Stat.","page":"658-681","source":"Silverchair","title":"Unsupervised Bayesian classification for models with scalar and functional covariates","volume":"73","author":[{"family":"Garcia","given":"Nancy L"},{"family":"Rodrigues-Motta","given":"Mariana"},{"family":"Migon","given":"Helio S"},{"family":"Petkova","given":"Eva"},{"family":"Tarpey","given":"Thaddeus"},{"family":"Ogden","given":"R Todd"},{"family":"Giordano","given":"Julio O"},{"family":"Perez","given":"Martin M"}],"issued":{"date-parts":[["2024",6,1]]}}}],"schema":"https://github.com/citation-style-language/schema/raw/master/csl-citation.json"} </w:instrText>
        <w:fldChar w:fldCharType="separate"/>
      </w:r>
      <w:r>
        <w:rPr>
          <w:rFonts w:ascii="Arial" w:hAnsi="Arial" w:cs="Arial"/>
          <w:sz w:val="21"/>
        </w:rPr>
        <w:t>(Garcia et al. 2024)</w:t>
      </w:r>
      <w:r>
        <w:rPr>
          <w:rFonts w:ascii="Arial" w:hAnsi="Arial" w:cs="Arial"/>
          <w:color w:val="000000"/>
          <w:sz w:val="21"/>
          <w:szCs w:val="21"/>
        </w:rPr>
        <w:fldChar w:fldCharType="end"/>
        <w:t xml:space="preserve">. Probability predictions were obtained by marginalizing the posterior distribution of model parameters, enabling direct quantification of predictive uncertainty via propagation of posterior variance </w:t>
        <w:fldChar w:fldCharType="begin"/>
        <w:instrText xml:space="preserve"> ADDIN ZOTERO_ITEM CSL_CITATION {"citationID":"4OnKpS4I","properties":{"formattedCitation":"(Liao et al. 2024)","plainCitation":"(Liao et al. 2024)","noteIndex":0},"citationItems":[{"id":370,"uris":["http://zotero.org/users/local/emosa1lm/items/NU7LUVXK"],"itemData":{"id":370,"type":"article","abstract":"This paper introduces a novel trajectory prediction approach for autonomous vehicles (AVs), adeptly addressing the challenges of missing observations and the need for adherence to physical laws in real-world driving environments. This study proposes a hierarchical two-stage trajectory prediction model for AVs. In the first stage we propose the Wavelet Reconstruction Network, an innovative tool expertly crafted for reconstructing missing observations, offering optional integration with state-of-the-art models to enhance their robustness. Additionally, the second stage of the model features the Wave Fusion Encoder, a quantum mechanics-inspired innovation for sophisticated vehicle interaction modeling. By incorporating the Kinematic Bicycle Model, we ensure that our predictions align with realistic vehicular kinematics. Complementing our methodological advancements, we introduce MoCAD-missing, a comprehensive real-world traffic dataset, alongside enhanced versions of the NGSIM and HighD datasets, designed to facilitate rigorous testing in environments with missing observations. Extensive evaluations demonstrate that our approach markedly outperforms existing methods, achieving high accuracy even in scenarios with up to 75% missing observations.","DOI":"10.2139/ssrn.4809575","genre":"SSRN Scholarly Paper","language":"en","number":"4809575","publisher":"Social Science Research Network","publisher-place":"Rochester, NY","source":"papers.ssrn.com","title":"Physics-Informed Trajectory Prediction for Autonomous Driving under Missing Observation","URL":"https://papers.ssrn.com/abstract=4809575","author":[{"family":"Liao","given":"Haicheng"},{"family":"Wang","given":"Chengyue"},{"family":"Li","given":"Zhenning"},{"family":"Li","given":"Yongkang"},{"family":"Wang","given":"Bonan"},{"family":"Li","given":"Guofa"},{"family":"Xu","given":"Chengzhong"}],"accessed":{"date-parts":[["2026",4,25]]},"issued":{"date-parts":[["2024",4,27]]}}}],"schema":"https://github.com/citation-style-language/schema/raw/master/csl-citation.json"} </w:instrText>
        <w:fldChar w:fldCharType="separate"/>
      </w:r>
      <w:r>
        <w:rPr>
          <w:rFonts w:ascii="Arial" w:hAnsi="Arial" w:cs="Arial"/>
          <w:sz w:val="21"/>
        </w:rPr>
        <w:t>(Liao et al. 2024)</w:t>
      </w:r>
      <w:r>
        <w:rPr>
          <w:rFonts w:ascii="Arial" w:hAnsi="Arial" w:cs="Arial"/>
          <w:color w:val="000000"/>
          <w:sz w:val="21"/>
          <w:szCs w:val="21"/>
        </w:rPr>
        <w:fldChar w:fldCharType="end"/>
        <w:t xml:space="preserve">. The BLR model was chosen for its interpretability, regularization under moderate sample sizes, and use in probabilistic landslide susceptibility modeling </w:t>
        <w:fldChar w:fldCharType="begin"/>
        <w:instrText xml:space="preserve"> ADDIN ZOTERO_ITEM CSL_CITATION {"citationID":"DNAdpNyI","properties":{"formattedCitation":"(Das et al. 2012)","plainCitation":"(Das et al. 2012)","noteIndex":0},"citationItems":[{"id":152,"uris":["http://zotero.org/users/local/emosa1lm/items/PRY69TKZ"],"itemData":{"id":152,"type":"article-journal","container-title":"Geomorphology","DOI":"10.1016/j.geomorph.2012.08.004","ISSN":"0169-555X, 1872-695X","page":"116-125","publisher":"Elsevier BV","title":"Landslide susceptibility mapping along road corridors in the Indian Himalayas using Bayesian logistic regression models","volume":"179","author":[{"family":"Das","given":"Iswar"},{"family":"Stein","given":"Alfred"},{"family":"Kerle","given":"Norman"},{"family":"Dadhwal","given":"V. K."}],"issued":{"date-parts":[["2012",8]]}}}],"schema":"https://github.com/citation-style-language/schema/raw/master/csl-citation.json"} </w:instrText>
        <w:fldChar w:fldCharType="separate"/>
      </w:r>
      <w:r>
        <w:rPr>
          <w:rFonts w:ascii="Arial" w:hAnsi="Arial" w:cs="Arial"/>
          <w:sz w:val="21"/>
        </w:rPr>
        <w:t>(Das et al. 2012)</w:t>
      </w:r>
      <w:r>
        <w:rPr>
          <w:rFonts w:ascii="Arial" w:hAnsi="Arial" w:cs="Arial"/>
          <w:color w:val="000000"/>
          <w:sz w:val="21"/>
          <w:szCs w:val="21"/>
        </w:rPr>
        <w:fldChar w:fldCharType="end"/>
        <w:t>.</w:t>
      </w:r>
      <w:r>
        <w:rPr>
          <w:rFonts w:ascii="Arial" w:hAnsi="Arial" w:cs="Arial"/>
          <w:b/>
          <w:bCs/>
          <w:color w:val="000000" w:themeColor="text1"/>
          <w:sz w:val="21"/>
          <w:szCs w:val="21"/>
        </w:rPr>
        <w:br w:type="page"/>
      </w:r>
    </w:p>
    <w:p w14:paraId="1DB22AAA" w14:textId="4F36B864" w:rsidR="005B28E8" w:rsidRPr="00693F4F"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lastRenderedPageBreak/>
        <w:t>Gaussian Process Classifier (GPC)</w:t>
      </w:r>
    </w:p>
    <w:p w14:paraId="571B791F" w14:textId="534D0EC4" w:rsidR="005B28E8"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Gaussian Process Classifier was used as a non-parametric Bayesian model that can learn non-linear relationships between conditioning factors and landslide occurrence </w:t>
        <w:fldChar w:fldCharType="begin"/>
        <w:instrText xml:space="preserve"> ADDIN ZOTERO_ITEM CSL_CITATION {"citationID":"RQLL4VhP","properties":{"formattedCitation":"(Qiu et al. 2024)","plainCitation":"(Qiu et al. 2024)","noteIndex":0},"citationItems":[{"id":364,"uris":["http://zotero.org/users/local/emosa1lm/items/VXZLC4VX"],"itemData":{"id":364,"type":"article-journal","abstract":"A reliable economic risk map is critical for effective debris-flow mitigation. However, the uncertainties surrounding future scenarios in debris-flow frequency and magnitude restrict its application. To estimate the economic risks caused by future debris flows, a machine learning-based method was proposed to generate an economic risk map by multiplying a debris-flow hazard map and an economic vulnerability map. We selected the Gyirong Zangbo Basin as the study area because frequent severe debris flows impact the area every year. The debris-flow hazard map was developed through the multiplication of the annual probability of spatial impact, temporal probability, and annual susceptibility. We employed a hybrid machine learning model—certainty factor-genetic algorithm-support vector classification—to calculate susceptibilities. Simultaneously, a Poisson model was applied for temporal probabilities, while the determination of annual probability of spatial impact relied on statistical results. Additionally, four major elements at risk were selected for the generation of an economic loss map: roads, vegetation-covered land, residential buildings, and farmland. The economic loss of elements at risk was calculated based on physical vulnerabilities and their economic values. Therefore, we proposed a physical vulnerability matrix for residential buildings, factoring in impact pressure on buildings and their horizontal distance and vertical distance to debris-flow channels. In this context, an ensemble model (XGBoost) was used to predict debris-flow volumes to calculate impact pressures on buildings. The results show that residential buildings occupy 76.7% of the total economic risk, while road-covered areas contribute approximately 6.85%. Vegetation-covered land and farmland collectively represent 16.45% of the entire risk. These findings can provide a scientific support for the effective mitigation of future debris flows.","container-title":"International Journal of Disaster Risk Science","DOI":"10.1007/s13753-024-00545-x","ISSN":"2192-6395","issue":"1","journalAbbreviation":"Int J Disaster Risk Sci","language":"en","page":"149-164","source":"Springer Link","title":"Economic Risk Assessment of Future Debris Flows by Machine Learning Method","volume":"15","author":[{"family":"Qiu","given":"Chenchen"},{"family":"Su","given":"Lijun"},{"family":"Pasuto","given":"Alessandro"},{"family":"Bossi","given":"Giulia"},{"family":"Geng","given":"Xueyu"}],"issued":{"date-parts":[["2024",2,1]]}}}],"schema":"https://github.com/citation-style-language/schema/raw/master/csl-citation.json"} </w:instrText>
        <w:fldChar w:fldCharType="separate"/>
      </w:r>
      <w:r>
        <w:rPr>
          <w:rFonts w:ascii="Arial" w:hAnsi="Arial" w:cs="Arial"/>
          <w:sz w:val="21"/>
        </w:rPr>
        <w:t>(Qiu et al. 2024)</w:t>
      </w:r>
      <w:r>
        <w:rPr>
          <w:rFonts w:ascii="Arial" w:hAnsi="Arial" w:cs="Arial"/>
          <w:color w:val="000000"/>
          <w:sz w:val="21"/>
          <w:szCs w:val="21"/>
        </w:rPr>
        <w:fldChar w:fldCharType="end"/>
        <w:t xml:space="preserve">. A Gaussian Process prior with a Matérn covariance kernel was defined that provides an adequate trade-off between flexibility and smoothness to model spatially structured processes in the environment </w:t>
        <w:fldChar w:fldCharType="begin"/>
        <w:instrText xml:space="preserve"> ADDIN ZOTERO_ITEM CSL_CITATION {"citationID":"zWCzx3sr","properties":{"formattedCitation":"(Arrogante-Funes et al. 2024b)","plainCitation":"(Arrogante-Funes et al. 2024b)","noteIndex":0},"citationItems":[{"id":325,"uris":["http://zotero.org/users/local/emosa1lm/items/R2UMQ2DC"],"itemData":{"id":325,"type":"article-journal","abstract":"Regeneration after landslides is how an ecosystem recovers itself following a landslide event. Natural systems can recover and regenerate over time. The main objective of the current work is to identify and characterise the regeneration pattern after a great landslide event in 2013 in the Guerrero state (Mexico) using remote sensing, geographic information system (GIS), and machine learning techniques. Remarkably, the authors consider normalised difference vegetation index (NDVI) as a proxy of part of this “regeneration” in the present work. A first methodology attempt presented here was to monitor and characterise the “regeneration” after severe landslide events. First, the authors calculated and identified the (1) losses, (2) speed and (3) recovery time through a continuous change detection and classification algorithm (CCDC) in Google Earth Engine (GEE) from a NDVI-Landsat time series (from 1984 to 2021). Second, these three factors were introduced as variables in a not supervised machine-learning model to get 5 clusters that characterise the different regeneration patterns followed from 2013 to 2021 in the landslide zones. Finally, we studied 16 variables like elevation, slope, or soil pH. The authors included those variables in a supervised machine learning classification to find the most important main drivers related to the NDVI regeneration of the landslide areas. The results showed that the cluster called Group 0 had a low loss of NDVI value, speed and medium recovery time. Group 1 showed a medium–high loss, high speed and low recovery time. Group 2 reached a high loss, a low speed, and an increased recovery time. Group 3 with a medium loss, a medium speed, and a low recovery time. Finally, Group 4 with a high loss of NDVI, a medium speed, and a medium recovery time. Distance to the edge of the landslide, precipitation, land cover type and lithology are highlighted as the main drivers in landslide regeneration.","container-title":"Landslides","DOI":"10.1007/s10346-023-02154-z","ISSN":"1612-5118","issue":"2","journalAbbreviation":"Landslides","language":"en","page":"275-290","source":"Springer Link","title":"Assessment of the regeneration of landslides areas using unsupervised and supervised methods and explainable machine learning models","volume":"21","author":[{"family":"Arrogante-Funes","given":"Patricia"},{"family":"Bruzón","given":"Adrián G."},{"family":"Álvarez-Ripado","given":"Ariadna"},{"family":"Arrogante-Funes","given":"Fátima"},{"family":"Martín-González","given":"Fidel"},{"family":"Novillo","given":"Carlos J."}],"issued":{"date-parts":[["2024",2,1]]}}}],"schema":"https://github.com/citation-style-language/schema/raw/master/csl-citation.json"} </w:instrText>
        <w:fldChar w:fldCharType="separate"/>
      </w:r>
      <w:r>
        <w:rPr>
          <w:rFonts w:ascii="Arial" w:hAnsi="Arial" w:cs="Arial"/>
          <w:sz w:val="21"/>
        </w:rPr>
        <w:t>(Arrogante-Funes et al. 2024b)</w:t>
      </w:r>
      <w:r>
        <w:rPr>
          <w:rFonts w:ascii="Arial" w:hAnsi="Arial" w:cs="Arial"/>
          <w:color w:val="000000"/>
          <w:sz w:val="21"/>
          <w:szCs w:val="21"/>
        </w:rPr>
        <w:fldChar w:fldCharType="end"/>
        <w:t xml:space="preserve">. Due to the non-Gaussian nature of the likelihood, posterior inference was approximated via the Laplace method </w:t>
        <w:fldChar w:fldCharType="begin"/>
        <w:instrText xml:space="preserve"> ADDIN ZOTERO_ITEM CSL_CITATION {"citationID":"qHpYaKOf","properties":{"formattedCitation":"(Lombardo et al. 2018)","plainCitation":"(Lombardo et al. 2018)","noteIndex":0},"citationItems":[{"id":157,"uris":["http://zotero.org/users/local/emosa1lm/items/L7652H2M"],"itemData":{"id":157,"type":"article-journal","container-title":"Stochastic Environmental Research and Risk Assessment","DOI":"10.1007/s00477-018-1518-0","ISSN":"1436-3240, 1436-3259","issue":"7","page":"2179-2198","publisher":"Springer Science+Business Media","title":"Point process-based modeling of multiple debris flow landslides using INLA: an application to the 2009 Messina disaster","volume":"32","author":[{"family":"Lombardo","given":"Luigi"},{"family":"Opitz","given":"Thomas"},{"family":"Huser","given":"Raphaël"}],"issued":{"date-parts":[["2018",2]]}}}],"schema":"https://github.com/citation-style-language/schema/raw/master/csl-citation.json"} </w:instrText>
        <w:fldChar w:fldCharType="separate"/>
      </w:r>
      <w:r>
        <w:rPr>
          <w:rFonts w:ascii="Arial" w:hAnsi="Arial" w:cs="Arial"/>
          <w:sz w:val="21"/>
        </w:rPr>
        <w:t>(Lombardo et al. 2018)</w:t>
      </w:r>
      <w:r>
        <w:rPr>
          <w:rFonts w:ascii="Arial" w:hAnsi="Arial" w:cs="Arial"/>
          <w:color w:val="000000"/>
          <w:sz w:val="21"/>
          <w:szCs w:val="21"/>
        </w:rPr>
        <w:fldChar w:fldCharType="end"/>
        <w:t xml:space="preserve">. The GPC not only produces predictive probabilities, but also latent variance estimates, allowing explicit characterization of epistemic uncertainty and more complicated decision boundaries in comparison to linear models </w:t>
        <w:fldChar w:fldCharType="begin"/>
        <w:instrText xml:space="preserve"> ADDIN ZOTERO_ITEM CSL_CITATION {"citationID":"Adn9q98o","properties":{"formattedCitation":"(Thelen et al. 2024)","plainCitation":"(Thelen et al. 2024)","noteIndex":0},"citationItems":[{"id":323,"uris":["http://zotero.org/users/local/emosa1lm/items/UMQG4WWJ"],"itemData":{"id":323,"type":"article-journal","abstract":"Diagnosing lithium-ion battery health and predicting future degradation is essential for driving design improvements in the laboratory and ensuring safe and reliable operation over a product’s expected lifetime. However, accurate battery health diagnostics and prognostics is challenging due to the unavoidable influence of cell-to-cell manufacturing variability and time-varying operating circumstances experienced in the field. Machine learning approaches informed by simulation, experiment, and field data show enormous promise to predict the evolution of battery health with use; however, until recently, the research community has focused on deterministic modeling methods, largely ignoring the cell-to-cell performance and aging variability inherent to all batteries. To truly make informed decisions regarding battery design in the lab or control strategies for the field, it is critical to characterize the uncertainty in a model’s predictions. After providing an overview of lithium-ion battery degradation, this paper reviews the current state-of-the-art probabilistic machine learning models for health diagnostics and prognostics. Details of the various methods, their advantages, and limitations are discussed in detail with a primary focus on probabilistic machine learning and uncertainty quantification. Last, future trends and opportunities for research and development are discussed.","container-title":"npj Materials Sustainability","DOI":"10.1038/s44296-024-00011-1","ISSN":"2948-1775","issue":"1","journalAbbreviation":"npj Mater. Sustain.","language":"en","license":"2024 The Author(s)","page":"14","publisher":"Nature Publishing Group","source":"www.nature.com","title":"Probabilistic machine learning for battery health diagnostics and prognostics—review and perspectives","volume":"2","author":[{"family":"Thelen","given":"Adam"},{"family":"Huan","given":"Xun"},{"family":"Paulson","given":"Noah"},{"family":"Onori","given":"Simona"},{"family":"Hu","given":"Zhen"},{"family":"Hu","given":"Chao"}],"issued":{"date-parts":[["2024",6,3]]}}}],"schema":"https://github.com/citation-style-language/schema/raw/master/csl-citation.json"} </w:instrText>
        <w:fldChar w:fldCharType="separate"/>
      </w:r>
      <w:r>
        <w:rPr>
          <w:rFonts w:ascii="Arial" w:hAnsi="Arial" w:cs="Arial"/>
          <w:sz w:val="21"/>
        </w:rPr>
        <w:t>(Thelen et al. 2024)</w:t>
      </w:r>
      <w:r>
        <w:rPr>
          <w:rFonts w:ascii="Arial" w:hAnsi="Arial" w:cs="Arial"/>
          <w:color w:val="000000"/>
          <w:sz w:val="21"/>
          <w:szCs w:val="21"/>
        </w:rPr>
        <w:fldChar w:fldCharType="end"/>
        <w:t>.</w:t>
      </w:r>
    </w:p>
    <w:p w14:paraId="463148A3" w14:textId="77777777" w:rsidR="00693F4F" w:rsidRPr="00340959" w:rsidRDefault="00693F4F" w:rsidP="00340959">
      <w:pPr>
        <w:spacing w:before="0" w:after="0" w:line="360" w:lineRule="auto"/>
        <w:jc w:val="both"/>
        <w:rPr>
          <w:rFonts w:ascii="Arial" w:hAnsi="Arial" w:cs="Arial"/>
          <w:sz w:val="21"/>
          <w:szCs w:val="21"/>
        </w:rPr>
      </w:pPr>
    </w:p>
    <w:p w14:paraId="54029166" w14:textId="77777777" w:rsidR="005B28E8" w:rsidRPr="00693F4F"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L2-Regularized Logistic Regression (LR-L2)</w:t>
      </w:r>
    </w:p>
    <w:p w14:paraId="0190C88E" w14:textId="5616E823" w:rsidR="005B28E8" w:rsidRDefault="00693F4F"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A simple linear benchmark, L2-regularized Logistic Regression, was also used in this study. Ridge regularization was applied to constrain coefficients, combat overfitting, and enhance generalizability </w:t>
        <w:fldChar w:fldCharType="begin"/>
        <w:instrText xml:space="preserve"> ADDIN ZOTERO_ITEM CSL_CITATION {"citationID":"eQujEia7","properties":{"formattedCitation":"(\\uc0\\u350{}ensoy et al. 2020)","plainCitation":"(Şensoy et al. 2020)","noteIndex":0},"citationItems":[{"id":158,"uris":["http://zotero.org/users/local/emosa1lm/items/7AG4DZXJ"],"itemData":{"id":158,"type":"paper-conference","abstract":"Deep neural networks are often ignorant about what they do not know and overconfident when they make uninformed predictions. Some recent approaches quantify classification uncertainty directly by training the model to output high uncertainty for the data samples close to class boundaries or from the outside of the training distribution. These approaches use an auxiliary data set during training to represent out-of-distribution samples. However, selection or creation of such an auxiliary data set is non-trivial, especially for high dimensional data such as images. In this work we develop a novel neural network model that is able to express both aleatoric and epistemic uncertainty to distinguish decision boundary and out-of-distribution regions of the feature space. To this end, variational autoencoders and generative adversarial networks are incorporated to automatically generate out-of-distribution exemplars for training. Through extensive analysis, we demonstrate that the proposed approach provides better estimates of uncertainty for in- and out-of-distribution samples, and adversarial examples on well-known data sets against state-of-the-art approaches including recent Bayesian approaches for neural networks and anomaly detection methods.","container-title":"Proceedings of the AAAI Conference on Artificial Intelligence","DOI":"10.1609/aaai.v34i04.6015","ISSN":"2159-5399, 2374-3468","issue":"4","page":"5620-5627","publisher":"Association for the Advancement of Artificial Intelligence","title":"Uncertainty-Aware Deep Classifiers Using Generative Models","URL":"https://doi.org/10.1609/aaai.v34i04.6015","volume":"34","author":[{"family":"Şensoy","given":"Murat"},{"family":"Kaplan","given":"Lance"},{"family":"Cerutti","given":"Federico"},{"family":"Saleki","given":"Maryam"}],"issued":{"date-parts":[["2020",4]]}}}],"schema":"https://github.com/citation-style-language/schema/raw/master/csl-citation.json"} </w:instrText>
        <w:fldChar w:fldCharType="separate"/>
      </w:r>
      <w:r>
        <w:rPr>
          <w:rFonts w:ascii="Arial" w:hAnsi="Arial" w:cs="Arial"/>
          <w:sz w:val="21"/>
        </w:rPr>
        <w:t>(Şensoy et al. 2020)</w:t>
      </w:r>
      <w:r>
        <w:rPr>
          <w:rFonts w:ascii="Arial" w:hAnsi="Arial" w:cs="Arial"/>
          <w:color w:val="000000"/>
          <w:sz w:val="21"/>
          <w:szCs w:val="21"/>
        </w:rPr>
        <w:fldChar w:fldCharType="end"/>
        <w:t xml:space="preserve">. Class imbalance was addressed through balanced class weighting. Unlike its Bayesian counterpart, LR-L2 provides point estimates of parameters without posterior uncertainty, and includes it to evaluate the added value of Bayesian inference in terms of calibration and spatial robustness </w:t>
        <w:fldChar w:fldCharType="begin"/>
        <w:instrText xml:space="preserve"> ADDIN ZOTERO_ITEM CSL_CITATION {"citationID":"S3GgTMQM","properties":{"formattedCitation":"(Black et al. 2022)","plainCitation":"(Black et al. 2022)","noteIndex":0},"citationItems":[{"id":159,"uris":["http://zotero.org/users/local/emosa1lm/items/DEILPRF3"],"itemData":{"id":159,"type":"article-journal","abstract":"The increasing complexity of the dynamics captured in Land Use and Land Cover (LULC) change modelling has made model behaviour less transparent and calibration more extensive. For cellular automata models in particular, this is compounded by the fact that validation is typically performed indirectly, using final simulated change maps; rather than directly considering the probabilistic predictions of transition potential. This study demonstrates that evaluating transition potential predictions provides detail into model behaviour and performance that cannot be obtained from simulated map comparison alone. This is illustrated by modelling LULC transitions in Switzerland using both Logistic Regression and Random Forests. The results emphasize the need for LULC modellers to explicitly consider the performance of individual transition models independently to ensure robust predictions. Additionally, this study highlights the potential for predictor variable selection as a means to improve transition model generalizability and parsimony, which is beneficial for simulating future LULC change.","container-title":"Environmental Modelling &amp; Software","DOI":"10.1016/j.envsoft.2022.105574","ISSN":"1364-8152, 1873-6726","page":"105574-105574","publisher":"Elsevier BV","title":"Re-considering the status quo: Improving calibration of land use change models through validation of transition potential predictions","volume":"159","author":[{"family":"Black","given"</w:instrText>
      </w:r>
      <w:r>
        <w:rPr>
          <w:rFonts w:ascii="Arial" w:hAnsi="Arial" w:cs="Arial" w:hint="eastAsia"/>
          <w:color w:val="000000"/>
          <w:sz w:val="21"/>
          <w:szCs w:val="21"/>
        </w:rPr>
        <w:instrText>:"Benjamin"},{"family":"Strien","given":"Maarten J.","dropping-particle":"van"},{"family":"Adde","given":"Antoine"},{"family":"Grêt</w:instrText>
      </w:r>
      <w:r>
        <w:rPr>
          <w:rFonts w:ascii="Cambria Math" w:hAnsi="Cambria Math" w:cs="Cambria Math"/>
          <w:color w:val="000000"/>
          <w:sz w:val="21"/>
          <w:szCs w:val="21"/>
        </w:rPr>
        <w:instrText>‐</w:instrText>
      </w:r>
      <w:r>
        <w:rPr>
          <w:rFonts w:ascii="Arial" w:hAnsi="Arial" w:cs="Arial" w:hint="eastAsia"/>
          <w:color w:val="000000"/>
          <w:sz w:val="21"/>
          <w:szCs w:val="21"/>
        </w:rPr>
        <w:instrText>Regamey","given":"Adrienne"}],"issued":{"date-parts":[["2022",11]]}}}],"schema":"https://github.com/citation-style-language</w:instrText>
      </w:r>
      <w:r>
        <w:rPr>
          <w:rFonts w:ascii="Arial" w:hAnsi="Arial" w:cs="Arial"/>
          <w:color w:val="000000"/>
          <w:sz w:val="21"/>
          <w:szCs w:val="21"/>
        </w:rPr>
        <w:instrText xml:space="preserve">/schema/raw/master/csl-citation.json"} </w:instrText>
        <w:fldChar w:fldCharType="separate"/>
      </w:r>
      <w:r>
        <w:rPr>
          <w:rFonts w:ascii="Arial" w:hAnsi="Arial" w:cs="Arial"/>
          <w:sz w:val="21"/>
        </w:rPr>
        <w:t>(Black et al. 2022)</w:t>
      </w:r>
      <w:r>
        <w:rPr>
          <w:rFonts w:ascii="Arial" w:hAnsi="Arial" w:cs="Arial"/>
          <w:color w:val="000000"/>
          <w:sz w:val="21"/>
          <w:szCs w:val="21"/>
        </w:rPr>
        <w:fldChar w:fldCharType="end"/>
        <w:t>.</w:t>
      </w:r>
    </w:p>
    <w:p w14:paraId="774A7A6D" w14:textId="77777777" w:rsidR="00693F4F" w:rsidRPr="00340959" w:rsidRDefault="00693F4F" w:rsidP="00340959">
      <w:pPr>
        <w:spacing w:before="0" w:after="0" w:line="360" w:lineRule="auto"/>
        <w:jc w:val="both"/>
        <w:rPr>
          <w:rFonts w:ascii="Arial" w:hAnsi="Arial" w:cs="Arial"/>
          <w:color w:val="000000"/>
          <w:sz w:val="21"/>
          <w:szCs w:val="21"/>
        </w:rPr>
      </w:pPr>
    </w:p>
    <w:p w14:paraId="2A6AA28A" w14:textId="77777777" w:rsidR="005B28E8" w:rsidRPr="00EC047A"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Random Forest (RF)</w:t>
      </w:r>
    </w:p>
    <w:p w14:paraId="4C625B85" w14:textId="5E42D875" w:rsidR="000152B3"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Random Forest was implemented as an ensemble tree-based classifier using bootstrap aggregation and random feature selection. The model captures non-linear interactions without parametric assumptions </w:t>
        <w:fldChar w:fldCharType="begin"/>
        <w:instrText xml:space="preserve"> ADDIN ZOTERO_ITEM CSL_CITATION {"citationID":"sy1RPht5","properties":{"formattedCitation":"(Dal Seno et al. 2024)","plainCitation":"(Dal Seno et al. 2024)","noteIndex":0},"citationItems":[{"id":321,"uris":["http://zotero.org/users/local/emosa1lm/items/KHKGDZCZ"],"itemData":{"id":321,"type":"article-journal","abstract":"This research focuses on the essential task of defining rainfall thresholds in regions with complex geological features, specifically at a regional scale. It examines a variety of methodologies, from traditional empirical-statistical methods to cutting-edge machine learning (ML) techniques, for establishing these thresholds. The Emilia-Romagna region in Italy, known for its intricate geological structure and prevalence of weak rocks that often lead to large and deep-seated landslides, serves as the study area. The region’s complex interplay between rainfall and landslide incidences poses a significant challenge in accurately determining rainfall thresholds. The effectiveness of ML methods is compared against conventional empirical-statistical approaches, evaluating factors such as prediction accuracy, model complexity, and the interpretability of results for use by regional landslide warning system operators. The findings indicate that machine learning techniques have an edge over traditional methods, yielding higher performance scores and fewer false positives. Nevertheless, these advancements are modest when considering the increased complexity of ML methods and the incorporation of additional rainfall parameters. This underlines the continued need for improvements in data quality and volume. The study stresses the importance of enhancing data collection and analysis techniques, especially in an era where advanced AI tools are increasingly available, to improve the accuracy of predicting rainfall thresholds for effective landslide warning systems.","container-title":"Landslides","DOI":"10.1007/s10346-024-02336-3","ISSN":"1612-5118","issue":"12","journalAbbreviation":"Landslides","language":"en","page":"2893-2911","source":"Springer Link","title":"Comparative analysis of conventional and machine learning techniques for rainfall threshold evaluation under complex geological conditions","volume":"21","author":[{"family":"Dal Seno","given":"N."},{"family":"Evangelista","given":"D."},{"family":"Piccolomini","given":"E."},{"family":"Berti","given":"M."}],"issued":{"date-parts":[["2024",12,1]]}}}],"schema":"https://github.com/citation-style-language/schema/raw/master/csl-citation.json"} </w:instrText>
        <w:fldChar w:fldCharType="separate"/>
      </w:r>
      <w:r>
        <w:rPr>
          <w:rFonts w:ascii="Arial" w:hAnsi="Arial" w:cs="Arial"/>
          <w:sz w:val="21"/>
        </w:rPr>
        <w:t>(Dal Seno et al. 2024)</w:t>
      </w:r>
      <w:r>
        <w:rPr>
          <w:rFonts w:ascii="Arial" w:hAnsi="Arial" w:cs="Arial"/>
          <w:color w:val="000000"/>
          <w:sz w:val="21"/>
          <w:szCs w:val="21"/>
        </w:rPr>
        <w:fldChar w:fldCharType="end"/>
        <w:t xml:space="preserve">. A balanced subsampling strategy was adopted to address class imbalance. Although RF typically demonstrates strong discriminative performance in landslide susceptibility studies, it does not provide coherent posterior uncertainty; therefore, it was treated strictly as a benchmark model in this research </w:t>
        <w:fldChar w:fldCharType="begin"/>
        <w:instrText xml:space="preserve"> ADDIN ZOTERO_ITEM CSL_CITATION {"citationID":"0GkvCvJC","properties":{"formattedCitation":"(Lv et al. 2025)","plainCitation":"(Lv et al. 2025)","noteIndex":0},"citationItems":[{"id":161,"uris":["http://zotero.org/users/local/emosa1lm/items/Q37XSB96"],"itemData":{"id":161,"type":"article-journal","abstract":"Landslides are frequent and hazardous geological disasters, posing significant risks to human safety and infrastructure. Accurate assessments of landslide susceptibility are crucial for risk management and mitigation. However, geological surveys of landslide areas are typically conducted at the township level, have lowsample sizes, and rely on experience. This study proposes a framework for assessing landslide susceptibility in Taiping Township, Zhejiang Province, China, using data balancing, machine learning, and data from 1,325 slope units with nine slope characteristics. The dataset was balanced using the Synthetic Minority Oversampling Technique and the Tomek link undersampling method (SMOTE-Tomek). A comparative analysis of six machine learning models was performed, and the SHapley Additive exPlanation (SHAP) method was used to assess the influencing factors. The results indicate that the machine learning algorithms provide high accuracy, and the random forest (RF) algorithm achieves the optimum model accuracy (0.791, F1 = 0.723). The very low, low, medium, and high sensitivity zones account for 92.27%, 5.12%, 1.78%, and 0.83% of the area, respectively. The height of cut slopes has the most significant impact on landslide sensitivity, whereas the altitude has a minor impact. The proposed model accurately assesses landslide susceptibility at the township scale, providing valuable insights for risk management and mitigation.","container-title":"PLoS ONE","DOI":"10.1371/journal.pone.0323487","ISSN":"1932-6203","issue":"5","PMID":"40397833","publisher":"Public Library of Science","title":"Evaluation of landslide susceptibility based on SMOTE-Tomek sampling and machine learning algorithm","URL":"https://doi.org/10.1371/journal.pone.0323487","volume":"20","author":[{"family":"Lv","given":"M."},{"family":"Li","given":"Kunlun"},{"family":"Cai","given":"Jing"},{"family":"Jun","given":"Mao"},{"family":"Gao","given":"Jiajun"},{"family":"Xu","given":"Hui"}],"issued":{"date-parts":[["2025",5]]}}}],"schema":"https://github.com/citation-style-language/schema/raw/master/csl-citation.json"} </w:instrText>
        <w:fldChar w:fldCharType="separate"/>
      </w:r>
      <w:r>
        <w:rPr>
          <w:rFonts w:ascii="Arial" w:hAnsi="Arial" w:cs="Arial"/>
          <w:sz w:val="21"/>
        </w:rPr>
        <w:t>(Lv et al. 2025)</w:t>
      </w:r>
      <w:r>
        <w:rPr>
          <w:rFonts w:ascii="Arial" w:hAnsi="Arial" w:cs="Arial"/>
          <w:color w:val="000000"/>
          <w:sz w:val="21"/>
          <w:szCs w:val="21"/>
        </w:rPr>
        <w:fldChar w:fldCharType="end"/>
        <w:t>.</w:t>
      </w:r>
    </w:p>
    <w:p w14:paraId="5C7771D2" w14:textId="77777777" w:rsidR="00EC60E6" w:rsidRPr="00340959" w:rsidRDefault="00EC60E6" w:rsidP="00340959">
      <w:pPr>
        <w:spacing w:before="0" w:after="0" w:line="360" w:lineRule="auto"/>
        <w:jc w:val="both"/>
        <w:rPr>
          <w:rFonts w:ascii="Arial" w:hAnsi="Arial" w:cs="Arial"/>
          <w:color w:val="000000"/>
          <w:sz w:val="21"/>
          <w:szCs w:val="21"/>
        </w:rPr>
      </w:pPr>
    </w:p>
    <w:p w14:paraId="52F48AB4" w14:textId="77777777" w:rsidR="005B28E8" w:rsidRPr="00EC60E6" w:rsidRDefault="00000000" w:rsidP="00340959">
      <w:pPr>
        <w:pStyle w:val="Heading2"/>
        <w:spacing w:before="0" w:after="0" w:line="360" w:lineRule="auto"/>
        <w:rPr>
          <w:rFonts w:ascii="Arial" w:hAnsi="Arial" w:cs="Arial"/>
          <w:b/>
          <w:bCs/>
          <w:color w:val="7030A0"/>
          <w:sz w:val="21"/>
          <w:szCs w:val="21"/>
        </w:rPr>
      </w:pPr>
      <w:r>
        <w:rPr>
          <w:rFonts w:ascii="Arial" w:hAnsi="Arial" w:cs="Arial"/>
          <w:b/>
          <w:bCs/>
          <w:color w:val="7030A0"/>
          <w:sz w:val="21"/>
          <w:szCs w:val="21"/>
        </w:rPr>
        <w:t>Validation design</w:t>
      </w:r>
    </w:p>
    <w:p w14:paraId="6B5D3733" w14:textId="4D614979" w:rsidR="000152B3"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To obtain statistically robust and spatially realistic performance estimates, three complementary validation strategies were implemented. First, repeated stratified cross-validation (5-fold × 3 repeats) was applied to the training subset to generate stable average metrics while preserving class proportions within each fold </w:t>
        <w:fldChar w:fldCharType="begin"/>
        <w:instrText xml:space="preserve"> ADDIN ZOTERO_ITEM CSL_CITATION {"citationID":"iZyVqpsN","properties":{"formattedCitation":"(Porrello et al. 2019)","plainCitation":"(Porrello et al. 2019)","noteIndex":0},"citationItems":[{"id":162,"uris":["http://zotero.org/users/local/emosa1lm/items/6K6VGCNU"],"itemData":{"id":162,"type":"article-journal","abstract":"Nowadays, Vector-Borne Diseases (VBDs) raise a severe threat for public health, accounting for a considerable amount of human illnesses. Recently, several surveillance plans have been put in place for limiting the spread of such diseases, typically involving on-field measurements. Such a systematic and effective plan still misses, due to the high costs and efforts required for implementing it. Ideally, any attempt in this field should consider the triangle vectors-host-pathogen, which is strictly linked to the environmental and climatic conditions. In this paper, we exploit satellite imagery from Sentinel-2 mission, as we believe they encode the environmental factors responsible for the vector's spread. Our analysis - conducted in a data-driver fashion - couples spectral images with ground-truth information on the abundance of Culicoides imicola. In this respect, we frame our task as a binary classification problem, underpinning Convolutional Neural Networks (CNNs) as being able to learn useful representation from multi-band images. Additionally, we provide a multi-instance variant, aimed at extracting temporal patterns from a short sequence of spectral images. Experiments show promising results, providing the foundations for novel supportive tools, which could depict where surveillance and prevention measures could be prioritized.","DOI":"10.1109/sitis.2019.00036","page":"159-166","title":"Spotting Insects from Satellites: Modeling the Presence of Culicoides Imicola Through Deep CNNs","author":[{"family":"Porrello","given":"Angelo"},{"family":"Vincenzi","given":"Stefano"},{"family":"Buzzega","given":"Pietro"},{"family":"Calderara","given":"Simone"},{"family":"Conte","given":"Annamaria"},{"family":"Ippoliti","given":"Carla"},{"family":"Candeloro","given":"Luca"},{"family":"Lorenzo","given":"Alessio Di"},{"family":"Dondona","given":"Andrea Capobianco"}],"issued":{"date-parts":[["2019",11]]}}}],"schema":"https://github.com/citation-style-language/schema/raw/master/csl-citation.json"} </w:instrText>
        <w:fldChar w:fldCharType="separate"/>
      </w:r>
      <w:r>
        <w:rPr>
          <w:rFonts w:ascii="Arial" w:hAnsi="Arial" w:cs="Arial"/>
          <w:sz w:val="21"/>
        </w:rPr>
        <w:t>(Porrello et al. 2019)</w:t>
      </w:r>
      <w:r>
        <w:rPr>
          <w:rFonts w:ascii="Arial" w:hAnsi="Arial" w:cs="Arial"/>
          <w:color w:val="000000"/>
          <w:sz w:val="21"/>
          <w:szCs w:val="21"/>
        </w:rPr>
        <w:fldChar w:fldCharType="end"/>
        <w:t xml:space="preserve">. Second, stratified sampling was employed to reserve 20% of the data as an independent holdout set untouched by model development and reserved solely for external evaluation. Third, spatial block cross-validation was performed using GroupKFold and spatial clusters derived from KMeans clustering in geographic coordinates </w:t>
        <w:fldChar w:fldCharType="begin"/>
        <w:instrText xml:space="preserve"> ADDIN ZOTERO_ITEM CSL_CITATION {"citationID":"MTCRljDN","properties":{"formattedCitation":"(Dey et al. 2024)","plainCitation":"(Dey et al. 2024)","noteIndex":0},"citationItems":[{"id":316,"uris":["http://zotero.org/users/local/emosa1lm/items/5RQMJ437"],"itemData":{"id":316,"type":"article-journal","abstract":"Machine learning (ML) can make use of agricultural data related to crop yield under varying soil nutrient levels, and climatic fluctuations to suggest appropriate crops or supplementary nutrients to achieve the highest possible production. The aim of this study was to evaluate the efficacy of five distinct ML models for a dataset sourced from the Kaggle repository to generate practical recommendations for crop selection or determination of required nutrient(s) in a given site. The datasets contain information on NPK, soil pH, and three climatic variables: temperature, rainfall, and humidity. The models namely Support vector machine, XGBoost, Random forest, KNN, and Decision Tree were trained using yields of individual data sets of 11 agricultural and 10 horticultural crops, as well as combined yield of both agri-horticultural crops. The results strongly suggest to evaluate individual data sets separately for each crop category rather than using combined the data sets of both categories for better predictions. Comparing the five ML models, the XGBoost demonstrated the highest level of accuracy. The precision rates of XGBoost for recommending agricultural crops, horticultural crops, and a combination of both were 99.09 % (AUC 1.0), 99.3 % (AUC 1.0), and 98.51 % (AUC 0.99), respectively. This non-intrusive method for generating crop recommendations in diverse environmental conditions holds the potential to provide valuable insights for the development of a user-friendly AI cloud-based interface. Such an interface would enable rapid decision-making for optimal fertilizer applications and the selection of suitable crops for cultivation at specific sites.","container-title":"Heliyon","DOI":"10.1016/j.heliyon.2024.e25112","ISSN":"2405-8440","issue":"3","journalAbbreviation":"Heliyon","page":"e25112","source":"ScienceDirect","title":"Machine learning based recommendation of agricultural and horticultural crop farming in India under the regime of NPK, soil pH and three climatic variables","volume":"10","author":[{"family":"Dey","given":"Biplob"},{"family":"Ferdous","given":"Jannatul"},{"family":"Ahmed","given":"Romel"}],"issued":{"date-parts":[["2024",2,15]]}}}],"schema":"https://github.com/citation-style-language/schema/raw/master/csl-citation.json"} </w:instrText>
        <w:fldChar w:fldCharType="separate"/>
      </w:r>
      <w:r>
        <w:rPr>
          <w:rFonts w:ascii="Arial" w:hAnsi="Arial" w:cs="Arial"/>
          <w:sz w:val="21"/>
        </w:rPr>
        <w:t>(Dey et al. 2024)</w:t>
      </w:r>
      <w:r>
        <w:rPr>
          <w:rFonts w:ascii="Arial" w:hAnsi="Arial" w:cs="Arial"/>
          <w:color w:val="000000"/>
          <w:sz w:val="21"/>
          <w:szCs w:val="21"/>
        </w:rPr>
        <w:fldChar w:fldCharType="end"/>
        <w:t xml:space="preserve">. </w:t>
      </w:r>
      <w:r>
        <w:rPr>
          <w:rFonts w:ascii="Arial" w:hAnsi="Arial" w:cs="Arial"/>
          <w:color w:val="FF0000"/>
          <w:sz w:val="21"/>
          <w:szCs w:val="21"/>
        </w:rPr>
        <w:t xml:space="preserve">Specifically, sample locations were partitioned into 10 spatial clusters using KMeans (n_init = 10 and random seed = 42). A 5-fold GroupKFold split was then applied over these spatial clusters. </w:t>
      </w:r>
      <w:r>
        <w:rPr>
          <w:rFonts w:ascii="Arial" w:hAnsi="Arial" w:cs="Arial"/>
          <w:color w:val="000000"/>
          <w:sz w:val="21"/>
          <w:szCs w:val="21"/>
        </w:rPr>
        <w:t xml:space="preserve">This approach maintains spatial separation between training and test samples, </w:t>
      </w:r>
      <w:r>
        <w:rPr>
          <w:rFonts w:ascii="Arial" w:hAnsi="Arial" w:cs="Arial"/>
          <w:color w:val="FF0000"/>
          <w:sz w:val="21"/>
          <w:szCs w:val="21"/>
        </w:rPr>
        <w:t xml:space="preserve">ensuring that holdout samples originate from a spatially distinct cluster, thus </w:t>
      </w:r>
      <w:r>
        <w:rPr>
          <w:rFonts w:ascii="Arial" w:hAnsi="Arial" w:cs="Arial"/>
          <w:color w:val="000000"/>
          <w:sz w:val="21"/>
          <w:szCs w:val="21"/>
        </w:rPr>
        <w:t xml:space="preserve">approximating spatial independence</w:t>
      </w:r>
      <w:r>
        <w:rPr>
          <w:rFonts w:ascii="Arial" w:hAnsi="Arial" w:cs="Arial"/>
          <w:color w:val="000000"/>
          <w:sz w:val="21"/>
          <w:szCs w:val="21"/>
        </w:rPr>
        <w:t xml:space="preserve"> and curbing metric inflation resulting from spatial autocorrelation </w:t>
        <w:fldChar w:fldCharType="begin"/>
        <w:instrText xml:space="preserve"> ADDIN ZOTERO_ITEM CSL_CITATION {"citationID":"Jnr2UUcn","properties":{"formattedCitation":"(Singh et al. 2025)","plainCitation":"(Singh et al. 2025)","noteIndex":0},"citationItems":[{"id":164,"uris":["http://zotero.org/users/local/emosa1lm/items/TEZX9J5N"],"itemData":{"id":164,"type":"article-journal","abstract":"Abstract Invasive species management is often constrained by limited resources and complicated by ecological and socio-economic variability across landscapes, leading to inconsistent outcomes. We use water hyacinth ( Pontederia crassipes ) in South Africa as a case study to demonstrate how combining earth observation (EO) data, species distribution models (SDMs), and explainable artificial intelligence (xAI) can support more spatially explicit and context-sensitive management strategies. Despite decades of control efforts, water hyacinth remains widespread, with its proliferation shaped by ecological and socio-economic contexts in which the weed proliferates. Using SHapley Additive exPlanations (SHAP), we studied the environmental and socio-economic contexts impacting water hyacinth prevalence across multiple spatial scales in South Africa. Consistent patterns emerged with known physiological constraints, such as minimum temperature, while novel spatial trends were revealed—highlighting temperature effects along the coast and the role of vegetation type in inland regions. These insights offer opportunities for targeted fieldwork to investigate emergent non-linear relationships and interaction effects between covariates. The spatially explicit outputs, covering all South African water bodies, provide a low-cost, scalable tool to guide the prioritization of risk, inform monitoring and early detection efforts, and support the selection of locally appropriate management strategies. While focused on water hyacinth, our approach is generalizable to other invasive species, illustrating the value of integrating EO data and xAI to enhance understanding of species-environment dynamics and enable adaptive, data-driven intervention planning.","container-title":"Environmental Monitoring and Assessment","DOI":"10.1007/s10661-025-14517-1","ISSN":"0167-6369, 1573-2959","issue":"11","PMID":"41044279","publisher":"Springer Science+Business Media","title":"An earth observation and explainable machine learning approach for determining the drivers of invasive species — a water hyacinth case study","URL":"https://doi.org/10.1007/s10661-025-14517-1","volume":"197","author":[{"family":"Singh","given":"Geethen"},{"family":"Rosman","given":"Benjamin"},{"family":"Byrne","given":"Marcus J."},{"family":"Reynolds","given":"Chevonne"}],"issued":{"date-parts":[["2025",10]]}}}],"schema":"https://github.com/citation-style-language/schema/raw/master/csl-citation.json"} </w:instrText>
        <w:fldChar w:fldCharType="separate"/>
      </w:r>
      <w:r>
        <w:rPr>
          <w:rFonts w:ascii="Arial" w:hAnsi="Arial" w:cs="Arial"/>
          <w:sz w:val="21"/>
        </w:rPr>
        <w:t>(Singh et al. 2025)</w:t>
      </w:r>
      <w:r>
        <w:rPr>
          <w:rFonts w:ascii="Arial" w:hAnsi="Arial" w:cs="Arial"/>
          <w:color w:val="000000"/>
          <w:sz w:val="21"/>
          <w:szCs w:val="21"/>
        </w:rPr>
        <w:fldChar w:fldCharType="end"/>
        <w:t>.</w:t>
      </w:r>
    </w:p>
    <w:p w14:paraId="473DE670" w14:textId="77777777" w:rsidR="00B61B2F" w:rsidRPr="00340959" w:rsidRDefault="00B61B2F" w:rsidP="00340959">
      <w:pPr>
        <w:spacing w:before="0" w:after="0" w:line="360" w:lineRule="auto"/>
        <w:jc w:val="both"/>
        <w:rPr>
          <w:rFonts w:ascii="Arial" w:hAnsi="Arial" w:cs="Arial"/>
          <w:sz w:val="21"/>
          <w:szCs w:val="21"/>
        </w:rPr>
      </w:pPr>
    </w:p>
    <w:p w14:paraId="03D00976" w14:textId="77777777" w:rsidR="005B28E8" w:rsidRPr="00B61B2F"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Evaluation metrics</w:t>
      </w:r>
    </w:p>
    <w:p w14:paraId="5F07B8A6" w14:textId="759B1DDB" w:rsidR="005B28E8" w:rsidRPr="00340959"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A wide range of metrics for discrimination, robustness, and probabilistic calibration were used to evaluate the model, ensuring a balanced and statistically meaningful assessment of landslide-susceptibility predictions. Both threshold-dependent and threshold-independent measures were considered </w:t>
        <w:fldChar w:fldCharType="begin"/>
        <w:instrText xml:space="preserve"> ADDIN ZOTERO_ITEM CSL_CITATION {"citationID":"SNcdZASh","properties":{"formattedCitation":"(Halder et al. 2025)","plainCitation":"(Halder et al. 2025)","noteIndex":0},"citationItems":[{"id":165,"uris":["http://zotero.org/users/local/emosa1lm/items/28VJJMKW"],"itemData":{"id":165,"type":"article-journal","abstract":"Abstract Landslides pose significant threats to ecosystems, lives, and economies, particularly in the geologically fragile Sub-Himalayan region of West Bengal, India. This study enhances landslide susceptibility prediction by developing an ensemble framework integrating Recursive Feature Elimination (RFE) with meta-learning techniques. Seven advanced machine learning models- Logistic Regression (LR), Support Vector Machine (SVM), Random Forest (RF), Extremely Randomized Trees (ET), Gradient Boosting (GB), Extreme Gradient Boosting (XGBoost), and a Meta Classifier (MC) were applied using Remote Sensing and GIS tools to identify key landslide-conditioning factors and classify susceptibility zones. Model performance was assessed through metrics such as accuracy, precision, recall, F1 score, and AUC of the ROC curve. Among the models, the Meta Classifier (MC) achieved the highest accuracy (0.956) and AUC (0.987), demonstrating superior predictive ability. Gradient Boosting (GB), XGBoost, and RF also performed well, with accuracies of 0.943 and AUC values of 0.987 (GB and XGBoost) and 0.983 (RF). Extremely Randomized Trees (ET) exhibited the highest accuracy (0.946) among individual models and an AUC of 0.985. SVM and LR, while slightly less accurate (0.941 and 0.860, respectively), provided valuable insights, with SVM achieving an AUC of 0.972 and LR achieving 0.935. The models effectively delineated landslide susceptibility into five zones (very low, low, moderate, high, and very high), with high and very high susceptibility zones concentrated in Darjeeling and Kalimpong subdivisions. These zones are influenced by intense rainfall, unstable geological structures, and anthropogenic activities like deforestation and urbanization. Notably, ET, RF, GB, and XGBoost demonstrated efficiency in feature selection, requiring fewer input variables while maintaining high performance. This study establishes a benchmark for landslide susceptibility mapping, providing a scalable and adaptable framework for geospatial hazard prediction. The findings hold significant implications for land-use planning, disaster management, and environmental conservation in vulnerable regions worldwide.","container-title":"Scientific Reports","DOI":"10.1038/s41598-025-87587-3","ISSN":"2045-2322","issue":"1","PMID":"39939353","publisher":"Nature Portfolio","title":"Improving landslide susceptibility prediction through ensemble recursive feature elimination and meta-learning framework","URL":"https://doi.org/10.1038/s41598-025-87587-3","volume":"15","author":[{"family":"Halder","given":"Krishnagopal"},{"family":"Srivastava","given":"Amit Kumar"},{"family":"Ghosh","given":"Anitabha"},{"family":"Das","given":"Subhabrata"},{"family":"Banerjee","given":"Santanu"},{"family":"Pal","given":"Subodh Chandra"},{"family":"Chatterjee","given":"Uday"},{"family":"Bisai","given":"Dipak"},{"family":"Ewert","given":"Frank"},{"family":"Gaiser","given":"Thomas"}],"issued":{"date-parts":[["2025",2]]}}}],"schema":"https://github.com/citation-style-language/schema/raw/master/csl-citation.json"} </w:instrText>
        <w:fldChar w:fldCharType="separate"/>
      </w:r>
      <w:r>
        <w:rPr>
          <w:rFonts w:ascii="Arial" w:hAnsi="Arial" w:cs="Arial"/>
          <w:sz w:val="21"/>
        </w:rPr>
        <w:t xml:space="preserve">(Halder et al. </w:t>
        <w:lastRenderedPageBreak/>
        <w:t>2025)</w:t>
      </w:r>
      <w:r>
        <w:rPr>
          <w:rFonts w:ascii="Arial" w:hAnsi="Arial" w:cs="Arial"/>
          <w:color w:val="000000"/>
          <w:sz w:val="21"/>
          <w:szCs w:val="21"/>
        </w:rPr>
        <w:fldChar w:fldCharType="end"/>
        <w:t xml:space="preserve">. Metrics based on confusion matrices summarize concordance in class predictions at a fixed decision threshold, whereas ranking-based metrics characterize the  ability of the model to distinguish between landslide and non-landslide locations irrespective of threshold selection </w:t>
        <w:fldChar w:fldCharType="begin"/>
        <w:instrText xml:space="preserve"> ADDIN ZOTERO_ITEM CSL_CITATION {"citationID":"oWsr0cfR","properties":{"formattedCitation":"(Tehrani et al. 2022)","plainCitation":"(Tehrani et al. 2022)","noteIndex":0},"citationItems":[{"id":166,"uris":["http://zotero.org/users/local/emosa1lm/items/JX558SC9"],"itemData":{"id":166,"type":"article-journal","abstract":"Abstract Upon the introduction of machine learning (ML) and its variants, in the form that we know today, to the landslide community, many studies have been carried out to explore the usefulness of ML in landslide research and to look at some classic landslide problems from an ML point of view. ML techniques, including deep learning methods, are becoming popular to model complex landslide problems and are starting to demonstrate promising predictive performance compared to conventional methods. Almost all the studies published in the literature in recent years belong to one of the following three broad categories: landslide detection and mapping, landslide spatial forecasting in the form of susceptibility mapping, and landslide temporal forecasting. In this paper, we present a brief overview of ML techniques, provide a general summary of the landslide studies conducted, in recent years, in the three above-mentioned categories, and make an attempt to critically evaluate the use of ML methods to model landslide processes. The paper also provides suggestions for future use of these powerful data-driven techniques in landslide studies.","container-title":"Natural Hazards","DOI":"10.1007/s11069-022-05423-7","ISSN":"0921-030X, 1573-0840","issue":"2","page":"1197-1245","publisher":"Springer Science+Business Media","title":"Machine learning and landslide studies: recent advances and applications","volume":"114","author":[{"family":"Tehrani","given":"Faraz S."},{"family":"Calvello","given":"Michele"},{"family":"Liu","given":"Zhongqiang"},{"family":"Zhang","given":"Limin"},{"family":"Lacasse","given":"Suzanne"}],"issued":{"date-parts":[["2022",6]]}}}],"schema":"https://github.com/citation-style-language/schema/raw/master/csl-citation.json"} </w:instrText>
        <w:fldChar w:fldCharType="separate"/>
      </w:r>
      <w:r>
        <w:rPr>
          <w:rFonts w:ascii="Arial" w:hAnsi="Arial" w:cs="Arial"/>
          <w:sz w:val="21"/>
        </w:rPr>
        <w:t>(Tehrani et al. 2022)</w:t>
      </w:r>
      <w:r>
        <w:rPr>
          <w:rFonts w:ascii="Arial" w:hAnsi="Arial" w:cs="Arial"/>
          <w:color w:val="000000"/>
          <w:sz w:val="21"/>
          <w:szCs w:val="21"/>
        </w:rPr>
        <w:fldChar w:fldCharType="end"/>
        <w:t xml:space="preserve">. As the suggested framework primarily centers on probabilistic forecasting, especially for Bayesian models, proper scoring rules were integrated to evaluate the goodness of predicted probabilities, not just class labels </w:t>
        <w:fldChar w:fldCharType="begin"/>
        <w:instrText xml:space="preserve"> ADDIN ZOTERO_ITEM CSL_CITATION {"citationID":"ZZrfwjmS","properties":{"formattedCitation":"(Mwakapesa et al. 2024)","plainCitation":"(Mwakapesa et al. 2024)","noteIndex":0},"citationItems":[{"id":167,"uris":["http://zotero.org/users/local/emosa1lm/items/5EGISPBC"],"itemData":{"id":167,"type":"article-journal","abstract":"Landslide susceptibility assessment (LSA) is fundamental for managing landslide geological disasters. This study presents a deep learning approach (DNN-MSFM) designed to enhance LSA modeling, particularly addressing limitations caused by the unbalanced distribution of data samples in applied datasets. DNN-MSFM approach combines a deep neural network (DNN) and a mean squared false misclassification loss function (MSFM) to handle unbalanced samples from the algorithmic perspective. The model's performance was evaluated on an unbalanced dataset containing mapping units' records of 293 landslide samples and 653 non-landslide samples from the Baota District, China. Its effectiveness was assessed through statistical metrics and compared against DNN and Support Vector Machine (SVM) basic models. The results demonstrated a significant performance enhancement from the DNN-MSFM (OverallAccuracy = 0.889 and area under the receiver operating characteristic curve (AUC) = 0.84), indicating its effectiveness in learning the underlying landslide susceptibility features and demonstrating its ability to provide improved predictions even in areas with unbalanced landslide samples. Moreover, the study emphasizes the importance of considering balanced loss functions in training DNN under various imbalance degrees and contributes to expanding the applicability of DNN in LSA modeling. Also, this study builds a foundation for further enhancements of deep learning methods for geological disaster assessments.","container-title":"Heliyon","DOI":"10.1016/j.heliyon.2024.e30107","ISSN":"2405-8440","issue":"9","PMID":"38707366","publisher":"Elsevier BV","title":"Landslide susceptibility assessment using deep learning considering unbalanced samples distribution","URL":"https://doi.org/10.1016/j.heliyon.2024.e30107","volume":"10","author":[{"family":"Mwakapesa","given":"Deborah Simon"},{"family":"Lan","given":"Xiaoji"},{"family":"Mao","given":"Yimin"}],"issued":{"date-parts":[["2024",4]]}}}],"schema":"https://github.com/citation-style-language/schema/raw/master/csl-citation.json"} </w:instrText>
        <w:fldChar w:fldCharType="separate"/>
      </w:r>
      <w:r>
        <w:rPr>
          <w:rFonts w:ascii="Arial" w:hAnsi="Arial" w:cs="Arial"/>
          <w:sz w:val="21"/>
        </w:rPr>
        <w:t>(Mwakapesa et al. 2024)</w:t>
      </w:r>
      <w:r>
        <w:rPr>
          <w:rFonts w:ascii="Arial" w:hAnsi="Arial" w:cs="Arial"/>
          <w:color w:val="000000"/>
          <w:sz w:val="21"/>
          <w:szCs w:val="21"/>
        </w:rPr>
        <w:fldChar w:fldCharType="end"/>
        <w:t xml:space="preserve">. Additionally, calibration metrics were added to consider the reliability between predicted susceptibility probabilities and observed landslide occurrence </w:t>
        <w:fldChar w:fldCharType="begin"/>
        <w:instrText xml:space="preserve"> ADDIN ZOTERO_ITEM CSL_CITATION {"citationID":"hkT5rEL4","properties":{"formattedCitation":"(Pareek et al. 2024)","plainCitation":"(Pareek et al. 2024)","noteIndex":0},"citationItems":[{"id":126,"uris":["http://zotero.org/users/local/emosa1lm/items/BYMXKHHG"],"itemData":{"id":126,"type":"article-journal","abstract":"Abstract Landslide susceptibility maps serve as the basis for hazard and risk assessment, as well as risk-informed land use planning at various spatial scales. Researchers create these maps aiming to fulfil a variety of purposes, including infrastructure planning and restrictive land use zoning. These applications require accurate and specific information to fulfil these purposes, as decisions based on these maps have the potential to cost lives and cause infrastructure damage. The usability of the maps depends on whether they provide the required information and their accuracy to be utilized for the intended purpose. Therefore, assessing the usability and predictive accuracy of landslide susceptibility maps is of paramount importance. Typically, the accuracy of the maps is evaluated using the same landslide inventory that was used to create the map, which does not actually test the predictive ability of the maps in future situations. In this study, we briefly reviewed the purposes of the map creation using literature and stakeholder interviews and assessed the accuracy of three landslide susceptibility maps in a posterior manner. We generated a multi-temporal landslide event inventory after the creation dates of these landslide susceptibility maps. We devised a method to evaluate classified maps by making use of Unique Conditions Units (UCUs) to compare the posteriorly predicted susceptibility classes and the new landslide occurrences. Interviews with stakeholders revealed a disconnection between the aims set forth by map producers and the specific needs of the end users. Our posterior assessment shows that overall predictions of the maps provide plausible results; however, their interpretations for different use cases make them less likely to be used. When comparing the maps using UCUs, landslide densities overlap between the different susceptibility classes, indicating low predictive performance of the maps. Direct comparison of all maps shows a low agreement between susceptibility classes, which pinpoints the uncertainties in data and methods used to create different maps. This study highlights the need for purpose-oriented landslide susceptibility mapping and posterior assessment of the predictive capabilities of these maps aiming to fulfil respective purposes.","container-title":"Landslides","DOI":"10.1007/s10346-024-02389-4","ISSN":"1612-510X, 1612-5118","issue":"3","page":"655-670","publisher":"Springer Science+Business Media","title":"Analyzing the posterior predictive capability and usability of landslide susceptibility maps: a case of Kerala, India","volume":"22","author":[{"family":"Pareek","given":"Tanuj"},{"family":"Bhuyan","given":"Kushanav"},{"family":"Westen","given":"C. J.","dropping-particle":"van"},{"family":"Rajaneesh","given":"A."},{"family":"Sajinkumar","given":"K. S."},{"family":"Lombardo","given":"Luigi"}],"issued":{"date-parts":[["2024",10]]}}}],"schema":"https://github.com/citation-style-language/schema/raw/master/csl-citation.json"} </w:instrText>
        <w:fldChar w:fldCharType="separate"/>
      </w:r>
      <w:r>
        <w:rPr>
          <w:rFonts w:ascii="Arial" w:hAnsi="Arial" w:cs="Arial"/>
          <w:sz w:val="21"/>
        </w:rPr>
        <w:t>(Pareek et al. 2024)</w:t>
      </w:r>
      <w:r>
        <w:rPr>
          <w:rFonts w:ascii="Arial" w:hAnsi="Arial" w:cs="Arial"/>
          <w:color w:val="000000"/>
          <w:sz w:val="21"/>
          <w:szCs w:val="21"/>
        </w:rPr>
        <w:fldChar w:fldCharType="end"/>
        <w:t>. This integrated evaluation approach guarantees a simultaneous assessment of discrimination strength, class-imbalance robustness, probability accuracy, and calibration reliability before model selection and spatial deployment.</w:t>
      </w:r>
    </w:p>
    <w:tbl>
      <w:tblPr>
        <w:tblW w:w="9197" w:type="dxa"/>
        <w:tblCellSpacing w:w="15" w:type="dxa"/>
        <w:tblCellMar>
          <w:top w:w="15" w:type="dxa"/>
          <w:left w:w="15" w:type="dxa"/>
          <w:bottom w:w="15" w:type="dxa"/>
          <w:right w:w="15" w:type="dxa"/>
        </w:tblCellMar>
        <w:tblLook w:val="04A0" w:firstRow="1" w:lastRow="0" w:firstColumn="1" w:lastColumn="0" w:noHBand="0" w:noVBand="1"/>
      </w:tblPr>
      <w:tblGrid>
        <w:gridCol w:w="8007"/>
        <w:gridCol w:w="1190"/>
      </w:tblGrid>
      <w:tr w:rsidR="009F7D21" w:rsidRPr="00340959" w14:paraId="4CFADD0A" w14:textId="77777777" w:rsidTr="009F7D21">
        <w:trPr>
          <w:trHeight w:val="463"/>
          <w:tblCellSpacing w:w="15" w:type="dxa"/>
        </w:trPr>
        <w:tc>
          <w:tcPr>
            <w:tcW w:w="7962" w:type="dxa"/>
            <w:vAlign w:val="center"/>
            <w:hideMark/>
          </w:tcPr>
          <w:p w14:paraId="4C1AAAFD"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Accuracy</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TP+TN</m:t>
                    </m:r>
                  </m:num>
                  <m:den>
                    <m:r>
                      <w:rPr>
                        <w:rFonts w:ascii="Cambria Math" w:hAnsi="Cambria Math" w:cs="Arial"/>
                        <w:sz w:val="21"/>
                        <w:szCs w:val="21"/>
                      </w:rPr>
                      <m:t>TP+TN+FP+FN</m:t>
                    </m:r>
                  </m:den>
                </m:f>
              </m:oMath>
            </m:oMathPara>
          </w:p>
        </w:tc>
        <w:tc>
          <w:tcPr>
            <w:tcW w:w="1145" w:type="dxa"/>
            <w:vAlign w:val="center"/>
          </w:tcPr>
          <w:p w14:paraId="361E8C58"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3</w:t>
            </w:r>
          </w:p>
        </w:tc>
      </w:tr>
      <w:tr w:rsidR="009F7D21" w:rsidRPr="00340959" w14:paraId="7659C8EB" w14:textId="77777777" w:rsidTr="009F7D21">
        <w:trPr>
          <w:trHeight w:val="455"/>
          <w:tblCellSpacing w:w="15" w:type="dxa"/>
        </w:trPr>
        <w:tc>
          <w:tcPr>
            <w:tcW w:w="7962" w:type="dxa"/>
            <w:vAlign w:val="center"/>
            <w:hideMark/>
          </w:tcPr>
          <w:p w14:paraId="4EFEB700"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Precision</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m:t>
                    </m:r>
                  </m:num>
                  <m:den>
                    <m:r>
                      <w:rPr>
                        <w:rFonts w:ascii="Cambria Math" w:hAnsi="Cambria Math" w:cs="Arial"/>
                        <w:sz w:val="21"/>
                        <w:szCs w:val="21"/>
                      </w:rPr>
                      <m:t>TP+FP</m:t>
                    </m:r>
                  </m:den>
                </m:f>
              </m:oMath>
            </m:oMathPara>
          </w:p>
        </w:tc>
        <w:tc>
          <w:tcPr>
            <w:tcW w:w="1145" w:type="dxa"/>
            <w:vAlign w:val="center"/>
          </w:tcPr>
          <w:p w14:paraId="1CBF6A32"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4</w:t>
            </w:r>
          </w:p>
        </w:tc>
      </w:tr>
      <w:tr w:rsidR="009F7D21" w:rsidRPr="00340959" w14:paraId="23209735" w14:textId="77777777" w:rsidTr="009F7D21">
        <w:trPr>
          <w:trHeight w:val="445"/>
          <w:tblCellSpacing w:w="15" w:type="dxa"/>
        </w:trPr>
        <w:tc>
          <w:tcPr>
            <w:tcW w:w="7962" w:type="dxa"/>
            <w:vAlign w:val="center"/>
            <w:hideMark/>
          </w:tcPr>
          <w:p w14:paraId="6D7DC785"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Recall</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m:t>
                    </m:r>
                  </m:num>
                  <m:den>
                    <m:r>
                      <w:rPr>
                        <w:rFonts w:ascii="Cambria Math" w:hAnsi="Cambria Math" w:cs="Arial"/>
                        <w:sz w:val="21"/>
                        <w:szCs w:val="21"/>
                      </w:rPr>
                      <m:t>TP+FN</m:t>
                    </m:r>
                  </m:den>
                </m:f>
              </m:oMath>
            </m:oMathPara>
          </w:p>
        </w:tc>
        <w:tc>
          <w:tcPr>
            <w:tcW w:w="1145" w:type="dxa"/>
            <w:vAlign w:val="center"/>
          </w:tcPr>
          <w:p w14:paraId="0D5C25BE"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5</w:t>
            </w:r>
          </w:p>
        </w:tc>
      </w:tr>
      <w:tr w:rsidR="009F7D21" w:rsidRPr="00340959" w14:paraId="3C51FE11" w14:textId="77777777" w:rsidTr="009F7D21">
        <w:trPr>
          <w:trHeight w:val="463"/>
          <w:tblCellSpacing w:w="15" w:type="dxa"/>
        </w:trPr>
        <w:tc>
          <w:tcPr>
            <w:tcW w:w="7962" w:type="dxa"/>
            <w:vAlign w:val="center"/>
            <w:hideMark/>
          </w:tcPr>
          <w:p w14:paraId="34559409"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F1</m:t>
                </m:r>
                <m:r>
                  <w:rPr>
                    <w:rFonts w:ascii="Cambria Math" w:hAnsi="Cambria Math" w:cs="Arial"/>
                    <w:sz w:val="21"/>
                    <w:szCs w:val="21"/>
                  </w:rPr>
                  <m:t>=2⋅</m:t>
                </m:r>
                <m:f>
                  <m:fPr>
                    <m:ctrlPr>
                      <w:rPr>
                        <w:rFonts w:ascii="Cambria Math" w:hAnsi="Cambria Math" w:cs="Arial"/>
                        <w:sz w:val="21"/>
                        <w:szCs w:val="21"/>
                      </w:rPr>
                    </m:ctrlPr>
                  </m:fPr>
                  <m:num>
                    <m:r>
                      <m:rPr>
                        <m:nor/>
                      </m:rPr>
                      <w:rPr>
                        <w:rFonts w:ascii="Arial" w:hAnsi="Arial" w:cs="Arial"/>
                        <w:sz w:val="21"/>
                        <w:szCs w:val="21"/>
                      </w:rPr>
                      <m:t>Precision</m:t>
                    </m:r>
                    <m:r>
                      <w:rPr>
                        <w:rFonts w:ascii="Cambria Math" w:hAnsi="Cambria Math" w:cs="Arial"/>
                        <w:sz w:val="21"/>
                        <w:szCs w:val="21"/>
                      </w:rPr>
                      <m:t>⋅</m:t>
                    </m:r>
                    <m:r>
                      <m:rPr>
                        <m:nor/>
                      </m:rPr>
                      <w:rPr>
                        <w:rFonts w:ascii="Arial" w:hAnsi="Arial" w:cs="Arial"/>
                        <w:sz w:val="21"/>
                        <w:szCs w:val="21"/>
                      </w:rPr>
                      <m:t>Recall</m:t>
                    </m:r>
                  </m:num>
                  <m:den>
                    <m:r>
                      <m:rPr>
                        <m:nor/>
                      </m:rPr>
                      <w:rPr>
                        <w:rFonts w:ascii="Arial" w:hAnsi="Arial" w:cs="Arial"/>
                        <w:sz w:val="21"/>
                        <w:szCs w:val="21"/>
                      </w:rPr>
                      <m:t>Precision</m:t>
                    </m:r>
                    <m:r>
                      <w:rPr>
                        <w:rFonts w:ascii="Cambria Math" w:hAnsi="Cambria Math" w:cs="Arial"/>
                        <w:sz w:val="21"/>
                        <w:szCs w:val="21"/>
                      </w:rPr>
                      <m:t>+</m:t>
                    </m:r>
                    <m:r>
                      <m:rPr>
                        <m:nor/>
                      </m:rPr>
                      <w:rPr>
                        <w:rFonts w:ascii="Arial" w:hAnsi="Arial" w:cs="Arial"/>
                        <w:sz w:val="21"/>
                        <w:szCs w:val="21"/>
                      </w:rPr>
                      <m:t>Recall</m:t>
                    </m:r>
                  </m:den>
                </m:f>
              </m:oMath>
            </m:oMathPara>
          </w:p>
        </w:tc>
        <w:tc>
          <w:tcPr>
            <w:tcW w:w="1145" w:type="dxa"/>
            <w:vAlign w:val="center"/>
          </w:tcPr>
          <w:p w14:paraId="521CF78F"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6</w:t>
            </w:r>
          </w:p>
        </w:tc>
      </w:tr>
      <w:tr w:rsidR="009F7D21" w:rsidRPr="00340959" w14:paraId="0AAB5CC6" w14:textId="77777777" w:rsidTr="009F7D21">
        <w:trPr>
          <w:trHeight w:val="551"/>
          <w:tblCellSpacing w:w="15" w:type="dxa"/>
        </w:trPr>
        <w:tc>
          <w:tcPr>
            <w:tcW w:w="7962" w:type="dxa"/>
            <w:vAlign w:val="center"/>
            <w:hideMark/>
          </w:tcPr>
          <w:p w14:paraId="308CB934"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MCC</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TP⋅TN-FP⋅FN</m:t>
                    </m:r>
                  </m:num>
                  <m:den>
                    <m:rad>
                      <m:radPr>
                        <m:degHide m:val="1"/>
                        <m:ctrlPr>
                          <w:rPr>
                            <w:rFonts w:ascii="Cambria Math" w:hAnsi="Cambria Math" w:cs="Arial"/>
                            <w:sz w:val="21"/>
                            <w:szCs w:val="21"/>
                          </w:rPr>
                        </m:ctrlPr>
                      </m:radPr>
                      <m:deg/>
                      <m:e>
                        <m:d>
                          <m:dPr>
                            <m:ctrlPr>
                              <w:rPr>
                                <w:rFonts w:ascii="Cambria Math" w:hAnsi="Cambria Math" w:cs="Arial"/>
                                <w:sz w:val="21"/>
                                <w:szCs w:val="21"/>
                              </w:rPr>
                            </m:ctrlPr>
                          </m:dPr>
                          <m:e>
                            <m:r>
                              <w:rPr>
                                <w:rFonts w:ascii="Cambria Math" w:hAnsi="Cambria Math" w:cs="Arial"/>
                                <w:sz w:val="21"/>
                                <w:szCs w:val="21"/>
                              </w:rPr>
                              <m:t>TP+FP)(TP+FN)(TN+FP)(TN+FN</m:t>
                            </m:r>
                          </m:e>
                        </m:d>
                      </m:e>
                    </m:rad>
                  </m:den>
                </m:f>
              </m:oMath>
            </m:oMathPara>
          </w:p>
        </w:tc>
        <w:tc>
          <w:tcPr>
            <w:tcW w:w="1145" w:type="dxa"/>
            <w:vAlign w:val="center"/>
          </w:tcPr>
          <w:p w14:paraId="21A9D05E"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7</w:t>
            </w:r>
          </w:p>
        </w:tc>
      </w:tr>
      <w:tr w:rsidR="009F7D21" w:rsidRPr="00340959" w14:paraId="52F02451" w14:textId="77777777" w:rsidTr="009F7D21">
        <w:trPr>
          <w:trHeight w:val="455"/>
          <w:tblCellSpacing w:w="15" w:type="dxa"/>
        </w:trPr>
        <w:tc>
          <w:tcPr>
            <w:tcW w:w="7962" w:type="dxa"/>
            <w:vAlign w:val="center"/>
            <w:hideMark/>
          </w:tcPr>
          <w:p w14:paraId="6B12DB5D"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TPR</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TP</m:t>
                    </m:r>
                  </m:num>
                  <m:den>
                    <m:r>
                      <w:rPr>
                        <w:rFonts w:ascii="Cambria Math" w:hAnsi="Cambria Math" w:cs="Arial"/>
                        <w:sz w:val="21"/>
                        <w:szCs w:val="21"/>
                      </w:rPr>
                      <m:t>TP+FN</m:t>
                    </m:r>
                  </m:den>
                </m:f>
              </m:oMath>
            </m:oMathPara>
          </w:p>
        </w:tc>
        <w:tc>
          <w:tcPr>
            <w:tcW w:w="1145" w:type="dxa"/>
            <w:vAlign w:val="center"/>
          </w:tcPr>
          <w:p w14:paraId="4D766AE8"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8</w:t>
            </w:r>
          </w:p>
        </w:tc>
      </w:tr>
      <w:tr w:rsidR="009F7D21" w:rsidRPr="00340959" w14:paraId="34349F90" w14:textId="77777777" w:rsidTr="009F7D21">
        <w:trPr>
          <w:trHeight w:val="455"/>
          <w:tblCellSpacing w:w="15" w:type="dxa"/>
        </w:trPr>
        <w:tc>
          <w:tcPr>
            <w:tcW w:w="7962" w:type="dxa"/>
            <w:vAlign w:val="center"/>
            <w:hideMark/>
          </w:tcPr>
          <w:p w14:paraId="61AE0FB1"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FPR</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FP</m:t>
                    </m:r>
                  </m:num>
                  <m:den>
                    <m:r>
                      <w:rPr>
                        <w:rFonts w:ascii="Cambria Math" w:hAnsi="Cambria Math" w:cs="Arial"/>
                        <w:sz w:val="21"/>
                        <w:szCs w:val="21"/>
                      </w:rPr>
                      <m:t>FP+TN</m:t>
                    </m:r>
                  </m:den>
                </m:f>
              </m:oMath>
            </m:oMathPara>
          </w:p>
        </w:tc>
        <w:tc>
          <w:tcPr>
            <w:tcW w:w="1145" w:type="dxa"/>
            <w:vAlign w:val="center"/>
          </w:tcPr>
          <w:p w14:paraId="6D9CD217"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9</w:t>
            </w:r>
          </w:p>
        </w:tc>
      </w:tr>
      <w:tr w:rsidR="009F7D21" w:rsidRPr="00340959" w14:paraId="300463EC" w14:textId="77777777" w:rsidTr="009F7D21">
        <w:trPr>
          <w:trHeight w:val="657"/>
          <w:tblCellSpacing w:w="15" w:type="dxa"/>
        </w:trPr>
        <w:tc>
          <w:tcPr>
            <w:tcW w:w="7962" w:type="dxa"/>
            <w:vAlign w:val="center"/>
            <w:hideMark/>
          </w:tcPr>
          <w:p w14:paraId="61DA1DAB"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Brier</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1</m:t>
                    </m:r>
                  </m:num>
                  <m:den>
                    <m:r>
                      <w:rPr>
                        <w:rFonts w:ascii="Cambria Math" w:hAnsi="Cambria Math" w:cs="Arial"/>
                        <w:sz w:val="21"/>
                        <w:szCs w:val="21"/>
                      </w:rPr>
                      <m:t>n</m:t>
                    </m:r>
                  </m:den>
                </m:f>
                <m:nary>
                  <m:naryPr>
                    <m:chr m:val="∑"/>
                    <m:limLoc m:val="undOvr"/>
                    <m:grow m:val="1"/>
                    <m:ctrlPr>
                      <w:rPr>
                        <w:rFonts w:ascii="Cambria Math" w:hAnsi="Cambria Math" w:cs="Arial"/>
                        <w:sz w:val="21"/>
                        <w:szCs w:val="21"/>
                      </w:rPr>
                    </m:ctrlPr>
                  </m:naryPr>
                  <m:sub>
                    <m:r>
                      <w:rPr>
                        <w:rFonts w:ascii="Cambria Math" w:hAnsi="Cambria Math" w:cs="Arial"/>
                        <w:sz w:val="21"/>
                        <w:szCs w:val="21"/>
                      </w:rPr>
                      <m:t>i=1</m:t>
                    </m:r>
                  </m:sub>
                  <m:sup>
                    <m:r>
                      <w:rPr>
                        <w:rFonts w:ascii="Cambria Math" w:hAnsi="Cambria Math" w:cs="Arial"/>
                        <w:sz w:val="21"/>
                        <w:szCs w:val="21"/>
                      </w:rPr>
                      <m:t>n</m:t>
                    </m:r>
                  </m:sup>
                  <m:e>
                    <m:r>
                      <w:rPr>
                        <w:rFonts w:ascii="Cambria Math" w:hAnsi="Cambria Math" w:cs="Arial"/>
                        <w:sz w:val="21"/>
                        <w:szCs w:val="21"/>
                      </w:rPr>
                      <m:t>(</m:t>
                    </m:r>
                  </m:e>
                </m:nary>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sSup>
                  <m:sSupPr>
                    <m:ctrlPr>
                      <w:rPr>
                        <w:rFonts w:ascii="Cambria Math" w:hAnsi="Cambria Math" w:cs="Arial"/>
                        <w:sz w:val="21"/>
                        <w:szCs w:val="21"/>
                      </w:rPr>
                    </m:ctrlPr>
                  </m:sSupPr>
                  <m:e>
                    <m:r>
                      <w:rPr>
                        <w:rFonts w:ascii="Cambria Math" w:hAnsi="Cambria Math" w:cs="Arial"/>
                        <w:sz w:val="21"/>
                        <w:szCs w:val="21"/>
                      </w:rPr>
                      <m:t>)</m:t>
                    </m:r>
                  </m:e>
                  <m:sup>
                    <m:r>
                      <w:rPr>
                        <w:rFonts w:ascii="Cambria Math" w:hAnsi="Cambria Math" w:cs="Arial"/>
                        <w:sz w:val="21"/>
                        <w:szCs w:val="21"/>
                      </w:rPr>
                      <m:t>2</m:t>
                    </m:r>
                  </m:sup>
                </m:sSup>
              </m:oMath>
            </m:oMathPara>
          </w:p>
        </w:tc>
        <w:tc>
          <w:tcPr>
            <w:tcW w:w="1145" w:type="dxa"/>
            <w:vAlign w:val="center"/>
          </w:tcPr>
          <w:p w14:paraId="07B11878"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10</w:t>
            </w:r>
          </w:p>
        </w:tc>
      </w:tr>
      <w:tr w:rsidR="009F7D21" w:rsidRPr="00340959" w14:paraId="781A266F" w14:textId="77777777" w:rsidTr="009F7D21">
        <w:trPr>
          <w:trHeight w:val="657"/>
          <w:tblCellSpacing w:w="15" w:type="dxa"/>
        </w:trPr>
        <w:tc>
          <w:tcPr>
            <w:tcW w:w="7962" w:type="dxa"/>
            <w:vAlign w:val="center"/>
            <w:hideMark/>
          </w:tcPr>
          <w:p w14:paraId="337A34A5" w14:textId="77777777" w:rsidR="009F7D21" w:rsidRPr="00340959" w:rsidRDefault="009F7D21" w:rsidP="00340959">
            <w:pPr>
              <w:pStyle w:val="NoSpacing"/>
              <w:spacing w:line="360" w:lineRule="auto"/>
              <w:jc w:val="center"/>
              <w:rPr>
                <w:rFonts w:ascii="Arial" w:hAnsi="Arial" w:cs="Arial"/>
                <w:sz w:val="21"/>
                <w:szCs w:val="21"/>
              </w:rPr>
            </w:pPr>
            <m:oMathPara>
              <m:oMath>
                <m:r>
                  <m:rPr>
                    <m:nor/>
                  </m:rPr>
                  <w:rPr>
                    <w:rFonts w:ascii="Arial" w:hAnsi="Arial" w:cs="Arial"/>
                    <w:sz w:val="21"/>
                    <w:szCs w:val="21"/>
                  </w:rPr>
                  <m:t>LogLoss</m:t>
                </m:r>
                <m:r>
                  <w:rPr>
                    <w:rFonts w:ascii="Cambria Math" w:hAnsi="Cambria Math" w:cs="Arial"/>
                    <w:sz w:val="21"/>
                    <w:szCs w:val="21"/>
                  </w:rPr>
                  <m:t>=-</m:t>
                </m:r>
                <m:f>
                  <m:fPr>
                    <m:ctrlPr>
                      <w:rPr>
                        <w:rFonts w:ascii="Cambria Math" w:hAnsi="Cambria Math" w:cs="Arial"/>
                        <w:sz w:val="21"/>
                        <w:szCs w:val="21"/>
                      </w:rPr>
                    </m:ctrlPr>
                  </m:fPr>
                  <m:num>
                    <m:r>
                      <w:rPr>
                        <w:rFonts w:ascii="Cambria Math" w:hAnsi="Cambria Math" w:cs="Arial"/>
                        <w:sz w:val="21"/>
                        <w:szCs w:val="21"/>
                      </w:rPr>
                      <m:t>1</m:t>
                    </m:r>
                  </m:num>
                  <m:den>
                    <m:r>
                      <w:rPr>
                        <w:rFonts w:ascii="Cambria Math" w:hAnsi="Cambria Math" w:cs="Arial"/>
                        <w:sz w:val="21"/>
                        <w:szCs w:val="21"/>
                      </w:rPr>
                      <m:t>n</m:t>
                    </m:r>
                  </m:den>
                </m:f>
                <m:nary>
                  <m:naryPr>
                    <m:chr m:val="∑"/>
                    <m:limLoc m:val="undOvr"/>
                    <m:grow m:val="1"/>
                    <m:ctrlPr>
                      <w:rPr>
                        <w:rFonts w:ascii="Cambria Math" w:hAnsi="Cambria Math" w:cs="Arial"/>
                        <w:sz w:val="21"/>
                        <w:szCs w:val="21"/>
                      </w:rPr>
                    </m:ctrlPr>
                  </m:naryPr>
                  <m:sub>
                    <m:r>
                      <w:rPr>
                        <w:rFonts w:ascii="Cambria Math" w:hAnsi="Cambria Math" w:cs="Arial"/>
                        <w:sz w:val="21"/>
                        <w:szCs w:val="21"/>
                      </w:rPr>
                      <m:t>i=1</m:t>
                    </m:r>
                  </m:sub>
                  <m:sup>
                    <m:r>
                      <w:rPr>
                        <w:rFonts w:ascii="Cambria Math" w:hAnsi="Cambria Math" w:cs="Arial"/>
                        <w:sz w:val="21"/>
                        <w:szCs w:val="21"/>
                      </w:rPr>
                      <m:t>n</m:t>
                    </m:r>
                  </m:sup>
                  <m:e>
                    <m:d>
                      <m:dPr>
                        <m:begChr m:val="["/>
                        <m:endChr m:val="]"/>
                        <m:ctrlPr>
                          <w:rPr>
                            <w:rFonts w:ascii="Cambria Math" w:hAnsi="Cambria Math" w:cs="Arial"/>
                            <w:sz w:val="21"/>
                            <w:szCs w:val="21"/>
                          </w:rPr>
                        </m:ctrlPr>
                      </m:dPr>
                      <m:e>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r>
                          <m:rPr>
                            <m:sty m:val="p"/>
                          </m:rPr>
                          <w:rPr>
                            <w:rFonts w:ascii="Cambria Math" w:hAnsi="Cambria Math" w:cs="Arial"/>
                            <w:sz w:val="21"/>
                            <w:szCs w:val="21"/>
                          </w:rPr>
                          <m:t>log</m:t>
                        </m:r>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r>
                          <w:rPr>
                            <w:rFonts w:ascii="Cambria Math" w:hAnsi="Cambria Math" w:cs="Arial"/>
                            <w:sz w:val="21"/>
                            <w:szCs w:val="21"/>
                          </w:rPr>
                          <m:t>)+(1-</m:t>
                        </m:r>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r>
                          <w:rPr>
                            <w:rFonts w:ascii="Cambria Math" w:hAnsi="Cambria Math" w:cs="Arial"/>
                            <w:sz w:val="21"/>
                            <w:szCs w:val="21"/>
                          </w:rPr>
                          <m:t>)</m:t>
                        </m:r>
                        <m:r>
                          <m:rPr>
                            <m:sty m:val="p"/>
                          </m:rPr>
                          <w:rPr>
                            <w:rFonts w:ascii="Cambria Math" w:hAnsi="Cambria Math" w:cs="Arial"/>
                            <w:sz w:val="21"/>
                            <w:szCs w:val="21"/>
                          </w:rPr>
                          <m:t>log</m:t>
                        </m:r>
                        <m:r>
                          <w:rPr>
                            <w:rFonts w:ascii="Cambria Math" w:hAnsi="Cambria Math" w:cs="Arial"/>
                            <w:sz w:val="21"/>
                            <w:szCs w:val="21"/>
                          </w:rPr>
                          <m:t>⁡(1-</m:t>
                        </m:r>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r>
                          <w:rPr>
                            <w:rFonts w:ascii="Cambria Math" w:hAnsi="Cambria Math" w:cs="Arial"/>
                            <w:sz w:val="21"/>
                            <w:szCs w:val="21"/>
                          </w:rPr>
                          <m:t>)</m:t>
                        </m:r>
                      </m:e>
                    </m:d>
                  </m:e>
                </m:nary>
              </m:oMath>
            </m:oMathPara>
          </w:p>
        </w:tc>
        <w:tc>
          <w:tcPr>
            <w:tcW w:w="1145" w:type="dxa"/>
            <w:vAlign w:val="center"/>
          </w:tcPr>
          <w:p w14:paraId="72426499"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11</w:t>
            </w:r>
          </w:p>
        </w:tc>
      </w:tr>
      <w:tr w:rsidR="009F7D21" w:rsidRPr="00340959" w14:paraId="7F81E62A" w14:textId="77777777" w:rsidTr="009F7D21">
        <w:trPr>
          <w:trHeight w:val="683"/>
          <w:tblCellSpacing w:w="15" w:type="dxa"/>
        </w:trPr>
        <w:tc>
          <w:tcPr>
            <w:tcW w:w="7962" w:type="dxa"/>
            <w:vAlign w:val="center"/>
            <w:hideMark/>
          </w:tcPr>
          <w:p w14:paraId="1E415D0C" w14:textId="77777777" w:rsidR="009F7D21" w:rsidRPr="00340959" w:rsidRDefault="009F7D21" w:rsidP="00340959">
            <w:pPr>
              <w:pStyle w:val="NoSpacing"/>
              <w:spacing w:line="360" w:lineRule="auto"/>
              <w:jc w:val="center"/>
              <w:rPr>
                <w:rFonts w:ascii="Arial" w:hAnsi="Arial" w:cs="Arial"/>
                <w:sz w:val="21"/>
                <w:szCs w:val="21"/>
              </w:rPr>
            </w:pPr>
            <m:oMathPara>
              <m:oMath>
                <m:r>
                  <w:rPr>
                    <w:rFonts w:ascii="Cambria Math" w:hAnsi="Cambria Math" w:cs="Arial"/>
                    <w:sz w:val="21"/>
                    <w:szCs w:val="21"/>
                  </w:rPr>
                  <m:t>ECE=</m:t>
                </m:r>
                <m:nary>
                  <m:naryPr>
                    <m:chr m:val="∑"/>
                    <m:ctrlPr>
                      <w:rPr>
                        <w:rFonts w:ascii="Cambria Math" w:hAnsi="Cambria Math" w:cs="Arial"/>
                        <w:sz w:val="21"/>
                        <w:szCs w:val="21"/>
                      </w:rPr>
                    </m:ctrlPr>
                  </m:naryPr>
                  <m:sub>
                    <m:r>
                      <w:rPr>
                        <w:rFonts w:ascii="Cambria Math" w:hAnsi="Cambria Math" w:cs="Arial"/>
                        <w:sz w:val="21"/>
                        <w:szCs w:val="21"/>
                      </w:rPr>
                      <m:t>k=1</m:t>
                    </m:r>
                    <m:ctrlPr>
                      <w:rPr>
                        <w:rFonts w:ascii="Cambria Math" w:hAnsi="Cambria Math" w:cs="Arial"/>
                        <w:i/>
                        <w:sz w:val="21"/>
                        <w:szCs w:val="21"/>
                      </w:rPr>
                    </m:ctrlPr>
                  </m:sub>
                  <m:sup>
                    <m:r>
                      <w:rPr>
                        <w:rFonts w:ascii="Cambria Math" w:hAnsi="Cambria Math" w:cs="Arial"/>
                        <w:sz w:val="21"/>
                        <w:szCs w:val="21"/>
                      </w:rPr>
                      <m:t>K</m:t>
                    </m:r>
                    <m:ctrlPr>
                      <w:rPr>
                        <w:rFonts w:ascii="Cambria Math" w:hAnsi="Cambria Math" w:cs="Arial"/>
                        <w:i/>
                        <w:sz w:val="21"/>
                        <w:szCs w:val="21"/>
                      </w:rPr>
                    </m:ctrlPr>
                  </m:sup>
                  <m:e>
                    <m:f>
                      <m:fPr>
                        <m:ctrlPr>
                          <w:rPr>
                            <w:rFonts w:ascii="Cambria Math" w:hAnsi="Cambria Math" w:cs="Arial"/>
                            <w:sz w:val="21"/>
                            <w:szCs w:val="21"/>
                          </w:rPr>
                        </m:ctrlPr>
                      </m:fPr>
                      <m:num>
                        <m:sSub>
                          <m:sSubPr>
                            <m:ctrlPr>
                              <w:rPr>
                                <w:rFonts w:ascii="Cambria Math" w:hAnsi="Cambria Math" w:cs="Arial"/>
                                <w:i/>
                                <w:sz w:val="21"/>
                                <w:szCs w:val="21"/>
                              </w:rPr>
                            </m:ctrlPr>
                          </m:sSubPr>
                          <m:e>
                            <m:r>
                              <w:rPr>
                                <w:rFonts w:ascii="Cambria Math" w:hAnsi="Cambria Math" w:cs="Arial"/>
                                <w:sz w:val="21"/>
                                <w:szCs w:val="21"/>
                              </w:rPr>
                              <m:t>n</m:t>
                            </m:r>
                          </m:e>
                          <m:sub>
                            <m:r>
                              <w:rPr>
                                <w:rFonts w:ascii="Cambria Math" w:hAnsi="Cambria Math" w:cs="Arial"/>
                                <w:sz w:val="21"/>
                                <w:szCs w:val="21"/>
                              </w:rPr>
                              <m:t>k</m:t>
                            </m:r>
                          </m:sub>
                        </m:sSub>
                        <m:ctrlPr>
                          <w:rPr>
                            <w:rFonts w:ascii="Cambria Math" w:hAnsi="Cambria Math" w:cs="Arial"/>
                            <w:i/>
                            <w:sz w:val="21"/>
                            <w:szCs w:val="21"/>
                          </w:rPr>
                        </m:ctrlPr>
                      </m:num>
                      <m:den>
                        <m:r>
                          <w:rPr>
                            <w:rFonts w:ascii="Cambria Math" w:hAnsi="Cambria Math" w:cs="Arial"/>
                            <w:sz w:val="21"/>
                            <w:szCs w:val="21"/>
                          </w:rPr>
                          <m:t>n</m:t>
                        </m:r>
                        <m:ctrlPr>
                          <w:rPr>
                            <w:rFonts w:ascii="Cambria Math" w:hAnsi="Cambria Math" w:cs="Arial"/>
                            <w:i/>
                            <w:sz w:val="21"/>
                            <w:szCs w:val="21"/>
                          </w:rPr>
                        </m:ctrlPr>
                      </m:den>
                    </m:f>
                    <m:ctrlPr>
                      <w:rPr>
                        <w:rFonts w:ascii="Cambria Math" w:hAnsi="Cambria Math" w:cs="Arial"/>
                        <w:i/>
                        <w:sz w:val="21"/>
                        <w:szCs w:val="21"/>
                      </w:rPr>
                    </m:ctrlPr>
                  </m:e>
                </m:nary>
                <m:d>
                  <m:dPr>
                    <m:begChr m:val="|"/>
                    <m:endChr m:val="|"/>
                    <m:ctrlPr>
                      <w:rPr>
                        <w:rFonts w:ascii="Cambria Math" w:hAnsi="Cambria Math" w:cs="Arial"/>
                        <w:sz w:val="21"/>
                        <w:szCs w:val="21"/>
                      </w:rPr>
                    </m:ctrlPr>
                  </m:dPr>
                  <m:e>
                    <m:r>
                      <w:rPr>
                        <w:rFonts w:ascii="Cambria Math" w:hAnsi="Cambria Math" w:cs="Arial"/>
                        <w:sz w:val="21"/>
                        <w:szCs w:val="21"/>
                      </w:rPr>
                      <m:t>acc</m:t>
                    </m:r>
                    <m:d>
                      <m:dPr>
                        <m:ctrlPr>
                          <w:rPr>
                            <w:rFonts w:ascii="Cambria Math" w:hAnsi="Cambria Math" w:cs="Arial"/>
                            <w:i/>
                            <w:sz w:val="21"/>
                            <w:szCs w:val="21"/>
                          </w:rPr>
                        </m:ctrlPr>
                      </m:dPr>
                      <m:e>
                        <m:sSub>
                          <m:sSubPr>
                            <m:ctrlPr>
                              <w:rPr>
                                <w:rFonts w:ascii="Cambria Math" w:hAnsi="Cambria Math" w:cs="Arial"/>
                                <w:i/>
                                <w:sz w:val="21"/>
                                <w:szCs w:val="21"/>
                              </w:rPr>
                            </m:ctrlPr>
                          </m:sSubPr>
                          <m:e>
                            <m:r>
                              <w:rPr>
                                <w:rFonts w:ascii="Cambria Math" w:hAnsi="Cambria Math" w:cs="Arial"/>
                                <w:sz w:val="21"/>
                                <w:szCs w:val="21"/>
                              </w:rPr>
                              <m:t>B</m:t>
                            </m:r>
                          </m:e>
                          <m:sub>
                            <m:r>
                              <w:rPr>
                                <w:rFonts w:ascii="Cambria Math" w:hAnsi="Cambria Math" w:cs="Arial"/>
                                <w:sz w:val="21"/>
                                <w:szCs w:val="21"/>
                              </w:rPr>
                              <m:t>k</m:t>
                            </m:r>
                          </m:sub>
                        </m:sSub>
                      </m:e>
                    </m:d>
                    <m:r>
                      <w:rPr>
                        <w:rFonts w:ascii="Cambria Math" w:hAnsi="Cambria Math" w:cs="Arial"/>
                        <w:sz w:val="21"/>
                        <w:szCs w:val="21"/>
                      </w:rPr>
                      <m:t>-conf</m:t>
                    </m:r>
                    <m:d>
                      <m:dPr>
                        <m:ctrlPr>
                          <w:rPr>
                            <w:rFonts w:ascii="Cambria Math" w:hAnsi="Cambria Math" w:cs="Arial"/>
                            <w:i/>
                            <w:sz w:val="21"/>
                            <w:szCs w:val="21"/>
                          </w:rPr>
                        </m:ctrlPr>
                      </m:dPr>
                      <m:e>
                        <m:sSub>
                          <m:sSubPr>
                            <m:ctrlPr>
                              <w:rPr>
                                <w:rFonts w:ascii="Cambria Math" w:hAnsi="Cambria Math" w:cs="Arial"/>
                                <w:i/>
                                <w:sz w:val="21"/>
                                <w:szCs w:val="21"/>
                              </w:rPr>
                            </m:ctrlPr>
                          </m:sSubPr>
                          <m:e>
                            <m:r>
                              <w:rPr>
                                <w:rFonts w:ascii="Cambria Math" w:hAnsi="Cambria Math" w:cs="Arial"/>
                                <w:sz w:val="21"/>
                                <w:szCs w:val="21"/>
                              </w:rPr>
                              <m:t>B</m:t>
                            </m:r>
                          </m:e>
                          <m:sub>
                            <m:r>
                              <w:rPr>
                                <w:rFonts w:ascii="Cambria Math" w:hAnsi="Cambria Math" w:cs="Arial"/>
                                <w:sz w:val="21"/>
                                <w:szCs w:val="21"/>
                              </w:rPr>
                              <m:t>k</m:t>
                            </m:r>
                          </m:sub>
                        </m:sSub>
                      </m:e>
                    </m:d>
                    <m:ctrlPr>
                      <w:rPr>
                        <w:rFonts w:ascii="Cambria Math" w:hAnsi="Cambria Math" w:cs="Arial"/>
                        <w:i/>
                        <w:sz w:val="21"/>
                        <w:szCs w:val="21"/>
                      </w:rPr>
                    </m:ctrlPr>
                  </m:e>
                </m:d>
              </m:oMath>
            </m:oMathPara>
          </w:p>
        </w:tc>
        <w:tc>
          <w:tcPr>
            <w:tcW w:w="1145" w:type="dxa"/>
            <w:vAlign w:val="center"/>
          </w:tcPr>
          <w:p w14:paraId="4C9B5E6A" w14:textId="77777777" w:rsidR="009F7D21" w:rsidRPr="00340959" w:rsidRDefault="009F7D21" w:rsidP="00340959">
            <w:pPr>
              <w:pStyle w:val="NoSpacing"/>
              <w:spacing w:line="360" w:lineRule="auto"/>
              <w:jc w:val="center"/>
              <w:rPr>
                <w:rFonts w:ascii="Arial" w:hAnsi="Arial" w:cs="Arial"/>
                <w:sz w:val="21"/>
                <w:szCs w:val="21"/>
              </w:rPr>
            </w:pPr>
            <w:r>
              <w:rPr>
                <w:rFonts w:ascii="Arial" w:hAnsi="Arial" w:cs="Arial"/>
                <w:sz w:val="21"/>
                <w:szCs w:val="21"/>
              </w:rPr>
              <w:t>12</w:t>
            </w:r>
          </w:p>
        </w:tc>
      </w:tr>
    </w:tbl>
    <w:p w14:paraId="3567DB69" w14:textId="77777777" w:rsidR="009F7D21" w:rsidRPr="00340959" w:rsidRDefault="009F7D21" w:rsidP="00340959">
      <w:pPr>
        <w:pStyle w:val="NoSpacing"/>
        <w:spacing w:line="360" w:lineRule="auto"/>
        <w:jc w:val="both"/>
        <w:rPr>
          <w:rFonts w:ascii="Arial" w:hAnsi="Arial" w:cs="Arial"/>
          <w:sz w:val="21"/>
          <w:szCs w:val="21"/>
        </w:rPr>
      </w:pPr>
      <w:r>
        <w:rPr>
          <w:rFonts w:ascii="Arial" w:hAnsi="Arial" w:cs="Arial"/>
          <w:sz w:val="21"/>
          <w:szCs w:val="21"/>
        </w:rPr>
        <w:t>Where:</w:t>
      </w:r>
    </w:p>
    <w:p w14:paraId="4C5B1B4D" w14:textId="0FD3E7A7" w:rsidR="009F7D21" w:rsidRPr="00340959" w:rsidRDefault="009F7D21" w:rsidP="00340959">
      <w:pPr>
        <w:pStyle w:val="NoSpacing"/>
        <w:spacing w:line="360" w:lineRule="auto"/>
        <w:jc w:val="both"/>
        <w:rPr>
          <w:rFonts w:ascii="Arial" w:hAnsi="Arial" w:cs="Arial"/>
          <w:sz w:val="21"/>
          <w:szCs w:val="21"/>
        </w:rPr>
      </w:pPr>
      <m:oMath>
        <m:r>
          <w:rPr>
            <w:rFonts w:ascii="Cambria Math" w:hAnsi="Cambria Math" w:cs="Arial"/>
            <w:sz w:val="21"/>
            <w:szCs w:val="21"/>
          </w:rPr>
          <m:t>TP</m:t>
        </m:r>
      </m:oMath>
      <w:r>
        <w:rPr>
          <w:rFonts w:ascii="Arial" w:hAnsi="Arial" w:cs="Arial"/>
          <w:sz w:val="21"/>
          <w:szCs w:val="21"/>
        </w:rPr>
        <w:t xml:space="preserve">, </w:t>
      </w:r>
      <m:oMath>
        <m:r>
          <w:rPr>
            <w:rFonts w:ascii="Cambria Math" w:hAnsi="Cambria Math" w:cs="Arial"/>
            <w:sz w:val="21"/>
            <w:szCs w:val="21"/>
          </w:rPr>
          <m:t>TN</m:t>
        </m:r>
      </m:oMath>
      <w:r>
        <w:rPr>
          <w:rFonts w:ascii="Arial" w:hAnsi="Arial" w:cs="Arial"/>
          <w:sz w:val="21"/>
          <w:szCs w:val="21"/>
        </w:rPr>
        <w:t xml:space="preserve">, </w:t>
      </w:r>
      <m:oMath>
        <m:r>
          <w:rPr>
            <w:rFonts w:ascii="Cambria Math" w:hAnsi="Cambria Math" w:cs="Arial"/>
            <w:sz w:val="21"/>
            <w:szCs w:val="21"/>
          </w:rPr>
          <m:t>FP</m:t>
        </m:r>
      </m:oMath>
      <w:r>
        <w:rPr>
          <w:rFonts w:ascii="Arial" w:hAnsi="Arial" w:cs="Arial"/>
          <w:sz w:val="21"/>
          <w:szCs w:val="21"/>
        </w:rPr>
        <w:t xml:space="preserve">, </w:t>
      </w:r>
      <m:oMath>
        <m:r>
          <w:rPr>
            <w:rFonts w:ascii="Cambria Math" w:hAnsi="Cambria Math" w:cs="Arial"/>
            <w:sz w:val="21"/>
            <w:szCs w:val="21"/>
          </w:rPr>
          <m:t>FN</m:t>
        </m:r>
      </m:oMath>
      <w:r>
        <w:rPr>
          <w:rFonts w:ascii="Arial" w:hAnsi="Arial" w:cs="Arial"/>
          <w:sz w:val="21"/>
          <w:szCs w:val="21"/>
        </w:rPr>
        <w:t xml:space="preserve">denote true positives, true negatives, false positives, and false negatives; </w:t>
      </w:r>
      <m:oMath>
        <m:sSub>
          <m:sSubPr>
            <m:ctrlPr>
              <w:rPr>
                <w:rFonts w:ascii="Cambria Math" w:hAnsi="Cambria Math" w:cs="Arial"/>
                <w:sz w:val="21"/>
                <w:szCs w:val="21"/>
              </w:rPr>
            </m:ctrlPr>
          </m:sSubPr>
          <m:e>
            <m:r>
              <w:rPr>
                <w:rFonts w:ascii="Cambria Math" w:hAnsi="Cambria Math" w:cs="Arial"/>
                <w:sz w:val="21"/>
                <w:szCs w:val="21"/>
              </w:rPr>
              <m:t>p</m:t>
            </m:r>
          </m:e>
          <m:sub>
            <m:r>
              <w:rPr>
                <w:rFonts w:ascii="Cambria Math" w:hAnsi="Cambria Math" w:cs="Arial"/>
                <w:sz w:val="21"/>
                <w:szCs w:val="21"/>
              </w:rPr>
              <m:t>i</m:t>
            </m:r>
          </m:sub>
        </m:sSub>
      </m:oMath>
      <w:r>
        <w:rPr>
          <w:rFonts w:ascii="Arial" w:hAnsi="Arial" w:cs="Arial"/>
          <w:sz w:val="21"/>
          <w:szCs w:val="21"/>
        </w:rPr>
        <w:t xml:space="preserve">is the predicted probability for observation </w:t>
      </w:r>
      <m:oMath>
        <m:r>
          <w:rPr>
            <w:rFonts w:ascii="Cambria Math" w:hAnsi="Cambria Math" w:cs="Arial"/>
            <w:sz w:val="21"/>
            <w:szCs w:val="21"/>
          </w:rPr>
          <m:t>i</m:t>
        </m:r>
      </m:oMath>
      <w:r>
        <w:rPr>
          <w:rFonts w:ascii="Arial" w:hAnsi="Arial" w:cs="Arial"/>
          <w:sz w:val="21"/>
          <w:szCs w:val="21"/>
        </w:rPr>
        <w:t xml:space="preserve">; </w:t>
      </w:r>
      <m:oMath>
        <m:sSub>
          <m:sSubPr>
            <m:ctrlPr>
              <w:rPr>
                <w:rFonts w:ascii="Cambria Math" w:hAnsi="Cambria Math" w:cs="Arial"/>
                <w:sz w:val="21"/>
                <w:szCs w:val="21"/>
              </w:rPr>
            </m:ctrlPr>
          </m:sSubPr>
          <m:e>
            <m:r>
              <w:rPr>
                <w:rFonts w:ascii="Cambria Math" w:hAnsi="Cambria Math" w:cs="Arial"/>
                <w:sz w:val="21"/>
                <w:szCs w:val="21"/>
              </w:rPr>
              <m:t>y</m:t>
            </m:r>
          </m:e>
          <m:sub>
            <m:r>
              <w:rPr>
                <w:rFonts w:ascii="Cambria Math" w:hAnsi="Cambria Math" w:cs="Arial"/>
                <w:sz w:val="21"/>
                <w:szCs w:val="21"/>
              </w:rPr>
              <m:t>i</m:t>
            </m:r>
          </m:sub>
        </m:sSub>
        <m:r>
          <w:rPr>
            <w:rFonts w:ascii="Cambria Math" w:hAnsi="Cambria Math" w:cs="Arial"/>
            <w:sz w:val="21"/>
            <w:szCs w:val="21"/>
          </w:rPr>
          <m:t>∈{0,1}</m:t>
        </m:r>
      </m:oMath>
      <w:r>
        <w:rPr>
          <w:rFonts w:ascii="Arial" w:hAnsi="Arial" w:cs="Arial"/>
          <w:sz w:val="21"/>
          <w:szCs w:val="21"/>
        </w:rPr>
        <w:t>is the observed label;</w:t>
      </w:r>
      <m:oMath>
        <m:r>
          <w:rPr>
            <w:rFonts w:ascii="Cambria Math" w:hAnsi="Cambria Math" w:cs="Arial"/>
            <w:sz w:val="21"/>
            <w:szCs w:val="21"/>
          </w:rPr>
          <m:t>n</m:t>
        </m:r>
      </m:oMath>
      <w:r>
        <w:rPr>
          <w:rFonts w:ascii="Arial" w:hAnsi="Arial" w:cs="Arial"/>
          <w:sz w:val="21"/>
          <w:szCs w:val="21"/>
        </w:rPr>
        <w:t xml:space="preserve">is the total number of samples; </w:t>
      </w:r>
      <m:oMath>
        <m:sSub>
          <m:sSubPr>
            <m:ctrlPr>
              <w:rPr>
                <w:rFonts w:ascii="Cambria Math" w:hAnsi="Cambria Math" w:cs="Arial"/>
                <w:sz w:val="21"/>
                <w:szCs w:val="21"/>
              </w:rPr>
            </m:ctrlPr>
          </m:sSubPr>
          <m:e>
            <m:r>
              <w:rPr>
                <w:rFonts w:ascii="Cambria Math" w:hAnsi="Cambria Math" w:cs="Arial"/>
                <w:sz w:val="21"/>
                <w:szCs w:val="21"/>
              </w:rPr>
              <m:t>B</m:t>
            </m:r>
          </m:e>
          <m:sub>
            <m:r>
              <w:rPr>
                <w:rFonts w:ascii="Cambria Math" w:hAnsi="Cambria Math" w:cs="Arial"/>
                <w:sz w:val="21"/>
                <w:szCs w:val="21"/>
              </w:rPr>
              <m:t>k</m:t>
            </m:r>
          </m:sub>
        </m:sSub>
      </m:oMath>
      <w:r>
        <w:rPr>
          <w:rFonts w:ascii="Arial" w:hAnsi="Arial" w:cs="Arial"/>
          <w:sz w:val="21"/>
          <w:szCs w:val="21"/>
        </w:rPr>
        <w:t xml:space="preserve">denotes the </w:t>
      </w:r>
      <m:oMath>
        <m:sSup>
          <m:sSupPr>
            <m:ctrlPr>
              <w:rPr>
                <w:rFonts w:ascii="Cambria Math" w:hAnsi="Cambria Math" w:cs="Arial"/>
                <w:sz w:val="21"/>
                <w:szCs w:val="21"/>
              </w:rPr>
            </m:ctrlPr>
          </m:sSupPr>
          <m:e>
            <m:r>
              <w:rPr>
                <w:rFonts w:ascii="Cambria Math" w:hAnsi="Cambria Math" w:cs="Arial"/>
                <w:sz w:val="21"/>
                <w:szCs w:val="21"/>
              </w:rPr>
              <m:t>k</m:t>
            </m:r>
          </m:e>
          <m:sup>
            <m:r>
              <w:rPr>
                <w:rFonts w:ascii="Cambria Math" w:hAnsi="Cambria Math" w:cs="Arial"/>
                <w:sz w:val="21"/>
                <w:szCs w:val="21"/>
              </w:rPr>
              <m:t>th</m:t>
            </m:r>
          </m:sup>
        </m:sSup>
      </m:oMath>
      <w:r>
        <w:rPr>
          <w:rFonts w:ascii="Arial" w:hAnsi="Arial" w:cs="Arial"/>
          <w:sz w:val="21"/>
          <w:szCs w:val="21"/>
        </w:rPr>
        <w:t xml:space="preserve">probability bin; </w:t>
      </w:r>
      <m:oMath>
        <m:sSub>
          <m:sSubPr>
            <m:ctrlPr>
              <w:rPr>
                <w:rFonts w:ascii="Cambria Math" w:hAnsi="Cambria Math" w:cs="Arial"/>
                <w:sz w:val="21"/>
                <w:szCs w:val="21"/>
              </w:rPr>
            </m:ctrlPr>
          </m:sSubPr>
          <m:e>
            <m:r>
              <w:rPr>
                <w:rFonts w:ascii="Cambria Math" w:hAnsi="Cambria Math" w:cs="Arial"/>
                <w:sz w:val="21"/>
                <w:szCs w:val="21"/>
              </w:rPr>
              <m:t>n</m:t>
            </m:r>
          </m:e>
          <m:sub>
            <m:r>
              <w:rPr>
                <w:rFonts w:ascii="Cambria Math" w:hAnsi="Cambria Math" w:cs="Arial"/>
                <w:sz w:val="21"/>
                <w:szCs w:val="21"/>
              </w:rPr>
              <m:t>k</m:t>
            </m:r>
          </m:sub>
        </m:sSub>
      </m:oMath>
      <w:r>
        <w:rPr>
          <w:rFonts w:ascii="Arial" w:hAnsi="Arial" w:cs="Arial"/>
          <w:sz w:val="21"/>
          <w:szCs w:val="21"/>
        </w:rPr>
        <w:t xml:space="preserve">is the number of samples in bin </w:t>
      </w:r>
      <m:oMath>
        <m:r>
          <w:rPr>
            <w:rFonts w:ascii="Cambria Math" w:hAnsi="Cambria Math" w:cs="Arial"/>
            <w:sz w:val="21"/>
            <w:szCs w:val="21"/>
          </w:rPr>
          <m:t>k</m:t>
        </m:r>
      </m:oMath>
      <w:r>
        <w:rPr>
          <w:rFonts w:ascii="Arial" w:hAnsi="Arial" w:cs="Arial"/>
          <w:sz w:val="21"/>
          <w:szCs w:val="21"/>
        </w:rPr>
        <w:t xml:space="preserve">; </w:t>
      </w:r>
      <m:oMath>
        <m:r>
          <m:rPr>
            <m:nor/>
          </m:rPr>
          <w:rPr>
            <w:rFonts w:ascii="Arial" w:hAnsi="Arial" w:cs="Arial"/>
            <w:sz w:val="21"/>
            <w:szCs w:val="21"/>
          </w:rPr>
          <m:t>acc</m:t>
        </m:r>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B</m:t>
            </m:r>
          </m:e>
          <m:sub>
            <m:r>
              <w:rPr>
                <w:rFonts w:ascii="Cambria Math" w:hAnsi="Cambria Math" w:cs="Arial"/>
                <w:sz w:val="21"/>
                <w:szCs w:val="21"/>
              </w:rPr>
              <m:t>k</m:t>
            </m:r>
          </m:sub>
        </m:sSub>
        <m:r>
          <w:rPr>
            <w:rFonts w:ascii="Cambria Math" w:hAnsi="Cambria Math" w:cs="Arial"/>
            <w:sz w:val="21"/>
            <w:szCs w:val="21"/>
          </w:rPr>
          <m:t>)</m:t>
        </m:r>
      </m:oMath>
      <w:r>
        <w:rPr>
          <w:rFonts w:ascii="Arial" w:hAnsi="Arial" w:cs="Arial"/>
          <w:sz w:val="21"/>
          <w:szCs w:val="21"/>
        </w:rPr>
        <w:t xml:space="preserve">is empirical accuracy within the bin </w:t>
      </w:r>
      <m:oMath>
        <m:r>
          <w:rPr>
            <w:rFonts w:ascii="Cambria Math" w:hAnsi="Cambria Math" w:cs="Arial"/>
            <w:sz w:val="21"/>
            <w:szCs w:val="21"/>
          </w:rPr>
          <m:t>k</m:t>
        </m:r>
      </m:oMath>
      <w:r>
        <w:rPr>
          <w:rFonts w:ascii="Arial" w:hAnsi="Arial" w:cs="Arial"/>
          <w:sz w:val="21"/>
          <w:szCs w:val="21"/>
        </w:rPr>
        <w:t xml:space="preserve">; </w:t>
      </w:r>
      <m:oMath>
        <m:r>
          <m:rPr>
            <m:nor/>
          </m:rPr>
          <w:rPr>
            <w:rFonts w:ascii="Arial" w:hAnsi="Arial" w:cs="Arial"/>
            <w:sz w:val="21"/>
            <w:szCs w:val="21"/>
          </w:rPr>
          <m:t>conf</m:t>
        </m:r>
        <m:r>
          <w:rPr>
            <w:rFonts w:ascii="Cambria Math" w:hAnsi="Cambria Math" w:cs="Arial"/>
            <w:sz w:val="21"/>
            <w:szCs w:val="21"/>
          </w:rPr>
          <m:t>(</m:t>
        </m:r>
        <m:sSub>
          <m:sSubPr>
            <m:ctrlPr>
              <w:rPr>
                <w:rFonts w:ascii="Cambria Math" w:hAnsi="Cambria Math" w:cs="Arial"/>
                <w:sz w:val="21"/>
                <w:szCs w:val="21"/>
              </w:rPr>
            </m:ctrlPr>
          </m:sSubPr>
          <m:e>
            <m:r>
              <w:rPr>
                <w:rFonts w:ascii="Cambria Math" w:hAnsi="Cambria Math" w:cs="Arial"/>
                <w:sz w:val="21"/>
                <w:szCs w:val="21"/>
              </w:rPr>
              <m:t>B</m:t>
            </m:r>
          </m:e>
          <m:sub>
            <m:r>
              <w:rPr>
                <w:rFonts w:ascii="Cambria Math" w:hAnsi="Cambria Math" w:cs="Arial"/>
                <w:sz w:val="21"/>
                <w:szCs w:val="21"/>
              </w:rPr>
              <m:t>k</m:t>
            </m:r>
          </m:sub>
        </m:sSub>
        <m:r>
          <w:rPr>
            <w:rFonts w:ascii="Cambria Math" w:hAnsi="Cambria Math" w:cs="Arial"/>
            <w:sz w:val="21"/>
            <w:szCs w:val="21"/>
          </w:rPr>
          <m:t>)</m:t>
        </m:r>
      </m:oMath>
      <w:r>
        <w:rPr>
          <w:rFonts w:ascii="Arial" w:hAnsi="Arial" w:cs="Arial"/>
          <w:sz w:val="21"/>
          <w:szCs w:val="21"/>
        </w:rPr>
        <w:t xml:space="preserve">is the mean predicted probability in the bin </w:t>
      </w:r>
      <m:oMath>
        <m:r>
          <w:rPr>
            <w:rFonts w:ascii="Cambria Math" w:hAnsi="Cambria Math" w:cs="Arial"/>
            <w:sz w:val="21"/>
            <w:szCs w:val="21"/>
          </w:rPr>
          <m:t>k</m:t>
        </m:r>
      </m:oMath>
      <w:r>
        <w:rPr>
          <w:rFonts w:ascii="Arial" w:hAnsi="Arial" w:cs="Arial"/>
          <w:sz w:val="21"/>
          <w:szCs w:val="21"/>
        </w:rPr>
        <w:t>.</w:t>
      </w:r>
    </w:p>
    <w:p w14:paraId="366D2499" w14:textId="7F0590FD" w:rsidR="009F7D21" w:rsidRPr="00340959" w:rsidRDefault="00904121" w:rsidP="00340959">
      <w:pPr>
        <w:spacing w:before="0" w:after="0" w:line="360" w:lineRule="auto"/>
        <w:jc w:val="both"/>
        <w:rPr>
          <w:rFonts w:ascii="Arial" w:hAnsi="Arial" w:cs="Arial"/>
          <w:sz w:val="21"/>
          <w:szCs w:val="21"/>
        </w:rPr>
      </w:pPr>
      <w:r>
        <w:rPr>
          <w:rFonts w:ascii="Arial" w:hAnsi="Arial" w:cs="Arial"/>
          <w:sz w:val="21"/>
          <w:szCs w:val="21"/>
        </w:rPr>
        <w:t xml:space="preserve">This formulation of metrics provides a clear and reproducible way to evaluate and is consistent with both traditional classification semantics and uncertainty-based probabilistic modeling goals.</w:t>
      </w:r>
    </w:p>
    <w:p w14:paraId="2551C9F2" w14:textId="77777777" w:rsidR="00567FB5" w:rsidRPr="00340959" w:rsidRDefault="00567FB5" w:rsidP="00340959">
      <w:pPr>
        <w:pStyle w:val="Heading2"/>
        <w:spacing w:before="0" w:after="0" w:line="360" w:lineRule="auto"/>
        <w:rPr>
          <w:rFonts w:ascii="Arial" w:hAnsi="Arial" w:cs="Arial"/>
          <w:sz w:val="21"/>
          <w:szCs w:val="21"/>
        </w:rPr>
      </w:pPr>
    </w:p>
    <w:p w14:paraId="357B8CAA" w14:textId="5BF590D4" w:rsidR="005B28E8" w:rsidRPr="00B61B2F"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Model Comparison, Selection, and Spatial Deployment Framework</w:t>
      </w:r>
    </w:p>
    <w:p w14:paraId="25A7A422" w14:textId="3BFF64BA" w:rsidR="00904121" w:rsidRPr="00340959"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To evaluate if differences in predictive performance were statistically significant, nonparametric hypothesis testing was performed on repeated cross-validation F1 scores </w:t>
        <w:fldChar w:fldCharType="begin"/>
        <w:instrText xml:space="preserve"> ADDIN ZOTERO_ITEM CSL_CITATION {"citationID":"Dll4ZpjY","properties":{"formattedCitation":"(Mwakapesa et al. 2024)","plainCitation":"(Mwakapesa et al. 2024)","noteIndex":0},"citationItems":[{"id":167,"uris":["http://zotero.org/users/local/emosa1lm/items/5EGISPBC"],"itemData":{"id":167,"type":"article-journal","abstract":"Landslide susceptibility assessment (LSA) is fundamental for managing landslide geological disasters. This study presents a deep learning approach (DNN-MSFM) designed to enhance LSA modeling, particularly addressing limitations caused by the unbalanced distribution of data samples in applied datasets. DNN-MSFM approach combines a deep neural network (DNN) and a mean squared false misclassification loss function (MSFM) to handle unbalanced samples from the algorithmic perspective. The model's performance was evaluated on an unbalanced dataset containing mapping units' records of 293 landslide samples and 653 non-landslide samples from the Baota District, China. Its effectiveness was assessed through statistical metrics and compared against DNN and Support Vector Machine (SVM) basic models. The results demonstrated a significant performance enhancement from the DNN-MSFM (OverallAccuracy = 0.889 and area under the receiver operating characteristic curve (AUC) = 0.84), indicating its effectiveness in learning the underlying landslide susceptibility features and demonstrating its ability to provide improved predictions even in areas with unbalanced landslide samples. Moreover, the study emphasizes the importance of considering balanced loss functions in training DNN under various imbalance degrees and contributes to expanding the applicability of DNN in LSA modeling. Also, this study builds a foundation for further enhancements of deep learning methods for geological disaster assessments.","container-title":"Heliyon","DOI":"10.1016/j.heliyon.2024.e30107","ISSN":"2405-8440","issue":"9","PMID":"38707366","publisher":"Elsevier BV","title":"Landslide susceptibility assessment using deep learning considering unbalanced samples distribution","URL":"https://doi.org/10.1016/j.heliyon.2024.e30107","volume":"10","author":[{"family":"Mwakapesa","given":"Deborah Simon"},{"family":"Lan","given":"Xiaoji"},{"family":"Mao","given":"Yimin"}],"issued":{"date-parts":[["2024",4]]}}}],"schema":"https://github.com/citation-style-language/schema/raw/master/csl-citation.json"} </w:instrText>
        <w:fldChar w:fldCharType="separate"/>
      </w:r>
      <w:r>
        <w:rPr>
          <w:rFonts w:ascii="Arial" w:hAnsi="Arial" w:cs="Arial"/>
          <w:sz w:val="21"/>
        </w:rPr>
        <w:t>(Mwakapesa et al. 2024)</w:t>
      </w:r>
      <w:r>
        <w:rPr>
          <w:rFonts w:ascii="Arial" w:hAnsi="Arial" w:cs="Arial"/>
          <w:color w:val="000000"/>
          <w:sz w:val="21"/>
          <w:szCs w:val="21"/>
        </w:rPr>
        <w:fldChar w:fldCharType="end"/>
        <w:t xml:space="preserve">. Since several models were assessed in the same folds, differences in global performance across groups were assessed </w:t>
        <w:lastRenderedPageBreak/>
        <w:t xml:space="preserve">using the Friedman test </w:t>
        <w:fldChar w:fldCharType="begin"/>
        <w:instrText xml:space="preserve"> ADDIN ZOTERO_ITEM CSL_CITATION {"citationID":"z8ntLrI3","properties":{"formattedCitation":"(Yan et al. 2018)","plainCitation":"(Yan et al. 2018)","noteIndex":0},"citationItems":[{"id":168,"uris":["http://zotero.org/users/local/emosa1lm/items/PJ9P76X7"],"itemData":{"id":168,"type":"article-journal","abstract":"Deep learning techniques, e.g., Convolutional Neural Networks (CNNs), have been explosively applied to the research in the fields of information retrieval and natural language processing. However, few research efforts have addressed semantic indexing with deep learning. The use of semantic indexing in the biomedical literature has been limited for several reasons. For instance, MEDLINE citations contain a large number of semantic labels from automatically annotated MeSH terms, and for a great deal of the literature, only the information of the title and the abstract is readily available. In this paper, we propose a Boltzmann Convolutional neural network framework (B-CNN) for biomedicine semantic indexing. In our hybrid learning framework, the CNN can adaptively deal with features of documents that have sequence relationships, and can capture context information accordingly; the Deep Boltzmann Machine (DBM) merges global (the entity in each document) and local information through its training with undirected connections. Additionally, we have designed a hierarchical coarse to fine style indexing structure for learning and classifying documents, and a novel feature extension approach with word sequence embedding and Wikipedia categorization. Comparative experiments were conducted for semantic indexing of biomedical abstract documents; these experiments verified the encouraged performance of our B-CNN model.","container-title":"PLoS ONE","DOI":"10.1371/journal.pone.0197933","ISSN":"1932-6203","issue":"7","PMID":"30048461","publisher":"Public Library of Science","title":"Biomedical literature classification with a CNNs-based hybrid learning network","URL":"https://doi.org/10.1371/journal.pone.0197933","volume":"13","author":[{"family":"Yan","given":"Yan"},{"family":"Yin","given":"Xu-Cheng"},{"family":"Yang","given":"Chun"},{"family":"Li","given":"Sujian"},{"family":"Zhang","given":"Bowen"}],"issued":{"date-parts":[["2018",7]]}}}],"schema":"https://github.com/citation-style-language/schema/raw/master/csl-citation.json"} </w:instrText>
        <w:fldChar w:fldCharType="separate"/>
      </w:r>
      <w:r>
        <w:rPr>
          <w:rFonts w:ascii="Arial" w:hAnsi="Arial" w:cs="Arial"/>
          <w:sz w:val="21"/>
        </w:rPr>
        <w:t>(Yan et al. 2018)</w:t>
      </w:r>
      <w:r>
        <w:rPr>
          <w:rFonts w:ascii="Arial" w:hAnsi="Arial" w:cs="Arial"/>
          <w:color w:val="000000"/>
          <w:sz w:val="21"/>
          <w:szCs w:val="21"/>
        </w:rPr>
        <w:fldChar w:fldCharType="end"/>
        <w:t xml:space="preserve">. Significance was confirmed using the Friedman test (α = 0.05) prior to performing pairwise comparisons to determine specific model differences with the Nemenyi post-hoc test </w:t>
        <w:fldChar w:fldCharType="begin"/>
        <w:instrText xml:space="preserve"> ADDIN ZOTERO_ITEM CSL_CITATION {"citationID":"JFDXqYmB","properties":{"formattedCitation":"(Gardner and Brooks 2018)","plainCitation":"(Gardner and Brooks 2018)","noteIndex":0},"citationItems":[{"id":169,"uris":["http://zotero.org/users/local/emosa1lm/items/DZRCKW8C"],"itemData":{"id":169,"type":"paper-conference","abstract":"The field of learning analytics needs to adopt a more rigorous approach for predictive model evaluation that matches the complex practice of model-building. In this work, we present a procedure to statistically test hypotheses about model performance which goes beyond the state-of-the-practice in the community to analyze both algorithms and feature extraction methods from raw data. We apply this method to a series of algorithms and feature sets derived from a large sample of Massive Open Online Courses (MOOCs). While a complete comparison of all potential modeling approaches is beyond the scope of this paper, we show that this approach reveals a large gap in dropout prediction performance between forum-, assignment-, and clickstream-based feature extraction methods, where the latter is significantly better than the former two, which are in turn indistinguishable from one another. This work has methodological implications for evaluating predictive or AI-based models of student success, and practical implications for the design and targeting of at-risk student models and interventions.","container-title":"Proceedings of the AAAI Conference on Artificial Intelligence","DOI":"10.1609/aaai.v32i1.11392","ISSN":"2159-5399, 2374-3468","issue":"1","publisher":"Association for the Advancement of Artificial Intelligence","title":"Dropout Model Evaluation in MOOCs","URL":"https://doi.org/10.1609/aaai.v32i1.11392","volume":"32","author":[{"family":"Gardner","given":"Joshua"},{"family":"Brooks","given":"Christopher"}],"issued":{"date-parts":[["2018",4]]}}}],"schema":"https://github.com/citation-style-language/schema/raw/master/csl-citation.json"} </w:instrText>
        <w:fldChar w:fldCharType="separate"/>
      </w:r>
      <w:r>
        <w:rPr>
          <w:rFonts w:ascii="Arial" w:hAnsi="Arial" w:cs="Arial"/>
          <w:sz w:val="21"/>
        </w:rPr>
        <w:t>(Gardner and Brooks 2018)</w:t>
      </w:r>
      <w:r>
        <w:rPr>
          <w:rFonts w:ascii="Arial" w:hAnsi="Arial" w:cs="Arial"/>
          <w:color w:val="000000"/>
          <w:sz w:val="21"/>
          <w:szCs w:val="21"/>
        </w:rPr>
        <w:fldChar w:fldCharType="end"/>
        <w:t xml:space="preserve">. </w:t>
      </w:r>
    </w:p>
    <w:p w14:paraId="2B506021" w14:textId="6125BACE" w:rsidR="00904121" w:rsidRPr="00340959"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Following the statistical comparison, final model selection was performed using a weighted rank-based multi-criteria framework that integrates discrimination performance, spatial robustness, and probabilistic calibration. Each model was ranked across five criteria: (i) cross-validation MCC (20%), (ii) holdout MCC (35%), (iii) spatial block MCC (30%), (iv) holdout Brier score (10%, lower is better), and (v) holdout Expected Calibration Error (5%, lower is better) </w:t>
        <w:fldChar w:fldCharType="begin"/>
        <w:instrText xml:space="preserve"> ADDIN ZOTERO_ITEM CSL_CITATION {"citationID":"08OnVhC1","properties":{"formattedCitation":"(O\\uc0\\u8217{}Malley et al. 2024)","plainCitation":"(O’Malley et al. 2024)","noteIndex":0},"citationItems":[{"id":358,"uris":["http://zotero.org/users/local/emosa1lm/items/WR8UY98Y"],"itemData":{"id":358,"type":"article-journal","abstract":"Resource selection functions are powerful tools for predicting habitat selection of animals. Recently, machine-learning methods such as random forest have gained popularity for predicting habitat selection due to their flexibility and strong predictive performance.","container-title":"Landscape Ecology","DOI":"10.1007/s10980-024-01903-2","ISSN":"1572-9761","issue":"5","journalAbbreviation":"Landsc Ecol","language":"en","page":"106","source":"Springer Link","title":"Machine learning allows for large-scale habitat prediction of a wide-ranging carnivore across diverse ecoregions","volume":"39","author":[{"family":"O’Malley","given":"W. Connor"},{"family":"Elbroch","given":"L. Mark"},{"family":"Zeller","given":"Katherine A."},{"family":"Beier","given":"Paul"},{"family":"Beale","given":"Meghan M."},{"family":"Beausoleil","given":"Richard A."},{"family":"Kertson","given":"Brian"},{"family":"Knopff","given":"Kyle"},{"family":"Kunkel","given":"Kryan"},{"family":"Maletzke","given":"Benjamin T."},{"family":"Martins","given":"Quinton"},{"family":"Matchett","given":"Marc R."},{"family":"Wilmers","given":"Christopher C."},{"family":"Wittmer","given":"Heiko U."},{"family":"Vickers","given":"Winston"},{"family":"Sager-Fradkin","given":"Kimberly"},{"family":"Robinson","given":"Hugh"}],"issued":{"date-parts":[["2024",5,15]]}}}],"schema":"https://github.com/citation-style-language/schema/raw/master/csl-citation.json"} </w:instrText>
        <w:fldChar w:fldCharType="separate"/>
      </w:r>
      <w:r>
        <w:rPr>
          <w:rFonts w:ascii="Arial" w:hAnsi="Arial" w:cs="Arial"/>
          <w:sz w:val="21"/>
        </w:rPr>
        <w:t>(O’Malley et al. 2024)</w:t>
      </w:r>
      <w:r>
        <w:rPr>
          <w:rFonts w:ascii="Arial" w:hAnsi="Arial" w:cs="Arial"/>
          <w:color w:val="000000"/>
          <w:sz w:val="21"/>
          <w:szCs w:val="21"/>
        </w:rPr>
        <w:fldChar w:fldCharType="end"/>
        <w:t xml:space="preserve">. The composite score was computed as a weighted average of normalized ranks; </w:t>
      </w:r>
      <w:r>
        <w:rPr>
          <w:rFonts w:ascii="Arial" w:hAnsi="Arial" w:cs="Arial"/>
          <w:color w:val="000000"/>
          <w:sz w:val="21"/>
          <w:szCs w:val="21"/>
        </w:rPr>
        <w:t xml:space="preserve">deployment was restricted to </w:t>
      </w:r>
      <w:r>
        <w:rPr>
          <w:rFonts w:ascii="Arial" w:hAnsi="Arial" w:cs="Arial"/>
          <w:color w:val="FF0000"/>
          <w:sz w:val="21"/>
          <w:szCs w:val="21"/>
        </w:rPr>
        <w:t xml:space="preserve">Bayesian candidates to</w:t>
      </w:r>
      <w:r>
        <w:rPr>
          <w:rFonts w:ascii="Arial" w:hAnsi="Arial" w:cs="Arial"/>
          <w:color w:val="000000"/>
          <w:sz w:val="21"/>
          <w:szCs w:val="21"/>
        </w:rPr>
      </w:r>
      <w:r>
        <w:rPr>
          <w:rFonts w:ascii="Arial" w:hAnsi="Arial" w:cs="Arial"/>
          <w:i/>
          <w:iCs/>
          <w:color w:val="000000"/>
          <w:sz w:val="21"/>
          <w:szCs w:val="21"/>
        </w:rPr>
        <w:t xml:space="preserve"> ensure consistency between the susceptibility-mapping and uncertainty-representation objectives, </w:t>
      </w:r>
      <w:r>
        <w:rPr>
          <w:rFonts w:ascii="Arial" w:hAnsi="Arial" w:cs="Arial"/>
          <w:i/>
          <w:iCs/>
          <w:color w:val="000000"/>
          <w:sz w:val="21"/>
          <w:szCs w:val="21"/>
        </w:rPr>
        <w:t xml:space="preserve">as </w:t>
      </w:r>
      <w:r>
        <w:rPr>
          <w:rFonts w:ascii="Arial" w:hAnsi="Arial" w:cs="Arial"/>
          <w:i/>
          <w:iCs/>
          <w:color w:val="FF0000"/>
          <w:sz w:val="21"/>
          <w:szCs w:val="21"/>
        </w:rPr>
        <w:t xml:space="preserve">susceptibility</w:t>
      </w:r>
      <w:r>
        <w:rPr>
          <w:rFonts w:ascii="Arial" w:hAnsi="Arial" w:cs="Arial"/>
          <w:i/>
          <w:iCs/>
          <w:color w:val="000000"/>
          <w:sz w:val="21"/>
          <w:szCs w:val="21"/>
        </w:rPr>
        <w:t xml:space="preserve"> management relies</w:t>
      </w:r>
      <w:r>
        <w:rPr>
          <w:rFonts w:ascii="Arial" w:hAnsi="Arial" w:cs="Arial"/>
          <w:i/>
          <w:iCs/>
          <w:color w:val="000000"/>
          <w:sz w:val="21"/>
          <w:szCs w:val="21"/>
        </w:rPr>
        <w:t xml:space="preserve"> on well-calibrated probabilities rather than deterministic point predictions. </w:t>
      </w:r>
      <w:r>
        <w:rPr>
          <w:rFonts w:ascii="Arial" w:hAnsi="Arial" w:cs="Arial"/>
          <w:color w:val="000000"/>
          <w:sz w:val="21"/>
          <w:szCs w:val="21"/>
        </w:rPr>
        <w:t xml:space="preserve"> </w:t>
        <w:fldChar w:fldCharType="begin"/>
        <w:instrText xml:space="preserve"> ADDIN ZOTERO_ITEM CSL_CITATION {"citationID":"D2mCG71Y","properties":{"formattedCitation":"(Torizin et al. 2024)","plainCitation":"(Torizin et al. 2024)","noteIndex":0},"citationItems":[{"id":171,"uris":["http://zotero.org/users/local/emosa1lm/items/XAFFQC6B"],"itemData":{"id":171,"type":"article-journal","abstract":"Abstract The paper presents the framework and discusses the outcomes of the \"Mass Movements in Germany\" project—a collaboration of five State Geological Surveys (SGSs) and the Federal Institute for Geosciences and Natural Resources (BGR) to conduct a feasibility study for a nationwide landslide susceptibility map in Germany using harmonized datasets. Therefore, distinct methods representing heuristic, physically-based, and data-driven approaches were employed. In 14 consecutive modeling cases, we investigated parameter selection and preparation, model building, evaluation, and transferability issues. The results show that nationally harmonized datasets, deemed high-quality, exhibited data generalization at regional scales, affecting the reliability of the landslide susceptibility patterns. While using regional datasets on larger scales mitigated some generalization effects, heterogeneities in inventory datasets among distinct federal states pose challenges in creating a nationwide applicable model. Heterogeneous data require locally adjusted model designs affecting the model's transferability and comparability of data-driven models across large regions. Heuristic methods operate without observational data but require in-depth knowledge of the regional-geological conditions by involving expert groups rather than single experts. The physically-based model shows promising results with parametrization based on the pedotransfer functions and soil database supplementing the national soil map. However, this approach is limited to shallow translational landslides. Thus, considering all mass movement types, a single comprehensive approach for creating a nationwide landslide susceptibility map for Germany is currently not feasible. Close collaboration and further harmonization of datasets and methods involving all SGSs are needed.","container-title":"Bulletin of Engineering Geology and the Environment","DOI":"10.1007/s10064-024-03691-0","ISSN":"1435-9529, 1435-9537","issue":"6","publisher":"Springer Science+Business Media","title":"Project ‘‘Mass Movements in Germany’’ and its implications for nationwide landslide susceptibility assessment","URL":"https://doi.org/10.1007/s10064-024-03691-0","volume":"83","author":[{"family":"Torizin","given":"Jewgenij"},{"family":"Fuchs","given":"Michael"},{"family":"Balzer","given":"Dirk"},{"family":"Kuhn","given":"Dirk"},{"family":"Glaser","given":"Stefan"},{"family":"Ehret","given":"Dominik"},{"family":"Wiedenmann","given":"Johannes"},{"family":"Dommaschk","given":"Peter"},{"family":"Henscheid","given":"Stefan"},{"family":"Strauß","given":"Roland"}],"issued":{"date-parts":[["2024",5]]}}}],"schema":"https://github.com/citation-style-language/schema/raw/master/csl-citation.json"} </w:instrText>
        <w:fldChar w:fldCharType="separate"/>
      </w:r>
      <w:r>
        <w:rPr>
          <w:rFonts w:ascii="Arial" w:hAnsi="Arial" w:cs="Arial"/>
          <w:sz w:val="21"/>
        </w:rPr>
        <w:t>(Torizin et al. 2024)</w:t>
      </w:r>
      <w:r>
        <w:rPr>
          <w:rFonts w:ascii="Arial" w:hAnsi="Arial" w:cs="Arial"/>
          <w:color w:val="000000"/>
          <w:sz w:val="21"/>
          <w:szCs w:val="21"/>
        </w:rPr>
        <w:fldChar w:fldCharType="end"/>
        <w:t>.</w:t>
      </w:r>
    </w:p>
    <w:p w14:paraId="4584992C" w14:textId="6EC6B0DC" w:rsidR="00904121" w:rsidRPr="00340959" w:rsidRDefault="00904121"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In order to promote decision-oriented interpretation, susceptibility and predictive uncertainty were jointly visualized using a bivariate classification scheme </w:t>
        <w:fldChar w:fldCharType="begin"/>
        <w:instrText xml:space="preserve"> ADDIN ZOTERO_ITEM CSL_CITATION {"citationID":"CCkWmYA5","properties":{"formattedCitation":"(Schl\\uc0\\u246{}gl et al. 2025)","plainCitation":"(Schlögl et al. 2025)","noteIndex":0},"citationItems":[{"id":314,"uris":["http://zotero.org/users/local/emosa1lm/items/IQKA5QEZ"],"itemData":{"id":314,"type":"article-journal","abstract":"Effectively communicating uncertainties inherent to statistical models is a challenging yet crucial aspect of the modelling process. This is particularly important in applied research, where output is used and interpreted by scientists and decision-makers alike. In disaster risk reduction, susceptibility maps for natural hazards are vital for spatial planning and risk assessment. We present a novel type of landslide susceptibility map that jointly visualizes the estimated susceptibility and the corresponding prediction uncertainty, using an example from a mountainous region in Carinthia, Austria. We also provide implementation guidelines to create such maps using popular free and open-source software packages.","container-title":"Natural Hazards and Earth System Sciences","DOI":"10.5194/nhess-25-1425-2025","ISSN":"1561-8633","issue":"4","language":"English","page":"1425-1437","publisher":"Copernicus GmbH","source":"Copernicus Online Journals","title":"Brief communication: Visualizing uncertainties in landslide susceptibility modelling using bivariate mapping","title-short":"Brief communication","volume":"25","author":[{"family":"Schlögl","given":"Matthias"},{"family":"Graser","given":"Anita"},{"family":"Spiekermann","given":"Raphael"},{"family":"Lampert","given":"Jasmin"},{"family":"Steger","given":"Stefan"}],"issued":{"date-parts":[["2025",4,14]]}}}],"schema":"https://github.com/citation-style-language/schema/raw/master/csl-citation.json"} </w:instrText>
        <w:fldChar w:fldCharType="separate"/>
      </w:r>
      <w:r>
        <w:rPr>
          <w:rFonts w:ascii="Arial" w:hAnsi="Arial" w:cs="Arial"/>
          <w:sz w:val="21"/>
        </w:rPr>
        <w:t>(Schlögl et al. 2025)</w:t>
      </w:r>
      <w:r>
        <w:rPr>
          <w:rFonts w:ascii="Arial" w:hAnsi="Arial" w:cs="Arial"/>
          <w:color w:val="000000"/>
          <w:sz w:val="21"/>
          <w:szCs w:val="21"/>
        </w:rPr>
        <w:fldChar w:fldCharType="end"/>
        <w:t xml:space="preserve">. </w:t>
      </w:r>
      <w:r>
        <w:rPr>
          <w:rFonts w:ascii="Arial" w:hAnsi="Arial" w:cs="Arial"/>
          <w:color w:val="000000"/>
          <w:sz w:val="21"/>
          <w:szCs w:val="21"/>
        </w:rPr>
        <w:t xml:space="preserve">Quantile thresholds were </w:t>
      </w:r>
      <w:r>
        <w:rPr>
          <w:rFonts w:ascii="Arial" w:hAnsi="Arial" w:cs="Arial"/>
          <w:color w:val="FF0000"/>
          <w:sz w:val="21"/>
          <w:szCs w:val="21"/>
        </w:rPr>
        <w:t xml:space="preserve">deliberately </w:t>
      </w:r>
      <w:r>
        <w:rPr>
          <w:rFonts w:ascii="Arial" w:hAnsi="Arial" w:cs="Arial"/>
          <w:color w:val="000000"/>
          <w:sz w:val="21"/>
          <w:szCs w:val="21"/>
        </w:rPr>
        <w:t xml:space="preserve">applied to obtain three ordinal classes (low, moderate, and high) for continuous susceptibility probabilities</w:t>
      </w:r>
      <w:r>
        <w:rPr>
          <w:rFonts w:ascii="Arial" w:hAnsi="Arial" w:cs="Arial"/>
          <w:color w:val="FF0000"/>
          <w:sz w:val="21"/>
          <w:szCs w:val="21"/>
        </w:rPr>
        <w:t xml:space="preserve"> and predictive variance. The quantile approach was selected over alternatives like natural breaks because both susceptibility and uncertainty distributions are typically right-skewed. Using quantiles ensures a balanced spatial representation across all categories, preventing low-value classes from visually dominating the map, and provides a stable classification that is less sensitive to outliers.</w:t>
      </w:r>
      <w:r>
        <w:rPr>
          <w:rFonts w:ascii="Arial" w:hAnsi="Arial" w:cs="Arial"/>
          <w:color w:val="000000"/>
          <w:sz w:val="21"/>
          <w:szCs w:val="21"/>
        </w:rPr>
        <w:t xml:space="preserve"> The resulting 3 × 3 matrix was used to combine these classes into nine composite categories representing all combinations of susceptibility–uncertainty </w:t>
        <w:fldChar w:fldCharType="begin"/>
        <w:instrText xml:space="preserve"> ADDIN ZOTERO_ITEM CSL_CITATION {"citationID":"J18cblo2","properties":{"formattedCitation":"(Ren et al. 2024)","plainCitation":"(Ren et al. 2024)","noteIndex":0},"citationItems":[{"id":312,"uris":["http://zotero.org/users/local/emosa1lm/items/E7AX23QN"],"itemData":{"id":312,"type":"article-journal","abstract":"Rain-induced landslides are one of the most recurrent geohazards around the world, posing great threats to the safety and property of people living in mountainous areas. One of the most effective strategies for rain-induced landslide risk management and reduction is to analyze landslide susceptibility during rain events. To characterize the impact of varying rainfall conditions on landslide occurrence, a maximum rolling rainfall index (MRRI) is proposed in this study for the spatiotemporal landslide susceptibility modeling. During rainfall, MRRI can be updated based on the real-time maximum rolling 2-, 4-, 6-, 8-, 12-, 18-, and 24-h rainfall data. Furthermore, a spatiotemporal landslide susceptibility modeling approach, in which the MRRI index is taken as a conditioning factor, is developed. To illustrate the effectiveness and versatility of the proposed approach, landslide susceptibility models based on the random forest technique are trained in the central area of Hong Kong. The resulting landslide susceptibility models are then applied to two historical rainstorms, and the application results show that derived time-series landslide susceptibility maps are in good agreement with the spatial distribution of real landslides.","container-title":"Landslides","DOI":"10.1007/s10346-023-02152-1","ISSN":"1612-5118","issue":"2","journalAbbreviation":"Landslides","language":"en","page":"257-273","source":"Springer Link","title":"An ensemble of dynamic rainfall index and machine learning method for spatiotemporal landslide susceptibility modeling","volume":"21","author":[{"family":"Ren","given":"Tianhe"},{"family":"Gao","given":"Liang"},{"family":"Gong","given":"Wenping"}],"issued":{"date-parts":[["2024",2,1]]}}}],"schema":"https://github.com/citation-style-language/schema/raw/master/csl-citation.json"} </w:instrText>
        <w:fldChar w:fldCharType="separate"/>
      </w:r>
      <w:r>
        <w:rPr>
          <w:rFonts w:ascii="Arial" w:hAnsi="Arial" w:cs="Arial"/>
          <w:sz w:val="21"/>
        </w:rPr>
        <w:t>(Ren et al. 2024)</w:t>
      </w:r>
      <w:r>
        <w:rPr>
          <w:rFonts w:ascii="Arial" w:hAnsi="Arial" w:cs="Arial"/>
          <w:color w:val="000000"/>
          <w:sz w:val="21"/>
          <w:szCs w:val="21"/>
        </w:rPr>
        <w:fldChar w:fldCharType="end"/>
        <w:t xml:space="preserve">. In this way, it permits the concurrent identification of high-susceptibility regions, confirmed by low infrastructural estimates (high susceptibility–low uncertainty), midzones with mixed characteristics (moderate combinations), and spatially uncertain predictions associated with significant indeterminacy. The bivariate representation enhances transparency by clearly demarcating confidently </w:t>
      </w:r>
      <w:r>
        <w:rPr>
          <w:rFonts w:ascii="Arial" w:hAnsi="Arial" w:cs="Arial"/>
          <w:color w:val="000000"/>
          <w:sz w:val="21"/>
          <w:szCs w:val="21"/>
        </w:rPr>
        <w:t xml:space="preserve">identified </w:t>
      </w:r>
      <w:r>
        <w:rPr>
          <w:rFonts w:ascii="Arial" w:hAnsi="Arial" w:cs="Arial"/>
          <w:color w:val="FF0000"/>
          <w:sz w:val="21"/>
          <w:szCs w:val="21"/>
        </w:rPr>
        <w:t xml:space="preserve">susceptibility</w:t>
      </w:r>
      <w:r>
        <w:rPr>
          <w:rFonts w:ascii="Arial" w:hAnsi="Arial" w:cs="Arial"/>
          <w:color w:val="000000"/>
          <w:sz w:val="21"/>
          <w:szCs w:val="21"/>
        </w:rPr>
        <w:t xml:space="preserve"> hotspots</w:t>
      </w:r>
      <w:r>
        <w:rPr>
          <w:rFonts w:ascii="Arial" w:hAnsi="Arial" w:cs="Arial"/>
          <w:color w:val="000000"/>
          <w:sz w:val="21"/>
          <w:szCs w:val="21"/>
        </w:rPr>
        <w:t xml:space="preserve"> from those where elevated susceptibility co-occurs with reduced certainty in the predictions of the model </w:t>
        <w:fldChar w:fldCharType="begin"/>
        <w:instrText xml:space="preserve"> ADDIN ZOTERO_ITEM CSL_CITATION {"citationID":"hBGLWMnD","properties":{"formattedCitation":"(Agrawal and Dixit 2023)","plainCitation":"(Agrawal and Dixit 2023)","noteIndex":0},"citationItems":[{"id":174,"uris":["http://zotero.org/users/local/emosa1lm/items/EXYGHXR8"],"itemData":{"id":174,"type":"article-journal","container-title":"Bulletin of Engineering Geology and the Environment","DOI":"10.1007/s10064-023-03188-2","ISSN":"1435-9529, 1435-9537","issue":"5","publisher":"Springer Science+Business Media","title":"GIS-based landslide susceptibility mapping of the Meghalaya-Shillong Plateau region using machine learning algorithms","URL":"https://doi.org/10.1007/s10064-023-03188-2","volume":"82","author":[{"family":"Agrawal","given":"Navdeep"},{"family":"Dixit","given":"Jagabandhu"}],"issued":{"date-parts":[["2023",4]]}}}],"schema":"https://github.com/citation-style-language/schema/raw/master/csl-citation.json"} </w:instrText>
        <w:fldChar w:fldCharType="separate"/>
      </w:r>
      <w:r>
        <w:rPr>
          <w:rFonts w:ascii="Arial" w:hAnsi="Arial" w:cs="Arial"/>
          <w:sz w:val="21"/>
        </w:rPr>
        <w:t>(Agrawal and Dixit 2023)</w:t>
      </w:r>
      <w:r>
        <w:rPr>
          <w:rFonts w:ascii="Arial" w:hAnsi="Arial" w:cs="Arial"/>
          <w:color w:val="000000"/>
          <w:sz w:val="21"/>
          <w:szCs w:val="21"/>
        </w:rPr>
        <w:fldChar w:fldCharType="end"/>
        <w:t>.</w:t>
      </w:r>
    </w:p>
    <w:p w14:paraId="6972E559" w14:textId="001E1C88" w:rsidR="005B28E8" w:rsidRPr="00340959" w:rsidRDefault="00904121" w:rsidP="00340959">
      <w:pPr>
        <w:spacing w:before="0" w:after="0" w:line="360" w:lineRule="auto"/>
        <w:jc w:val="both"/>
        <w:rPr>
          <w:rFonts w:ascii="Arial" w:hAnsi="Arial" w:cs="Arial"/>
          <w:sz w:val="21"/>
          <w:szCs w:val="21"/>
        </w:rPr>
      </w:pPr>
      <w:r>
        <w:rPr>
          <w:rFonts w:ascii="Arial" w:hAnsi="Arial" w:cs="Arial"/>
          <w:color w:val="000000"/>
          <w:sz w:val="21"/>
          <w:szCs w:val="21"/>
        </w:rPr>
        <w:t xml:space="preserve">To evaluate the effectiveness of spatial concentration for susceptibility classes, the Seed Cell Area Index (SCAI) was computed for each tier. SCAI quantifies the ratio between the spatial proportion of a susceptibility class and the proportion of landslides occurring within that class </w:t>
        <w:fldChar w:fldCharType="begin"/>
        <w:instrText xml:space="preserve"> ADDIN ZOTERO_ITEM CSL_CITATION {"citationID":"ImpnwvTl","properties":{"formattedCitation":"(Singh et al. 2024)","plainCitation":"(Singh et al. 2024)","noteIndex":0},"citationItems":[{"id":175,"uris":["http://zotero.org/users/local/emosa1lm/items/Q335T8UY"],"itemData":{"id":175,"type":"article-journal","abstract":"Landslide susceptibility map (LSM) plays an important role in providing the knowledge of slopes prone to future landslides. However, the applicability of LSM is often hindered due to high cost of data collection especially in mountainous region such as Himalayas. Therefore, this study proposes transfer learning approach (TL) to improve the performance of LSM by transferring the information from the data rich region (source) to data scare region (target). Two machine learning based model are trained in source area which is then transferred for prediction in target area and a source trained model combined with the knowledge of target is used for the prediction in the target area. The applicability of the proposed approach is tested considering Mandi district as source area and Kullu and Rudraprayag districts as target areas. Independent variables which included 11 landslide conducive factors from the source and target area, the independence was critically analysed using multi-collinearity test, while the geomorphic similarity was assessed using KL divergence method. Efficient machine learning method such as random forest (RF) and multi-layer perceptron (MLP) was used to train the models in both areas, statistical measure such as AUC-ROC, precision, recall, F-score, and accuracy were used to evaluate the performance of the LSMs. The results demonstrated the proposed approach for target area 1, the AUC value increased from 0.908 (Target trained on itself), to 0.942 (Target-Transfer Learned (TL)) and 0.959 (Target Combined) for RF and 0.896, 0.907 and 0.946 for MLP. Additionally, an increase in the precision was observed in RF while all other statistical measures increased to 0.023 for precision, 0.022 for recall, 0.023 for F-score and 0.066 for accuracy in the case of MLP. While on the other hand, in the case of target area 2, the AUC value for RF, ranged from 0.95 (Target area trained on itself), 0.80 (target TL) and 0.98 (target combined) and for MLP the AUC ranged from 0.82 for the source trained model while 0.84 for LSM obtained when both target and source data was used. Thus, the results revealed that proposed TL approach can be effective in improving the performance of LSM in data scare region in Himalayan region, thereby providing a promising approach in overcoming the issue of data limitation.","container-title":"Scientific Reports","DOI":"10.1038/s41598-024-76541-4","ISSN":"2045-2322","issue":"1","PMID":"39580472","publisher":"Nature Portfolio","title":"“Ensembled transfer learning approach for error reduction in landslide susceptibility mapping of the data scare region”","URL":"https://doi.org/10.1038/s41598-024-76541-4","volume":"14","author":[{"family":"Singh","given":"Ankit"},{"family":"Dhiman","given":"Nitesh"},{"family":"Niraj","given":"K. C."},{"family":"Shukla","given":"Dericks Praise"}],"issued":{"date-parts":[["2024",11]]}}}],"schema":"https://github.com/citation-style-language/schema/raw/master/csl-citation.json"} </w:instrText>
        <w:fldChar w:fldCharType="separate"/>
      </w:r>
      <w:r>
        <w:rPr>
          <w:rFonts w:ascii="Arial" w:hAnsi="Arial" w:cs="Arial"/>
          <w:sz w:val="21"/>
        </w:rPr>
        <w:t>(Singh et al. 2024)</w:t>
      </w:r>
      <w:r>
        <w:rPr>
          <w:rFonts w:ascii="Arial" w:hAnsi="Arial" w:cs="Arial"/>
          <w:color w:val="000000"/>
          <w:sz w:val="21"/>
          <w:szCs w:val="21"/>
        </w:rPr>
        <w:fldChar w:fldCharType="end"/>
        <w:t xml:space="preserve">. Lower SCAI values in higher susceptibility tiers indicate improved concentration of landslides within smaller mapped areas, thereby reflecting </w:t>
      </w:r>
      <w:r>
        <w:rPr>
          <w:rFonts w:ascii="Arial" w:hAnsi="Arial" w:cs="Arial"/>
          <w:color w:val="000000"/>
          <w:sz w:val="21"/>
          <w:szCs w:val="21"/>
        </w:rPr>
        <w:t xml:space="preserve">more efficient </w:t>
      </w:r>
      <w:r>
        <w:rPr>
          <w:rFonts w:ascii="Arial" w:hAnsi="Arial" w:cs="Arial"/>
          <w:color w:val="FF0000"/>
          <w:sz w:val="21"/>
          <w:szCs w:val="21"/>
        </w:rPr>
        <w:t xml:space="preserve">susceptibility</w:t>
      </w:r>
      <w:r>
        <w:rPr>
          <w:rFonts w:ascii="Arial" w:hAnsi="Arial" w:cs="Arial"/>
          <w:color w:val="000000"/>
          <w:sz w:val="21"/>
          <w:szCs w:val="21"/>
        </w:rPr>
        <w:t xml:space="preserve"> delineation</w:t>
      </w:r>
      <w:r>
        <w:rPr>
          <w:rFonts w:ascii="Arial" w:hAnsi="Arial" w:cs="Arial"/>
          <w:color w:val="000000"/>
          <w:sz w:val="21"/>
          <w:szCs w:val="21"/>
        </w:rPr>
        <w:t xml:space="preserve"> </w:t>
        <w:fldChar w:fldCharType="begin"/>
        <w:instrText xml:space="preserve"> ADDIN ZOTERO_ITEM CSL_CITATION {"citationID":"Z0tjAUMZ","properties":{"formattedCitation":"(Di Napoli et al. 2023)","plainCitation":"(Di Napoli et al. 2023)","noteIndex":0},"citationItems":[{"id":310,"uris":["http://zotero.org/users/local/emosa1lm/items/EFKI7D2X"],"itemData":{"id":310,"type":"article-journal","abstract":"In recent decades, developing countries have experienced an increase in the impact of natural disasters due to ongoing climate change and the sustained expansion of urban areas. The intrinsic vulnerability of settlements, due to poverty and poor governance, as well as the lack of tools for urban occupation planning and mitigation protocols, has made such impacts particularly severe. Cuenca (Ecuador) is a significant example of a city that in recent decades has experienced considerable population growth (i.e. exposure) and an associated increase in loss due to landslide occurrence. Despite such effects, updated urban planning tools are absent, so an evaluation of multitemporal exposure to landslides and related risks is required. In this perspective, a potential urban planning tool is presented based on updated data depicting the spatial distribution of landslides and their predisposing factors, as well as population change between 2010 and 2020. In addition, a multitemporal analysis accounting for changes in exposure between 2010 and 2020 and an estimation of relative landside risk was carried out. Due to the absence of spatially distributed population data, energy supply contract data have been used as a proxy of the population. The results show that the current higher exposure and related relative risk are estimated for parishes (parroquias) located in the southern sector of the study area (i.e. Turi, Santa Ana, Tarqui, Nulti, Baños and Paccha). Moreover, the exposure multitemporal analysis indicates that most parishes located in the hilly areas bounding the city centre (i.e. Sayausi, San Joaquin, Tarqui, Sidcay, Baños, Ricaurte, Paccha and Chiquintad) are experiencing sustained population growth and will be potentially exposed to an increased risk with a consistently growing trend. The obtained relative risk map can be considered a valuable tool for guiding land planning, land management, occupation restriction and early warning strategy adoption in the area. The methodological approach used, which accounts for landslide susceptibility and population variation through proxy data analysis, has the potential to be applied in a similar context of growing population cities in low- to mid-income countries, where data usually needed for a comprehensive landslide risk analysis are non-existing or only partially available.","container-title":"Landslides","DOI":"10.1007/s10346-023-02065-z","ISSN":"1612-5118","issue":"9","journalAbbreviation":"Landslides","language":"en","page":"1781-1795","source":"Springer Link","title":"Multitemporal relative landslide exposure and risk analysis for the sustainable development of rapidly growing cities","volume":"20","author":[{"family":"Di Napoli","given":"Mariano"},{"family":"Miele","given":"Pietro"},{"family":"Guerriero","given":"Luigi"},{"family":"Annibali Corona","given":"Mariagiulia"},{"family":"Calcaterra","given":"Domenico"},{"family":"Ramondini","given":"Massimo"},{"family":"Sellers","given":"Chester"},{"family":"Di Martire","given":"Diego"}],"issued":{"date-parts":[["2023",9,1]]}}}],"schema":"https://github.com/citation-style-language/schema/raw/master/csl-citation.json"} </w:instrText>
        <w:fldChar w:fldCharType="separate"/>
      </w:r>
      <w:r>
        <w:rPr>
          <w:rFonts w:ascii="Arial" w:hAnsi="Arial" w:cs="Arial"/>
          <w:sz w:val="21"/>
        </w:rPr>
        <w:t>(Di Napoli et al. 2023)</w:t>
      </w:r>
      <w:r>
        <w:rPr>
          <w:rFonts w:ascii="Arial" w:hAnsi="Arial" w:cs="Arial"/>
          <w:color w:val="000000"/>
          <w:sz w:val="21"/>
          <w:szCs w:val="21"/>
        </w:rPr>
        <w:fldChar w:fldCharType="end"/>
        <w:t>.</w:t>
      </w:r>
    </w:p>
    <w:p w14:paraId="50471CC9" w14:textId="77777777" w:rsidR="009F7D21" w:rsidRPr="00340959" w:rsidRDefault="009F7D21" w:rsidP="00340959">
      <w:pPr>
        <w:pStyle w:val="Heading1"/>
        <w:spacing w:before="0" w:after="0" w:line="360" w:lineRule="auto"/>
        <w:jc w:val="both"/>
        <w:rPr>
          <w:rFonts w:ascii="Arial" w:hAnsi="Arial" w:cs="Arial"/>
          <w:color w:val="000000"/>
          <w:sz w:val="21"/>
          <w:szCs w:val="21"/>
        </w:rPr>
      </w:pPr>
    </w:p>
    <w:p w14:paraId="77D566DD" w14:textId="44AED2C7" w:rsidR="005B28E8" w:rsidRPr="00B61B2F" w:rsidRDefault="00000000" w:rsidP="00340959">
      <w:pPr>
        <w:pStyle w:val="Heading1"/>
        <w:spacing w:before="0" w:after="0" w:line="360" w:lineRule="auto"/>
        <w:rPr>
          <w:rFonts w:ascii="Arial" w:hAnsi="Arial" w:cs="Arial"/>
          <w:b/>
          <w:bCs/>
          <w:color w:val="7030A0"/>
          <w:sz w:val="21"/>
          <w:szCs w:val="21"/>
        </w:rPr>
      </w:pPr>
      <w:r>
        <w:rPr>
          <w:rFonts w:ascii="Arial" w:hAnsi="Arial" w:cs="Arial"/>
          <w:b/>
          <w:bCs/>
          <w:color w:val="7030A0"/>
          <w:sz w:val="21"/>
          <w:szCs w:val="21"/>
        </w:rPr>
        <w:t>Results</w:t>
      </w:r>
    </w:p>
    <w:p w14:paraId="50D81CD4" w14:textId="77777777" w:rsidR="005B28E8" w:rsidRPr="00B61B2F" w:rsidRDefault="00000000" w:rsidP="00340959">
      <w:pPr>
        <w:pStyle w:val="Heading2"/>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Multicollinearity analysis</w:t>
      </w:r>
    </w:p>
    <w:p w14:paraId="0DD6C444" w14:textId="4DFBA26D" w:rsidR="005B28E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Multicollinearity diagnostics confirmed that all fourteen conditioning factors met the predefined thresholds (VIF &lt; 5; TOL &gt; 0.20). No predictors were excluded in this dataset, as shown in Figure 4. VIF values ranged from 1.12 to 3.32, indicating low to moderate multicollinearity. Tolerance values (0.30–0.90) further confirmed the absence of critical redundancy in the data set. Overall, the predictor set was statistically stable and suitable for both Bayesian and benchmark modeling for landslide susceptibility mapping.</w:t>
      </w:r>
    </w:p>
    <w:p w14:paraId="0334109D" w14:textId="51156D38" w:rsidR="005B28E8" w:rsidRPr="00340959" w:rsidRDefault="0061123F" w:rsidP="00417152">
      <w:pPr>
        <w:spacing w:before="0" w:after="0" w:line="360" w:lineRule="auto"/>
        <w:jc w:val="center"/>
        <w:rPr>
          <w:rFonts w:ascii="Arial" w:hAnsi="Arial" w:cs="Arial"/>
          <w:sz w:val="21"/>
          <w:szCs w:val="21"/>
        </w:rPr>
      </w:pPr>
      <w:r>
        <w:rPr>
          <w:rFonts w:ascii="Arial" w:hAnsi="Arial" w:cs="Arial"/>
          <w:noProof/>
          <w:sz w:val="21"/>
          <w:szCs w:val="21"/>
        </w:rPr>
        <w:lastRenderedPageBreak/>
        <w:drawing>
          <wp:inline distT="0" distB="0" distL="0" distR="0" wp14:anchorId="0EE3A841" wp14:editId="4A1A261A">
            <wp:extent cx="6280150" cy="4054475"/>
            <wp:effectExtent l="0" t="0" r="6350" b="3175"/>
            <wp:docPr id="1845551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1223" name="Picture 18455512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0150" cy="4054475"/>
                    </a:xfrm>
                    <a:prstGeom prst="rect">
                      <a:avLst/>
                    </a:prstGeom>
                  </pic:spPr>
                </pic:pic>
              </a:graphicData>
            </a:graphic>
          </wp:inline>
        </w:drawing>
      </w:r>
    </w:p>
    <w:p w14:paraId="7F6E1B71" w14:textId="7A1D6405" w:rsidR="005B28E8" w:rsidRPr="00340959" w:rsidRDefault="00000000" w:rsidP="00340959">
      <w:pPr>
        <w:spacing w:before="0" w:after="0" w:line="360" w:lineRule="auto"/>
        <w:jc w:val="center"/>
        <w:rPr>
          <w:rFonts w:ascii="Arial" w:hAnsi="Arial" w:cs="Arial"/>
          <w:i/>
          <w:iCs/>
          <w:color w:val="000000"/>
          <w:sz w:val="21"/>
          <w:szCs w:val="21"/>
        </w:rPr>
      </w:pPr>
      <w:commentRangeStart w:id="5"/>
      <w:commentRangeStart w:id="6"/>
      <w:r>
        <w:rPr>
          <w:rFonts w:ascii="Arial" w:hAnsi="Arial" w:cs="Arial"/>
          <w:i/>
          <w:iCs/>
          <w:color w:val="000000"/>
          <w:sz w:val="21"/>
          <w:szCs w:val="21"/>
        </w:rPr>
        <w:t xml:space="preserve">Figure 4: VIF and tolerance profile for the conditioning factors.</w:t>
      </w:r>
      <w:commentRangeEnd w:id="5"/>
      <w:r>
        <w:rPr>
          <w:rStyle w:val="CommentReference"/>
          <w:rFonts w:ascii="Arial" w:hAnsi="Arial" w:cs="Arial"/>
          <w:i/>
          <w:iCs/>
          <w:color w:val="000000"/>
          <w:sz w:val="21"/>
          <w:szCs w:val="21"/>
        </w:rPr>
        <w:commentReference w:id="5"/>
      </w:r>
      <w:commentRangeEnd w:id="6"/>
      <w:r>
        <w:rPr>
          <w:rStyle w:val="CommentReference"/>
          <w:rFonts w:ascii="Arial" w:hAnsi="Arial" w:cs="Arial"/>
          <w:i/>
          <w:iCs/>
          <w:color w:val="000000"/>
          <w:sz w:val="21"/>
          <w:szCs w:val="21"/>
        </w:rPr>
        <w:commentReference w:id="6"/>
      </w:r>
    </w:p>
    <w:p w14:paraId="78A8209E" w14:textId="77777777" w:rsidR="009F7D21" w:rsidRPr="00340959" w:rsidRDefault="009F7D21" w:rsidP="00340959">
      <w:pPr>
        <w:spacing w:before="0" w:after="0" w:line="360" w:lineRule="auto"/>
        <w:jc w:val="both"/>
        <w:rPr>
          <w:rFonts w:ascii="Arial" w:hAnsi="Arial" w:cs="Arial"/>
          <w:b/>
          <w:bCs/>
          <w:sz w:val="21"/>
          <w:szCs w:val="21"/>
        </w:rPr>
      </w:pPr>
    </w:p>
    <w:p w14:paraId="3E1FB809" w14:textId="03F409DB" w:rsidR="005B28E8" w:rsidRPr="00B61B2F" w:rsidRDefault="00000000" w:rsidP="00340959">
      <w:pPr>
        <w:pStyle w:val="Heading1"/>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Holdout performance and multi-metric comparison</w:t>
      </w:r>
    </w:p>
    <w:p w14:paraId="4C5D83F3" w14:textId="1B210DF7" w:rsidR="00417152" w:rsidRDefault="00492F38" w:rsidP="003406BA">
      <w:pPr>
        <w:spacing w:before="0" w:after="0" w:line="360" w:lineRule="auto"/>
        <w:jc w:val="both"/>
        <w:rPr>
          <w:rFonts w:ascii="Arial" w:hAnsi="Arial" w:cs="Arial"/>
          <w:i/>
          <w:iCs/>
          <w:color w:val="000000"/>
          <w:sz w:val="21"/>
          <w:szCs w:val="21"/>
        </w:rPr>
      </w:pPr>
      <w:r>
        <w:rPr>
          <w:rFonts w:ascii="Arial" w:hAnsi="Arial" w:cs="Arial"/>
          <w:color w:val="000000"/>
          <w:sz w:val="21"/>
          <w:szCs w:val="21"/>
        </w:rPr>
        <w:t xml:space="preserve">In the independent holdout evaluation given in Table 2, Random Forest showed the strongest discrimination (ROC-AUC = 0.866; PR-AUC = 0.865) and overall agreement (MCC = 0.611). GPC (ROC-AUC = 0.821) achieved competitive discrimination among the Bayesian candidates and yielded the lowest calibration error overall </w:t>
      </w:r>
      <w:r>
        <w:rPr>
          <w:rFonts w:ascii="Arial" w:hAnsi="Arial" w:cs="Arial"/>
          <w:color w:val="000000"/>
          <w:sz w:val="21"/>
          <w:szCs w:val="21"/>
        </w:rPr>
        <w:t xml:space="preserve">(ECE = 0.084</w:t>
      </w:r>
      <w:r>
        <w:rPr>
          <w:rFonts w:ascii="Arial" w:hAnsi="Arial" w:cs="Arial"/>
          <w:color w:val="FF0000"/>
          <w:sz w:val="21"/>
          <w:szCs w:val="21"/>
        </w:rPr>
        <w:t xml:space="preserve">, computed using 10 equal-width bins</w:t>
      </w:r>
      <w:r>
        <w:rPr>
          <w:rFonts w:ascii="Arial" w:hAnsi="Arial" w:cs="Arial"/>
          <w:color w:val="000000"/>
          <w:sz w:val="21"/>
          <w:szCs w:val="21"/>
        </w:rPr>
        <w:t xml:space="preserve">), indicating that GPC produced more reliable probabilities compared with BLR.</w:t>
      </w:r>
      <w:r>
        <w:rPr>
          <w:rFonts w:ascii="Arial" w:hAnsi="Arial" w:cs="Arial"/>
          <w:color w:val="FF0000"/>
          <w:sz w:val="21"/>
          <w:szCs w:val="21"/>
        </w:rPr>
        <w:t xml:space="preserve"> Furthermore, GPC demonstrated a clear operational advantage in minimizing missed landslides compared to BLR. GPC achieved a recall of 0.742, representing a false-negative rate of only 25.8% (missing 8 out of 31 landslide samples), whereas BLR had a substantially higher false-negative rate of 35.5% (missing 11 out of 31). In the context of risk-informed planning, false negatives represent areas incorrectly classified as stable that may subsequently fail, making GPC’s higher sensitivity critical.</w:t>
      </w:r>
      <w:r>
        <w:rPr>
          <w:rFonts w:ascii="Arial" w:hAnsi="Arial" w:cs="Arial"/>
          <w:color w:val="000000"/>
          <w:sz w:val="21"/>
          <w:szCs w:val="21"/>
        </w:rPr>
        <w:t xml:space="preserve"> Despite a high recall (0.774) </w:t>
      </w:r>
      <w:r>
        <w:rPr>
          <w:rFonts w:ascii="Arial" w:hAnsi="Arial" w:cs="Arial"/>
          <w:color w:val="000000"/>
          <w:sz w:val="21"/>
          <w:szCs w:val="21"/>
        </w:rPr>
        <w:t xml:space="preserve">reported by </w:t>
      </w:r>
      <w:r>
        <w:rPr>
          <w:rFonts w:ascii="Arial" w:hAnsi="Arial" w:cs="Arial"/>
          <w:color w:val="FF0000"/>
          <w:sz w:val="21"/>
          <w:szCs w:val="21"/>
        </w:rPr>
        <w:t xml:space="preserve">L2-regularized</w:t>
      </w:r>
      <w:r>
        <w:rPr>
          <w:rFonts w:ascii="Arial" w:hAnsi="Arial" w:cs="Arial"/>
          <w:color w:val="000000"/>
          <w:sz w:val="21"/>
          <w:szCs w:val="21"/>
        </w:rPr>
        <w:t xml:space="preserve"> logistic regression</w:t>
      </w:r>
      <w:r>
        <w:rPr>
          <w:rFonts w:ascii="Arial" w:hAnsi="Arial" w:cs="Arial"/>
          <w:color w:val="000000"/>
          <w:sz w:val="21"/>
          <w:szCs w:val="21"/>
        </w:rPr>
        <w:t xml:space="preserve">, lower precision and a higher Brier score indicated weaker probabilistic performance. The performance curves in Figure 5 for the AUC value confirm that RF prevails in the discrimination space. </w:t>
      </w:r>
    </w:p>
    <w:p w14:paraId="0656EE28" w14:textId="7143AD55" w:rsidR="005B28E8" w:rsidRPr="00340959" w:rsidRDefault="00000000" w:rsidP="00417152">
      <w:pPr>
        <w:spacing w:before="0" w:after="0" w:line="360" w:lineRule="auto"/>
        <w:jc w:val="center"/>
        <w:rPr>
          <w:rFonts w:ascii="Arial" w:hAnsi="Arial" w:cs="Arial"/>
          <w:i/>
          <w:iCs/>
          <w:sz w:val="21"/>
          <w:szCs w:val="21"/>
        </w:rPr>
      </w:pPr>
      <w:r>
        <w:rPr>
          <w:rFonts w:ascii="Arial" w:hAnsi="Arial" w:cs="Arial"/>
          <w:i/>
          <w:iCs/>
          <w:color w:val="000000"/>
          <w:sz w:val="21"/>
          <w:szCs w:val="21"/>
        </w:rPr>
        <w:t xml:space="preserve">Table 2: Holdout test performance (20% split).</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1114"/>
        <w:gridCol w:w="1114"/>
        <w:gridCol w:w="761"/>
        <w:gridCol w:w="688"/>
        <w:gridCol w:w="688"/>
        <w:gridCol w:w="1260"/>
        <w:gridCol w:w="1041"/>
        <w:gridCol w:w="688"/>
        <w:gridCol w:w="688"/>
      </w:tblGrid>
      <w:tr w:rsidR="005B28E8" w:rsidRPr="00340959" w14:paraId="400D0C3B" w14:textId="77777777" w:rsidTr="00492B1B">
        <w:trPr>
          <w:trHeight w:val="432"/>
          <w:jc w:val="center"/>
        </w:trPr>
        <w:tc>
          <w:tcPr>
            <w:tcW w:w="0" w:type="auto"/>
            <w:vAlign w:val="center"/>
          </w:tcPr>
          <w:p w14:paraId="4FFB205D"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Model</w:t>
            </w:r>
          </w:p>
        </w:tc>
        <w:tc>
          <w:tcPr>
            <w:tcW w:w="0" w:type="auto"/>
            <w:vAlign w:val="center"/>
          </w:tcPr>
          <w:p w14:paraId="7015739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Accuracy</w:t>
            </w:r>
          </w:p>
        </w:tc>
        <w:tc>
          <w:tcPr>
            <w:tcW w:w="0" w:type="auto"/>
            <w:vAlign w:val="center"/>
          </w:tcPr>
          <w:p w14:paraId="02003F9A"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Precision</w:t>
            </w:r>
          </w:p>
        </w:tc>
        <w:tc>
          <w:tcPr>
            <w:tcW w:w="0" w:type="auto"/>
            <w:vAlign w:val="center"/>
          </w:tcPr>
          <w:p w14:paraId="5E949F08"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Recall</w:t>
            </w:r>
          </w:p>
        </w:tc>
        <w:tc>
          <w:tcPr>
            <w:tcW w:w="0" w:type="auto"/>
            <w:vAlign w:val="center"/>
          </w:tcPr>
          <w:p w14:paraId="06A5D69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F1</w:t>
            </w:r>
          </w:p>
        </w:tc>
        <w:tc>
          <w:tcPr>
            <w:tcW w:w="0" w:type="auto"/>
            <w:vAlign w:val="center"/>
          </w:tcPr>
          <w:p w14:paraId="23254F4C"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MCC</w:t>
            </w:r>
          </w:p>
        </w:tc>
        <w:tc>
          <w:tcPr>
            <w:tcW w:w="0" w:type="auto"/>
            <w:vAlign w:val="center"/>
          </w:tcPr>
          <w:p w14:paraId="695FC92F"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ROC-AUC</w:t>
            </w:r>
          </w:p>
        </w:tc>
        <w:tc>
          <w:tcPr>
            <w:tcW w:w="0" w:type="auto"/>
            <w:vAlign w:val="center"/>
          </w:tcPr>
          <w:p w14:paraId="1AB60138"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PR-AUC</w:t>
            </w:r>
          </w:p>
        </w:tc>
        <w:tc>
          <w:tcPr>
            <w:tcW w:w="0" w:type="auto"/>
            <w:vAlign w:val="center"/>
          </w:tcPr>
          <w:p w14:paraId="53597F75"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Brier</w:t>
            </w:r>
          </w:p>
        </w:tc>
        <w:tc>
          <w:tcPr>
            <w:tcW w:w="0" w:type="auto"/>
            <w:vAlign w:val="center"/>
          </w:tcPr>
          <w:p w14:paraId="2B7B9B99"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ECE</w:t>
            </w:r>
          </w:p>
        </w:tc>
      </w:tr>
      <w:tr w:rsidR="005B28E8" w:rsidRPr="00340959" w14:paraId="38A5F955" w14:textId="77777777" w:rsidTr="00492B1B">
        <w:trPr>
          <w:trHeight w:val="432"/>
          <w:jc w:val="center"/>
        </w:trPr>
        <w:tc>
          <w:tcPr>
            <w:tcW w:w="0" w:type="auto"/>
            <w:vAlign w:val="center"/>
          </w:tcPr>
          <w:p w14:paraId="4F9B107E"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RF</w:t>
            </w:r>
          </w:p>
        </w:tc>
        <w:tc>
          <w:tcPr>
            <w:tcW w:w="0" w:type="auto"/>
            <w:vAlign w:val="center"/>
          </w:tcPr>
          <w:p w14:paraId="0AD4A28B"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0.811</w:t>
            </w:r>
          </w:p>
        </w:tc>
        <w:tc>
          <w:tcPr>
            <w:tcW w:w="0" w:type="auto"/>
            <w:vAlign w:val="center"/>
          </w:tcPr>
          <w:p w14:paraId="1A6C7023"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0.774</w:t>
            </w:r>
          </w:p>
        </w:tc>
        <w:tc>
          <w:tcPr>
            <w:tcW w:w="0" w:type="auto"/>
            <w:vAlign w:val="center"/>
          </w:tcPr>
          <w:p w14:paraId="4D16A6B0"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0.774</w:t>
            </w:r>
          </w:p>
        </w:tc>
        <w:tc>
          <w:tcPr>
            <w:tcW w:w="0" w:type="auto"/>
            <w:vAlign w:val="center"/>
          </w:tcPr>
          <w:p w14:paraId="79057BB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0.774</w:t>
            </w:r>
          </w:p>
        </w:tc>
        <w:tc>
          <w:tcPr>
            <w:tcW w:w="0" w:type="auto"/>
            <w:vAlign w:val="center"/>
          </w:tcPr>
          <w:p w14:paraId="6267E3C9"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0.611</w:t>
            </w:r>
          </w:p>
        </w:tc>
        <w:tc>
          <w:tcPr>
            <w:tcW w:w="0" w:type="auto"/>
            <w:vAlign w:val="center"/>
          </w:tcPr>
          <w:p w14:paraId="469A7ACC"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0.866</w:t>
            </w:r>
          </w:p>
        </w:tc>
        <w:tc>
          <w:tcPr>
            <w:tcW w:w="0" w:type="auto"/>
            <w:vAlign w:val="center"/>
          </w:tcPr>
          <w:p w14:paraId="2F65C9B7"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0.865</w:t>
            </w:r>
          </w:p>
        </w:tc>
        <w:tc>
          <w:tcPr>
            <w:tcW w:w="0" w:type="auto"/>
            <w:vAlign w:val="center"/>
          </w:tcPr>
          <w:p w14:paraId="6EF830A4"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0.153</w:t>
            </w:r>
          </w:p>
        </w:tc>
        <w:tc>
          <w:tcPr>
            <w:tcW w:w="0" w:type="auto"/>
            <w:vAlign w:val="center"/>
          </w:tcPr>
          <w:p w14:paraId="426F0880"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0.120</w:t>
            </w:r>
          </w:p>
        </w:tc>
      </w:tr>
      <w:tr w:rsidR="005B28E8" w:rsidRPr="00340959" w14:paraId="5DE81CE3" w14:textId="77777777" w:rsidTr="00492B1B">
        <w:trPr>
          <w:trHeight w:val="432"/>
          <w:jc w:val="center"/>
        </w:trPr>
        <w:tc>
          <w:tcPr>
            <w:tcW w:w="0" w:type="auto"/>
            <w:vAlign w:val="center"/>
          </w:tcPr>
          <w:p w14:paraId="525AFBC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GPC</w:t>
            </w:r>
          </w:p>
        </w:tc>
        <w:tc>
          <w:tcPr>
            <w:tcW w:w="0" w:type="auto"/>
            <w:vAlign w:val="center"/>
          </w:tcPr>
          <w:p w14:paraId="07791F11"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0.743</w:t>
            </w:r>
          </w:p>
        </w:tc>
        <w:tc>
          <w:tcPr>
            <w:tcW w:w="0" w:type="auto"/>
            <w:vAlign w:val="center"/>
          </w:tcPr>
          <w:p w14:paraId="4CA97DA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0.676</w:t>
            </w:r>
          </w:p>
        </w:tc>
        <w:tc>
          <w:tcPr>
            <w:tcW w:w="0" w:type="auto"/>
            <w:vAlign w:val="center"/>
          </w:tcPr>
          <w:p w14:paraId="1D457B0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0.742</w:t>
            </w:r>
          </w:p>
        </w:tc>
        <w:tc>
          <w:tcPr>
            <w:tcW w:w="0" w:type="auto"/>
            <w:vAlign w:val="center"/>
          </w:tcPr>
          <w:p w14:paraId="0D8CB653"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0.708</w:t>
            </w:r>
          </w:p>
        </w:tc>
        <w:tc>
          <w:tcPr>
            <w:tcW w:w="0" w:type="auto"/>
            <w:vAlign w:val="center"/>
          </w:tcPr>
          <w:p w14:paraId="6A3B434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0.481</w:t>
            </w:r>
          </w:p>
        </w:tc>
        <w:tc>
          <w:tcPr>
            <w:tcW w:w="0" w:type="auto"/>
            <w:vAlign w:val="center"/>
          </w:tcPr>
          <w:p w14:paraId="7E90CC50"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0.821</w:t>
            </w:r>
          </w:p>
        </w:tc>
        <w:tc>
          <w:tcPr>
            <w:tcW w:w="0" w:type="auto"/>
            <w:vAlign w:val="center"/>
          </w:tcPr>
          <w:p w14:paraId="13FB0AE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0.814</w:t>
            </w:r>
          </w:p>
        </w:tc>
        <w:tc>
          <w:tcPr>
            <w:tcW w:w="0" w:type="auto"/>
            <w:vAlign w:val="center"/>
          </w:tcPr>
          <w:p w14:paraId="20DD3048"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0.172</w:t>
            </w:r>
          </w:p>
        </w:tc>
        <w:tc>
          <w:tcPr>
            <w:tcW w:w="0" w:type="auto"/>
            <w:vAlign w:val="center"/>
          </w:tcPr>
          <w:p w14:paraId="60920C20"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0.084</w:t>
            </w:r>
          </w:p>
        </w:tc>
      </w:tr>
      <w:tr w:rsidR="005B28E8" w:rsidRPr="00340959" w14:paraId="0EBF4AAD" w14:textId="77777777" w:rsidTr="00492B1B">
        <w:trPr>
          <w:trHeight w:val="432"/>
          <w:jc w:val="center"/>
        </w:trPr>
        <w:tc>
          <w:tcPr>
            <w:tcW w:w="0" w:type="auto"/>
            <w:vAlign w:val="center"/>
          </w:tcPr>
          <w:p w14:paraId="2CA9149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LogReg_L2</w:t>
            </w:r>
          </w:p>
        </w:tc>
        <w:tc>
          <w:tcPr>
            <w:tcW w:w="0" w:type="auto"/>
            <w:vAlign w:val="center"/>
          </w:tcPr>
          <w:p w14:paraId="6D86F24A"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0.703</w:t>
            </w:r>
          </w:p>
        </w:tc>
        <w:tc>
          <w:tcPr>
            <w:tcW w:w="0" w:type="auto"/>
            <w:vAlign w:val="center"/>
          </w:tcPr>
          <w:p w14:paraId="6D09E52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0.615</w:t>
            </w:r>
          </w:p>
        </w:tc>
        <w:tc>
          <w:tcPr>
            <w:tcW w:w="0" w:type="auto"/>
            <w:vAlign w:val="center"/>
          </w:tcPr>
          <w:p w14:paraId="2FA84B0E"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0.774</w:t>
            </w:r>
          </w:p>
        </w:tc>
        <w:tc>
          <w:tcPr>
            <w:tcW w:w="0" w:type="auto"/>
            <w:vAlign w:val="center"/>
          </w:tcPr>
          <w:p w14:paraId="66541BBF"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0.686</w:t>
            </w:r>
          </w:p>
        </w:tc>
        <w:tc>
          <w:tcPr>
            <w:tcW w:w="0" w:type="auto"/>
            <w:vAlign w:val="center"/>
          </w:tcPr>
          <w:p w14:paraId="43B9490D"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0.420</w:t>
            </w:r>
          </w:p>
        </w:tc>
        <w:tc>
          <w:tcPr>
            <w:tcW w:w="0" w:type="auto"/>
            <w:vAlign w:val="center"/>
          </w:tcPr>
          <w:p w14:paraId="3634495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0.768</w:t>
            </w:r>
          </w:p>
        </w:tc>
        <w:tc>
          <w:tcPr>
            <w:tcW w:w="0" w:type="auto"/>
            <w:vAlign w:val="center"/>
          </w:tcPr>
          <w:p w14:paraId="0EEDA137"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0.667</w:t>
            </w:r>
          </w:p>
        </w:tc>
        <w:tc>
          <w:tcPr>
            <w:tcW w:w="0" w:type="auto"/>
            <w:vAlign w:val="center"/>
          </w:tcPr>
          <w:p w14:paraId="4D4E66F7"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0.203</w:t>
            </w:r>
          </w:p>
        </w:tc>
        <w:tc>
          <w:tcPr>
            <w:tcW w:w="0" w:type="auto"/>
            <w:vAlign w:val="center"/>
          </w:tcPr>
          <w:p w14:paraId="53D0DD1C"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0.110</w:t>
            </w:r>
          </w:p>
        </w:tc>
      </w:tr>
      <w:tr w:rsidR="005B28E8" w:rsidRPr="00340959" w14:paraId="1DC6D001" w14:textId="77777777" w:rsidTr="00492B1B">
        <w:trPr>
          <w:trHeight w:val="432"/>
          <w:jc w:val="center"/>
        </w:trPr>
        <w:tc>
          <w:tcPr>
            <w:tcW w:w="0" w:type="auto"/>
            <w:vAlign w:val="center"/>
          </w:tcPr>
          <w:p w14:paraId="5BA0779B"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BLR</w:t>
            </w:r>
          </w:p>
        </w:tc>
        <w:tc>
          <w:tcPr>
            <w:tcW w:w="0" w:type="auto"/>
            <w:vAlign w:val="center"/>
          </w:tcPr>
          <w:p w14:paraId="36196E5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0.676</w:t>
            </w:r>
          </w:p>
        </w:tc>
        <w:tc>
          <w:tcPr>
            <w:tcW w:w="0" w:type="auto"/>
            <w:vAlign w:val="center"/>
          </w:tcPr>
          <w:p w14:paraId="08AA00AE"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0.606</w:t>
            </w:r>
          </w:p>
        </w:tc>
        <w:tc>
          <w:tcPr>
            <w:tcW w:w="0" w:type="auto"/>
            <w:vAlign w:val="center"/>
          </w:tcPr>
          <w:p w14:paraId="7CE8D239"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0.645</w:t>
            </w:r>
          </w:p>
        </w:tc>
        <w:tc>
          <w:tcPr>
            <w:tcW w:w="0" w:type="auto"/>
            <w:vAlign w:val="center"/>
          </w:tcPr>
          <w:p w14:paraId="0AD5CBB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0.625</w:t>
            </w:r>
          </w:p>
        </w:tc>
        <w:tc>
          <w:tcPr>
            <w:tcW w:w="0" w:type="auto"/>
            <w:vAlign w:val="center"/>
          </w:tcPr>
          <w:p w14:paraId="46F43039"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0.340</w:t>
            </w:r>
          </w:p>
        </w:tc>
        <w:tc>
          <w:tcPr>
            <w:tcW w:w="0" w:type="auto"/>
            <w:vAlign w:val="center"/>
          </w:tcPr>
          <w:p w14:paraId="20EADC44"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0.775</w:t>
            </w:r>
          </w:p>
        </w:tc>
        <w:tc>
          <w:tcPr>
            <w:tcW w:w="0" w:type="auto"/>
            <w:vAlign w:val="center"/>
          </w:tcPr>
          <w:p w14:paraId="6D10E335"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0.723</w:t>
            </w:r>
          </w:p>
        </w:tc>
        <w:tc>
          <w:tcPr>
            <w:tcW w:w="0" w:type="auto"/>
            <w:vAlign w:val="center"/>
          </w:tcPr>
          <w:p w14:paraId="3BE96589"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0.193</w:t>
            </w:r>
          </w:p>
        </w:tc>
        <w:tc>
          <w:tcPr>
            <w:tcW w:w="0" w:type="auto"/>
            <w:vAlign w:val="center"/>
          </w:tcPr>
          <w:p w14:paraId="03E90739"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0.112</w:t>
            </w:r>
          </w:p>
        </w:tc>
      </w:tr>
    </w:tbl>
    <w:p w14:paraId="3362353E" w14:textId="10D2ED1A" w:rsidR="00FE4492" w:rsidRDefault="00FE4492" w:rsidP="00FE4492">
      <w:pPr>
        <w:jc w:val="center"/>
        <w:rPr>
          <w:rFonts w:ascii="Arial" w:hAnsi="Arial" w:cs="Arial"/>
          <w:sz w:val="21"/>
          <w:szCs w:val="21"/>
        </w:rPr>
      </w:pPr>
      <w:r>
        <w:rPr>
          <w:noProof/>
        </w:rPr>
        <w:lastRenderedPageBreak/>
        <w:drawing>
          <wp:inline distT="0" distB="0" distL="0" distR="0" wp14:anchorId="06DEC688" wp14:editId="5A5E9F33">
            <wp:extent cx="5029200" cy="4023360"/>
            <wp:effectExtent l="0" t="0" r="0" b="0"/>
            <wp:docPr id="1623372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2909" name="Picture 16233729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4023360"/>
                    </a:xfrm>
                    <a:prstGeom prst="rect">
                      <a:avLst/>
                    </a:prstGeom>
                  </pic:spPr>
                </pic:pic>
              </a:graphicData>
            </a:graphic>
          </wp:inline>
        </w:drawing>
      </w:r>
    </w:p>
    <w:p w14:paraId="01D433EB" w14:textId="7B50D801" w:rsidR="00FE4492" w:rsidRPr="00860EF9" w:rsidRDefault="00FE4492" w:rsidP="00FE4492">
      <w:pPr>
        <w:spacing w:before="0" w:after="0" w:line="276" w:lineRule="auto"/>
        <w:jc w:val="center"/>
        <w:rPr>
          <w:rFonts w:ascii="Arial" w:hAnsi="Arial" w:cs="Arial"/>
          <w:i/>
          <w:iCs/>
          <w:color w:val="000000" w:themeColor="text1"/>
          <w:sz w:val="21"/>
          <w:szCs w:val="21"/>
        </w:rPr>
      </w:pPr>
      <w:r>
        <w:rPr>
          <w:rFonts w:ascii="Arial" w:hAnsi="Arial" w:cs="Arial"/>
          <w:i/>
          <w:iCs/>
          <w:color w:val="000000" w:themeColor="text1"/>
          <w:sz w:val="21"/>
          <w:szCs w:val="21"/>
        </w:rPr>
        <w:t xml:space="preserve">Figure 5: Holdout (test set) performance: ROC curves with AUC values.</w:t>
      </w:r>
    </w:p>
    <w:p w14:paraId="2E377CB5" w14:textId="59C39CED" w:rsidR="00FE4492" w:rsidRDefault="00FE4492" w:rsidP="00FE4492">
      <w:pPr>
        <w:jc w:val="center"/>
        <w:rPr>
          <w:rFonts w:ascii="Arial" w:hAnsi="Arial" w:cs="Arial"/>
          <w:sz w:val="21"/>
          <w:szCs w:val="21"/>
        </w:rPr>
      </w:pPr>
      <w:r>
        <w:rPr>
          <w:noProof/>
        </w:rPr>
        <w:drawing>
          <wp:inline distT="0" distB="0" distL="0" distR="0" wp14:anchorId="406823B6" wp14:editId="4D4B3C8C">
            <wp:extent cx="5029200" cy="4023360"/>
            <wp:effectExtent l="0" t="0" r="0" b="0"/>
            <wp:docPr id="184532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2391" name="Picture 18453223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4023360"/>
                    </a:xfrm>
                    <a:prstGeom prst="rect">
                      <a:avLst/>
                    </a:prstGeom>
                  </pic:spPr>
                </pic:pic>
              </a:graphicData>
            </a:graphic>
          </wp:inline>
        </w:drawing>
      </w:r>
    </w:p>
    <w:p w14:paraId="4110FBBB" w14:textId="77777777" w:rsidR="001F2FF7" w:rsidRDefault="00FE4492" w:rsidP="00FE4492">
      <w:pPr>
        <w:jc w:val="center"/>
        <w:rPr>
          <w:rFonts w:ascii="Arial" w:hAnsi="Arial" w:cs="Arial"/>
          <w:i/>
          <w:iCs/>
          <w:color w:val="000000" w:themeColor="text1"/>
          <w:sz w:val="21"/>
          <w:szCs w:val="21"/>
        </w:rPr>
      </w:pPr>
      <w:r>
        <w:rPr>
          <w:rFonts w:ascii="Arial" w:hAnsi="Arial" w:cs="Arial"/>
          <w:i/>
          <w:iCs/>
          <w:color w:val="000000" w:themeColor="text1"/>
          <w:sz w:val="21"/>
          <w:szCs w:val="21"/>
        </w:rPr>
        <w:t xml:space="preserve">Figure 6: Holdout (test set) performance: Precision–Recall curves with PR-AUC values </w:t>
      </w:r>
    </w:p>
    <w:p w14:paraId="17B297CB" w14:textId="77777777" w:rsidR="003D475B" w:rsidRDefault="003D475B" w:rsidP="00340959">
      <w:pPr>
        <w:pStyle w:val="Heading1"/>
        <w:spacing w:before="0" w:after="0" w:line="360" w:lineRule="auto"/>
        <w:rPr>
          <w:rFonts w:ascii="Arial" w:hAnsi="Arial" w:cs="Arial"/>
          <w:b/>
          <w:bCs/>
          <w:color w:val="000000" w:themeColor="text1"/>
          <w:sz w:val="21"/>
          <w:szCs w:val="21"/>
        </w:rPr>
      </w:pPr>
    </w:p>
    <w:p w14:paraId="6B1D05A5" w14:textId="1A4129A7" w:rsidR="005B28E8" w:rsidRPr="00492B1B" w:rsidRDefault="00000000" w:rsidP="00340959">
      <w:pPr>
        <w:pStyle w:val="Heading1"/>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 xml:space="preserve">Cross-validation and spatial generalisation</w:t>
      </w:r>
    </w:p>
    <w:p w14:paraId="536E8200" w14:textId="56CC9537" w:rsidR="005B28E8" w:rsidRPr="00340959" w:rsidRDefault="00492F38" w:rsidP="00340959">
      <w:pPr>
        <w:spacing w:before="0" w:after="0" w:line="360" w:lineRule="auto"/>
        <w:jc w:val="both"/>
        <w:rPr>
          <w:rFonts w:ascii="Arial" w:hAnsi="Arial" w:cs="Arial"/>
          <w:sz w:val="21"/>
          <w:szCs w:val="21"/>
        </w:rPr>
      </w:pPr>
      <w:r>
        <w:rPr>
          <w:rFonts w:ascii="Arial" w:hAnsi="Arial" w:cs="Arial"/>
          <w:color w:val="000000"/>
          <w:sz w:val="21"/>
          <w:szCs w:val="21"/>
        </w:rPr>
        <w:t xml:space="preserve">Repeated stratified CV produced higher MCC and ROC-AUC values than spatial block CV (Table 3), indicating performance inflation under non-spatial validation. Spatial blocking reduced MCC by </w:t>
        <w:lastRenderedPageBreak/>
        <w:t>approximately 35% for RF (0.498 to 0.323) and 42% for GPC (0.450 to 0.259), highlighting the challenge of geographic transferability. Despite this degradation, model ranking remained stable, with RF and GPC consistently outperforming linear baselines under both validation schemes.</w:t>
      </w:r>
    </w:p>
    <w:p w14:paraId="28B29E8D" w14:textId="77777777" w:rsidR="001F2FF7" w:rsidRDefault="001F2FF7" w:rsidP="00492B1B">
      <w:pPr>
        <w:spacing w:before="0" w:after="0" w:line="360" w:lineRule="auto"/>
        <w:jc w:val="center"/>
        <w:rPr>
          <w:rFonts w:ascii="Arial" w:hAnsi="Arial" w:cs="Arial"/>
          <w:i/>
          <w:iCs/>
          <w:color w:val="000000"/>
          <w:sz w:val="21"/>
          <w:szCs w:val="21"/>
        </w:rPr>
      </w:pPr>
    </w:p>
    <w:p w14:paraId="517E2BF7" w14:textId="3C5BCC1F" w:rsidR="005B28E8" w:rsidRPr="00340959" w:rsidRDefault="00000000" w:rsidP="00492B1B">
      <w:pPr>
        <w:spacing w:before="0" w:after="0" w:line="360" w:lineRule="auto"/>
        <w:jc w:val="center"/>
        <w:rPr>
          <w:rFonts w:ascii="Arial" w:hAnsi="Arial" w:cs="Arial"/>
          <w:i/>
          <w:iCs/>
          <w:sz w:val="21"/>
          <w:szCs w:val="21"/>
        </w:rPr>
      </w:pPr>
      <w:r>
        <w:rPr>
          <w:rFonts w:ascii="Arial" w:hAnsi="Arial" w:cs="Arial"/>
          <w:i/>
          <w:iCs/>
          <w:color w:val="000000"/>
          <w:sz w:val="21"/>
          <w:szCs w:val="21"/>
        </w:rPr>
        <w:t xml:space="preserve">Table 3: Repeated CV and spatial block CV summary</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6"/>
        <w:gridCol w:w="1560"/>
        <w:gridCol w:w="2055"/>
        <w:gridCol w:w="1906"/>
        <w:gridCol w:w="2400"/>
      </w:tblGrid>
      <w:tr w:rsidR="005B28E8" w:rsidRPr="00340959" w14:paraId="075AB5A6" w14:textId="77777777" w:rsidTr="00492B1B">
        <w:trPr>
          <w:trHeight w:val="288"/>
          <w:jc w:val="center"/>
        </w:trPr>
        <w:tc>
          <w:tcPr>
            <w:tcW w:w="0" w:type="auto"/>
            <w:vAlign w:val="center"/>
          </w:tcPr>
          <w:p w14:paraId="70698722"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Model</w:t>
            </w:r>
          </w:p>
        </w:tc>
        <w:tc>
          <w:tcPr>
            <w:tcW w:w="0" w:type="auto"/>
            <w:vAlign w:val="center"/>
          </w:tcPr>
          <w:p w14:paraId="1B720C7B"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CV MCC (mean)</w:t>
            </w:r>
          </w:p>
        </w:tc>
        <w:tc>
          <w:tcPr>
            <w:tcW w:w="0" w:type="auto"/>
            <w:vAlign w:val="center"/>
          </w:tcPr>
          <w:p w14:paraId="0155782B"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CV ROC-AUC (mean)</w:t>
            </w:r>
          </w:p>
        </w:tc>
        <w:tc>
          <w:tcPr>
            <w:tcW w:w="0" w:type="auto"/>
            <w:vAlign w:val="center"/>
          </w:tcPr>
          <w:p w14:paraId="46EFC6EA"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Spatial MCC (mean)</w:t>
            </w:r>
          </w:p>
        </w:tc>
        <w:tc>
          <w:tcPr>
            <w:tcW w:w="0" w:type="auto"/>
            <w:vAlign w:val="center"/>
          </w:tcPr>
          <w:p w14:paraId="77AEC8CF"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Spatial ROC-AUC (mean)</w:t>
            </w:r>
          </w:p>
        </w:tc>
      </w:tr>
      <w:tr w:rsidR="005B28E8" w:rsidRPr="00340959" w14:paraId="666B3AF1" w14:textId="77777777" w:rsidTr="00492B1B">
        <w:trPr>
          <w:trHeight w:val="288"/>
          <w:jc w:val="center"/>
        </w:trPr>
        <w:tc>
          <w:tcPr>
            <w:tcW w:w="0" w:type="auto"/>
            <w:vAlign w:val="center"/>
          </w:tcPr>
          <w:p w14:paraId="3DF74BF0"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RF</w:t>
            </w:r>
          </w:p>
        </w:tc>
        <w:tc>
          <w:tcPr>
            <w:tcW w:w="0" w:type="auto"/>
            <w:vAlign w:val="center"/>
          </w:tcPr>
          <w:p w14:paraId="53291D9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0.498</w:t>
            </w:r>
          </w:p>
        </w:tc>
        <w:tc>
          <w:tcPr>
            <w:tcW w:w="0" w:type="auto"/>
            <w:vAlign w:val="center"/>
          </w:tcPr>
          <w:p w14:paraId="6B60F6CE"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0.849</w:t>
            </w:r>
          </w:p>
        </w:tc>
        <w:tc>
          <w:tcPr>
            <w:tcW w:w="0" w:type="auto"/>
            <w:vAlign w:val="center"/>
          </w:tcPr>
          <w:p w14:paraId="01E92B9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0.323</w:t>
            </w:r>
          </w:p>
        </w:tc>
        <w:tc>
          <w:tcPr>
            <w:tcW w:w="0" w:type="auto"/>
            <w:vAlign w:val="center"/>
          </w:tcPr>
          <w:p w14:paraId="6939B89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0.805</w:t>
            </w:r>
          </w:p>
        </w:tc>
      </w:tr>
      <w:tr w:rsidR="005B28E8" w:rsidRPr="00340959" w14:paraId="17E906F2" w14:textId="77777777" w:rsidTr="00492B1B">
        <w:trPr>
          <w:trHeight w:val="288"/>
          <w:jc w:val="center"/>
        </w:trPr>
        <w:tc>
          <w:tcPr>
            <w:tcW w:w="0" w:type="auto"/>
            <w:vAlign w:val="center"/>
          </w:tcPr>
          <w:p w14:paraId="3AC1285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GPC</w:t>
            </w:r>
          </w:p>
        </w:tc>
        <w:tc>
          <w:tcPr>
            <w:tcW w:w="0" w:type="auto"/>
            <w:vAlign w:val="center"/>
          </w:tcPr>
          <w:p w14:paraId="1F353D97"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0.450</w:t>
            </w:r>
          </w:p>
        </w:tc>
        <w:tc>
          <w:tcPr>
            <w:tcW w:w="0" w:type="auto"/>
            <w:vAlign w:val="center"/>
          </w:tcPr>
          <w:p w14:paraId="5888953B"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0.836</w:t>
            </w:r>
          </w:p>
        </w:tc>
        <w:tc>
          <w:tcPr>
            <w:tcW w:w="0" w:type="auto"/>
            <w:vAlign w:val="center"/>
          </w:tcPr>
          <w:p w14:paraId="0AD1EE4D"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0.259</w:t>
            </w:r>
          </w:p>
        </w:tc>
        <w:tc>
          <w:tcPr>
            <w:tcW w:w="0" w:type="auto"/>
            <w:vAlign w:val="center"/>
          </w:tcPr>
          <w:p w14:paraId="32AFA8BC"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0.769</w:t>
            </w:r>
          </w:p>
        </w:tc>
      </w:tr>
      <w:tr w:rsidR="005B28E8" w:rsidRPr="00340959" w14:paraId="717BAAB4" w14:textId="77777777" w:rsidTr="00492B1B">
        <w:trPr>
          <w:trHeight w:val="288"/>
          <w:jc w:val="center"/>
        </w:trPr>
        <w:tc>
          <w:tcPr>
            <w:tcW w:w="0" w:type="auto"/>
            <w:vAlign w:val="center"/>
          </w:tcPr>
          <w:p w14:paraId="61BC32CD"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LogReg_L2</w:t>
            </w:r>
          </w:p>
        </w:tc>
        <w:tc>
          <w:tcPr>
            <w:tcW w:w="0" w:type="auto"/>
            <w:vAlign w:val="center"/>
          </w:tcPr>
          <w:p w14:paraId="0BF5C7DB"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0.433</w:t>
            </w:r>
          </w:p>
        </w:tc>
        <w:tc>
          <w:tcPr>
            <w:tcW w:w="0" w:type="auto"/>
            <w:vAlign w:val="center"/>
          </w:tcPr>
          <w:p w14:paraId="6F00C6D1"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0.756</w:t>
            </w:r>
          </w:p>
        </w:tc>
        <w:tc>
          <w:tcPr>
            <w:tcW w:w="0" w:type="auto"/>
            <w:vAlign w:val="center"/>
          </w:tcPr>
          <w:p w14:paraId="0BD82ADA"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0.214</w:t>
            </w:r>
          </w:p>
        </w:tc>
        <w:tc>
          <w:tcPr>
            <w:tcW w:w="0" w:type="auto"/>
            <w:vAlign w:val="center"/>
          </w:tcPr>
          <w:p w14:paraId="7EF0A87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0.709</w:t>
            </w:r>
          </w:p>
        </w:tc>
      </w:tr>
      <w:tr w:rsidR="005B28E8" w:rsidRPr="00340959" w14:paraId="7D0E0CB2" w14:textId="77777777" w:rsidTr="00492B1B">
        <w:trPr>
          <w:trHeight w:val="288"/>
          <w:jc w:val="center"/>
        </w:trPr>
        <w:tc>
          <w:tcPr>
            <w:tcW w:w="0" w:type="auto"/>
            <w:vAlign w:val="center"/>
          </w:tcPr>
          <w:p w14:paraId="3050B4B3"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BLR</w:t>
            </w:r>
          </w:p>
        </w:tc>
        <w:tc>
          <w:tcPr>
            <w:tcW w:w="0" w:type="auto"/>
            <w:vAlign w:val="center"/>
          </w:tcPr>
          <w:p w14:paraId="233113DE"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0.388</w:t>
            </w:r>
          </w:p>
        </w:tc>
        <w:tc>
          <w:tcPr>
            <w:tcW w:w="0" w:type="auto"/>
            <w:vAlign w:val="center"/>
          </w:tcPr>
          <w:p w14:paraId="2CD3E126"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0.757</w:t>
            </w:r>
          </w:p>
        </w:tc>
        <w:tc>
          <w:tcPr>
            <w:tcW w:w="0" w:type="auto"/>
            <w:vAlign w:val="center"/>
          </w:tcPr>
          <w:p w14:paraId="57713CCE"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0.226</w:t>
            </w:r>
          </w:p>
        </w:tc>
        <w:tc>
          <w:tcPr>
            <w:tcW w:w="0" w:type="auto"/>
            <w:vAlign w:val="center"/>
          </w:tcPr>
          <w:p w14:paraId="2E36880C" w14:textId="77777777" w:rsidR="005B28E8" w:rsidRPr="00340959" w:rsidRDefault="00000000" w:rsidP="00492B1B">
            <w:pPr>
              <w:spacing w:before="0" w:after="0"/>
              <w:jc w:val="center"/>
              <w:rPr>
                <w:rFonts w:ascii="Arial" w:hAnsi="Arial" w:cs="Arial"/>
                <w:sz w:val="21"/>
                <w:szCs w:val="21"/>
              </w:rPr>
            </w:pPr>
            <w:r>
              <w:rPr>
                <w:rFonts w:ascii="Arial" w:hAnsi="Arial" w:cs="Arial"/>
                <w:color w:val="000000"/>
                <w:sz w:val="21"/>
                <w:szCs w:val="21"/>
              </w:rPr>
              <w:t>0.709</w:t>
            </w:r>
          </w:p>
        </w:tc>
      </w:tr>
    </w:tbl>
    <w:p w14:paraId="1F0A0ECA" w14:textId="77777777" w:rsidR="005B28E8" w:rsidRPr="00340959" w:rsidRDefault="005B28E8" w:rsidP="00340959">
      <w:pPr>
        <w:spacing w:before="0" w:after="0" w:line="360" w:lineRule="auto"/>
        <w:jc w:val="both"/>
        <w:rPr>
          <w:rFonts w:ascii="Arial" w:hAnsi="Arial" w:cs="Arial"/>
          <w:sz w:val="21"/>
          <w:szCs w:val="21"/>
        </w:rPr>
      </w:pPr>
    </w:p>
    <w:p w14:paraId="5FE61440" w14:textId="456E89BB" w:rsidR="005B28E8" w:rsidRPr="00340959" w:rsidRDefault="00FE4492" w:rsidP="00492B1B">
      <w:pPr>
        <w:spacing w:before="0" w:after="0" w:line="360" w:lineRule="auto"/>
        <w:jc w:val="center"/>
        <w:rPr>
          <w:rFonts w:ascii="Arial" w:hAnsi="Arial" w:cs="Arial"/>
          <w:sz w:val="21"/>
          <w:szCs w:val="21"/>
        </w:rPr>
      </w:pPr>
      <w:r>
        <w:rPr>
          <w:noProof/>
        </w:rPr>
        <w:drawing>
          <wp:inline distT="0" distB="0" distL="0" distR="0" wp14:anchorId="3CA69BDB" wp14:editId="1A947B4F">
            <wp:extent cx="6217920" cy="2634120"/>
            <wp:effectExtent l="0" t="0" r="0" b="0"/>
            <wp:docPr id="140521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613" name="Picture 1405216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17920" cy="2634120"/>
                    </a:xfrm>
                    <a:prstGeom prst="rect">
                      <a:avLst/>
                    </a:prstGeom>
                  </pic:spPr>
                </pic:pic>
              </a:graphicData>
            </a:graphic>
          </wp:inline>
        </w:drawing>
      </w:r>
    </w:p>
    <w:p w14:paraId="18A3D649" w14:textId="0522E695" w:rsidR="005B28E8" w:rsidRPr="00340959" w:rsidRDefault="00000000" w:rsidP="00492B1B">
      <w:pPr>
        <w:spacing w:before="0" w:after="0" w:line="276" w:lineRule="auto"/>
        <w:jc w:val="center"/>
        <w:rPr>
          <w:rFonts w:ascii="Arial" w:hAnsi="Arial" w:cs="Arial"/>
          <w:i/>
          <w:iCs/>
          <w:sz w:val="21"/>
          <w:szCs w:val="21"/>
        </w:rPr>
      </w:pPr>
      <w:r>
        <w:rPr>
          <w:rFonts w:ascii="Arial" w:hAnsi="Arial" w:cs="Arial"/>
          <w:i/>
          <w:iCs/>
          <w:color w:val="000000"/>
          <w:sz w:val="21"/>
          <w:szCs w:val="21"/>
        </w:rPr>
        <w:t xml:space="preserve">Figure 7: Comparison of repeated stratified CV and spatial block CV performance (MCC and ROC-AUC) across models.</w:t>
      </w:r>
    </w:p>
    <w:p w14:paraId="43E947B4" w14:textId="77777777" w:rsidR="009F7D21" w:rsidRPr="00340959" w:rsidRDefault="009F7D21" w:rsidP="00340959">
      <w:pPr>
        <w:pStyle w:val="Heading2"/>
        <w:spacing w:before="0" w:after="0" w:line="360" w:lineRule="auto"/>
        <w:jc w:val="both"/>
        <w:rPr>
          <w:rFonts w:ascii="Arial" w:hAnsi="Arial" w:cs="Arial"/>
          <w:color w:val="000000"/>
          <w:sz w:val="21"/>
          <w:szCs w:val="21"/>
        </w:rPr>
      </w:pPr>
    </w:p>
    <w:p w14:paraId="60606BBC" w14:textId="3F052856" w:rsidR="005B28E8" w:rsidRPr="00492B1B" w:rsidRDefault="00000000" w:rsidP="00340959">
      <w:pPr>
        <w:pStyle w:val="Heading1"/>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Statistical significance and model ranking</w:t>
      </w:r>
    </w:p>
    <w:p w14:paraId="0F9AC8A7" w14:textId="107096F5" w:rsidR="003D475B"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Friedman test on repeated cross-validation F1 scores showed significant differences between models (χ² = 17.73, p &lt; 0.001). Weighted multi-metric ranking was performed next; Random Forest was ranked first, GPC, LogReg_L2, and BLR performed last. However, only Bayesian candidates were deployed because explicit representation of uncertainty was needed, and RF scored the highest composite rank. Of these, GPC exhibited the highest overall calibration stability and spatial robustness and thus was chosen for final susceptibility and uncertainty mapping.</w:t>
      </w:r>
    </w:p>
    <w:p w14:paraId="6FD92DFE" w14:textId="226B82DA" w:rsidR="003D475B" w:rsidRPr="003406BA" w:rsidRDefault="003D475B" w:rsidP="00340959">
      <w:pPr>
        <w:spacing w:before="0" w:after="0" w:line="360" w:lineRule="auto"/>
        <w:jc w:val="both"/>
        <w:rPr>
          <w:rFonts w:ascii="Arial" w:hAnsi="Arial" w:cs="Arial"/>
          <w:color w:val="000000" w:themeColor="text1"/>
          <w:sz w:val="21"/>
          <w:szCs w:val="21"/>
        </w:rPr>
      </w:pPr>
    </w:p>
    <w:p w14:paraId="0DFB47BA" w14:textId="28A8D96C" w:rsidR="00050108" w:rsidRPr="003406BA" w:rsidRDefault="008D58D4" w:rsidP="003406BA">
      <w:pPr>
        <w:spacing w:before="0" w:after="0" w:line="360" w:lineRule="auto"/>
        <w:jc w:val="both"/>
        <w:rPr>
          <w:rFonts w:ascii="Arial" w:hAnsi="Arial" w:cs="Arial"/>
          <w:color w:val="EE0000"/>
          <w:sz w:val="21"/>
          <w:szCs w:val="21"/>
        </w:rPr>
      </w:pPr>
      <w:r>
        <w:rPr>
          <w:rFonts w:ascii="Arial" w:hAnsi="Arial" w:cs="Arial"/>
          <w:color w:val="EE0000"/>
          <w:sz w:val="21"/>
          <w:szCs w:val="21"/>
        </w:rPr>
        <w:t xml:space="preserve">In terms of calibration, the leading mode, i.e., random forest, in this study performs poorly, with an Expected Calibration Error (ECE) of 0.120. Figure 8 shows the calibration curve (reliability diagram), which assesses how well predicted probabilities align with actual outcomes.  The closer a model’s curve follows the diagonal, the better calibrated it is. The reported ECE quantifies this deviation: lower ECE indicates better calibration. Here, random forest fails. Highlight that GPC achieved the lowest Expected Calibration Error (ECE = 0.084; hence, it implicitly portrays the best model in terms of calibration. </w:t>
      </w:r>
      <w:r>
        <w:rPr>
          <w:rFonts w:ascii="Arial" w:hAnsi="Arial" w:cs="Arial"/>
          <w:color w:val="FF0000"/>
          <w:sz w:val="21"/>
          <w:szCs w:val="21"/>
        </w:rPr>
        <w:t xml:space="preserve">Although ECE can be sensitive to the sample size of the holdout set, the 10-bin equal-width strategy mitigates extreme bin-level variance. </w:t>
      </w:r>
      <w:r>
        <w:rPr>
          <w:rFonts w:ascii="Arial" w:hAnsi="Arial" w:cs="Arial"/>
          <w:color w:val="EE0000"/>
          <w:sz w:val="21"/>
          <w:szCs w:val="21"/>
        </w:rPr>
        <w:t xml:space="preserve">Gaussian Processes yield well-calibrated</w:t>
      </w:r>
      <w:r>
        <w:rPr>
          <w:rFonts w:ascii="Arial" w:hAnsi="Arial" w:cs="Arial"/>
          <w:color w:val="EE0000"/>
          <w:sz w:val="21"/>
          <w:szCs w:val="21"/>
        </w:rPr>
        <w:t xml:space="preserve"> probabilities because they are fully Bayesian, explicitly model uncertainty, and adapt smoothly to nonlinear patterns without becoming overconfident. Areas like the Chittagong Hill Tracts, where data are limited, </w:t>
        <w:lastRenderedPageBreak/>
        <w:t>require reliability over deterministic classification. Gaussian Processes meet this requirement, with good calibration, and other accuracy metrics are also second-best in our study.</w:t>
      </w:r>
    </w:p>
    <w:p w14:paraId="78BADB29" w14:textId="7BFB6097" w:rsidR="003D475B" w:rsidRPr="0058719A" w:rsidRDefault="003D475B" w:rsidP="00050108">
      <w:pPr>
        <w:spacing w:before="0" w:after="0" w:line="360" w:lineRule="auto"/>
        <w:jc w:val="both"/>
        <w:rPr>
          <w:rFonts w:ascii="Arial" w:hAnsi="Arial" w:cs="Arial"/>
          <w:sz w:val="21"/>
          <w:szCs w:val="21"/>
        </w:rPr>
      </w:pPr>
    </w:p>
    <w:p w14:paraId="13E9819D" w14:textId="77777777" w:rsidR="003D475B" w:rsidRDefault="003D475B" w:rsidP="003D475B">
      <w:pPr>
        <w:jc w:val="center"/>
        <w:rPr>
          <w:rFonts w:ascii="Arial" w:hAnsi="Arial" w:cs="Arial"/>
          <w:sz w:val="21"/>
          <w:szCs w:val="21"/>
        </w:rPr>
      </w:pPr>
      <w:r>
        <w:rPr>
          <w:noProof/>
        </w:rPr>
        <w:drawing>
          <wp:inline distT="0" distB="0" distL="0" distR="0" wp14:anchorId="2138E312" wp14:editId="490331A6">
            <wp:extent cx="4603185" cy="4023360"/>
            <wp:effectExtent l="0" t="0" r="6985" b="0"/>
            <wp:docPr id="1522048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5687" name="Picture 13196156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03185" cy="4023360"/>
                    </a:xfrm>
                    <a:prstGeom prst="rect">
                      <a:avLst/>
                    </a:prstGeom>
                  </pic:spPr>
                </pic:pic>
              </a:graphicData>
            </a:graphic>
          </wp:inline>
        </w:drawing>
      </w:r>
    </w:p>
    <w:p w14:paraId="001E308B" w14:textId="343DB7BD" w:rsidR="003D475B" w:rsidRDefault="003D475B" w:rsidP="003D475B">
      <w:pPr>
        <w:jc w:val="center"/>
        <w:rPr>
          <w:rFonts w:ascii="Arial" w:hAnsi="Arial" w:cs="Arial"/>
          <w:sz w:val="21"/>
          <w:szCs w:val="21"/>
        </w:rPr>
      </w:pPr>
      <w:r>
        <w:rPr>
          <w:rFonts w:ascii="Arial" w:hAnsi="Arial" w:cs="Arial"/>
          <w:i/>
          <w:iCs/>
          <w:color w:val="000000" w:themeColor="text1"/>
          <w:sz w:val="21"/>
          <w:szCs w:val="21"/>
        </w:rPr>
        <w:t xml:space="preserve">Figure 8: Holdout (test set) performance: Smoothed calibration curves; the dashed line indicates perfect calibration</w:t>
      </w:r>
    </w:p>
    <w:p w14:paraId="731AA6DE" w14:textId="77777777" w:rsidR="003D475B" w:rsidRPr="00340959" w:rsidRDefault="003D475B" w:rsidP="00340959">
      <w:pPr>
        <w:spacing w:before="0" w:after="0" w:line="360" w:lineRule="auto"/>
        <w:jc w:val="both"/>
        <w:rPr>
          <w:rFonts w:ascii="Arial" w:hAnsi="Arial" w:cs="Arial"/>
          <w:sz w:val="21"/>
          <w:szCs w:val="21"/>
        </w:rPr>
      </w:pPr>
    </w:p>
    <w:p w14:paraId="41DD86E0" w14:textId="4B15FA0B" w:rsidR="005B28E8" w:rsidRPr="006D4BC0" w:rsidRDefault="00000000" w:rsidP="00340959">
      <w:pPr>
        <w:pStyle w:val="Heading1"/>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t>Interpretation of Conditioning Factor Contributions</w:t>
      </w:r>
    </w:p>
    <w:p w14:paraId="1B8226B9" w14:textId="36E4F19D" w:rsidR="00FE4492"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r>
      <w:r>
        <w:rPr>
          <w:rFonts w:ascii="Arial" w:hAnsi="Arial" w:cs="Arial"/>
          <w:color w:val="000000"/>
          <w:sz w:val="21"/>
          <w:szCs w:val="21"/>
        </w:rPr>
        <w:t xml:space="preserve">SHAP analysis (Figure 9a) identified Elevation, Precipitation, and LULC as the most dominant predictors.</w:t>
      </w:r>
      <w:r>
        <w:rPr>
          <w:rFonts w:ascii="Arial" w:hAnsi="Arial" w:cs="Arial"/>
          <w:color w:val="FF0000"/>
          <w:sz w:val="21"/>
          <w:szCs w:val="21"/>
        </w:rPr>
        <w:t xml:space="preserve"> It is important to emphasize that SHAP values describe feature importance within the predictive model, not direct physical causality. Because input variables are spatially correlated (e.g., elevation, slope, and precipitation), SHAP attribution distributes importance across these collinear features. A high SHAP value for precipitation, therefore, does not imply that mean annual rainfall physically triggers landslides locally, but rather that the model assigns higher susceptibility in that parameter range conditional on all other factors.</w:t>
      </w:r>
      <w:r>
        <w:rPr>
          <w:rFonts w:ascii="Arial" w:hAnsi="Arial" w:cs="Arial"/>
          <w:color w:val="000000"/>
          <w:sz w:val="21"/>
          <w:szCs w:val="21"/>
        </w:rPr>
        <w:t xml:space="preserve"> Increased gravitational stress and slope-gradient effects at higher elevations positively contribute to SHAP, while the positive contributions from high precipitation values arise from hydrological destabilization mechanisms via increased pore-water pressure. The effect of LULC was found to be class-specific, suggesting that slope stability depends on vegetation cover and human disturbance. The waterfall plot (Figure 9b) shows that combined feature interactions propel predictions from the baseline of the model to a high-susceptibility local outcome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8985"/>
      </w:tblGrid>
      <w:tr w:rsidR="00FE4492" w14:paraId="3B374447" w14:textId="77777777" w:rsidTr="002F170D">
        <w:tc>
          <w:tcPr>
            <w:tcW w:w="895" w:type="dxa"/>
          </w:tcPr>
          <w:p w14:paraId="034F05BD" w14:textId="01C0194B" w:rsidR="00FE4492" w:rsidRDefault="00FE4492" w:rsidP="00340959">
            <w:pPr>
              <w:spacing w:line="360" w:lineRule="auto"/>
              <w:jc w:val="both"/>
              <w:rPr>
                <w:rFonts w:ascii="Arial" w:hAnsi="Arial" w:cs="Arial"/>
                <w:sz w:val="21"/>
                <w:szCs w:val="21"/>
              </w:rPr>
            </w:pPr>
            <w:r>
              <w:rPr>
                <w:rFonts w:ascii="Arial" w:hAnsi="Arial" w:cs="Arial"/>
                <w:sz w:val="21"/>
                <w:szCs w:val="21"/>
              </w:rPr>
              <w:lastRenderedPageBreak/>
              <w:t>a)</w:t>
            </w:r>
          </w:p>
        </w:tc>
        <w:tc>
          <w:tcPr>
            <w:tcW w:w="8985" w:type="dxa"/>
          </w:tcPr>
          <w:p w14:paraId="099BDB43" w14:textId="25CAF7EC" w:rsidR="00FE4492" w:rsidRDefault="00FE4492" w:rsidP="00FE4492">
            <w:pPr>
              <w:spacing w:line="360" w:lineRule="auto"/>
              <w:jc w:val="center"/>
              <w:rPr>
                <w:rFonts w:ascii="Arial" w:hAnsi="Arial" w:cs="Arial"/>
                <w:sz w:val="21"/>
                <w:szCs w:val="21"/>
              </w:rPr>
            </w:pPr>
            <w:r>
              <w:rPr>
                <w:noProof/>
              </w:rPr>
              <w:drawing>
                <wp:inline distT="0" distB="0" distL="0" distR="0" wp14:anchorId="7695EB3A" wp14:editId="3CDC143D">
                  <wp:extent cx="4090338" cy="3749040"/>
                  <wp:effectExtent l="0" t="0" r="5715" b="3810"/>
                  <wp:docPr id="1220638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8613" name="Picture 1220638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0338" cy="3749040"/>
                          </a:xfrm>
                          <a:prstGeom prst="rect">
                            <a:avLst/>
                          </a:prstGeom>
                          <a:ln w="3175">
                            <a:noFill/>
                          </a:ln>
                        </pic:spPr>
                      </pic:pic>
                    </a:graphicData>
                  </a:graphic>
                </wp:inline>
              </w:drawing>
            </w:r>
          </w:p>
        </w:tc>
      </w:tr>
      <w:tr w:rsidR="00FE4492" w14:paraId="073367D1" w14:textId="77777777" w:rsidTr="002F170D">
        <w:tc>
          <w:tcPr>
            <w:tcW w:w="895" w:type="dxa"/>
          </w:tcPr>
          <w:p w14:paraId="52432555" w14:textId="4104F733" w:rsidR="00FE4492" w:rsidRDefault="00FE4492" w:rsidP="00340959">
            <w:pPr>
              <w:spacing w:line="360" w:lineRule="auto"/>
              <w:jc w:val="both"/>
              <w:rPr>
                <w:rFonts w:ascii="Arial" w:hAnsi="Arial" w:cs="Arial"/>
                <w:sz w:val="21"/>
                <w:szCs w:val="21"/>
              </w:rPr>
            </w:pPr>
            <w:r>
              <w:rPr>
                <w:rFonts w:ascii="Arial" w:hAnsi="Arial" w:cs="Arial"/>
                <w:sz w:val="21"/>
                <w:szCs w:val="21"/>
              </w:rPr>
              <w:t>b)</w:t>
            </w:r>
          </w:p>
        </w:tc>
        <w:tc>
          <w:tcPr>
            <w:tcW w:w="8985" w:type="dxa"/>
          </w:tcPr>
          <w:p w14:paraId="74FC1EB8" w14:textId="732A2CFD" w:rsidR="00FE4492" w:rsidRDefault="00FE4492" w:rsidP="00FE4492">
            <w:pPr>
              <w:spacing w:line="360" w:lineRule="auto"/>
              <w:jc w:val="center"/>
              <w:rPr>
                <w:rFonts w:ascii="Arial" w:hAnsi="Arial" w:cs="Arial"/>
                <w:sz w:val="21"/>
                <w:szCs w:val="21"/>
              </w:rPr>
            </w:pPr>
            <w:r>
              <w:rPr>
                <w:noProof/>
              </w:rPr>
              <w:drawing>
                <wp:inline distT="0" distB="0" distL="0" distR="0" wp14:anchorId="340CDA46" wp14:editId="61F795E7">
                  <wp:extent cx="3602405" cy="3749040"/>
                  <wp:effectExtent l="0" t="0" r="0" b="3810"/>
                  <wp:docPr id="883454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4035" name="Picture 8834540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2405" cy="3749040"/>
                          </a:xfrm>
                          <a:prstGeom prst="rect">
                            <a:avLst/>
                          </a:prstGeom>
                          <a:ln w="3175">
                            <a:noFill/>
                          </a:ln>
                        </pic:spPr>
                      </pic:pic>
                    </a:graphicData>
                  </a:graphic>
                </wp:inline>
              </w:drawing>
            </w:r>
          </w:p>
        </w:tc>
      </w:tr>
    </w:tbl>
    <w:p w14:paraId="3AC84502" w14:textId="62203782" w:rsidR="009F7D21" w:rsidRDefault="00FE4492" w:rsidP="006D4BC0">
      <w:pPr>
        <w:spacing w:before="0" w:after="0" w:line="276" w:lineRule="auto"/>
        <w:jc w:val="center"/>
        <w:rPr>
          <w:rFonts w:ascii="Arial" w:hAnsi="Arial" w:cs="Arial"/>
          <w:i/>
          <w:iCs/>
          <w:sz w:val="21"/>
          <w:szCs w:val="21"/>
        </w:rPr>
      </w:pPr>
      <w:r>
        <w:rPr>
          <w:rFonts w:ascii="Arial" w:hAnsi="Arial" w:cs="Arial"/>
          <w:i/>
          <w:iCs/>
          <w:color w:val="000000"/>
          <w:sz w:val="21"/>
          <w:szCs w:val="21"/>
        </w:rPr>
        <w:t xml:space="preserve">Figure 9: Interpretation of the GPC via SHAP on holdout dataset (a) SHAP summary (beeswarm) plot of the aggregated contribution and direction of influence of each conditioning factor to model predictions. (b) SHAP waterfall plot for a representative holdout sample showing the cumulative contribution of individual features from the expected value </w:t>
      </w:r>
      <m:oMath>
        <m:r>
          <w:rPr>
            <w:rFonts w:ascii="Cambria Math" w:hAnsi="Cambria Math" w:cs="Arial"/>
            <w:sz w:val="21"/>
            <w:szCs w:val="21"/>
          </w:rPr>
          <m:t>E[f(X)]</m:t>
        </m:r>
      </m:oMath>
      <w:r>
        <w:rPr>
          <w:rFonts w:ascii="Arial" w:hAnsi="Arial" w:cs="Arial"/>
          <w:i/>
          <w:iCs/>
          <w:sz w:val="21"/>
          <w:szCs w:val="21"/>
        </w:rPr>
        <w:t xml:space="preserve">to the final predicted output </w:t>
      </w:r>
      <m:oMath>
        <m:r>
          <w:rPr>
            <w:rFonts w:ascii="Cambria Math" w:hAnsi="Cambria Math" w:cs="Arial"/>
            <w:sz w:val="21"/>
            <w:szCs w:val="21"/>
          </w:rPr>
          <m:t>f(x)</m:t>
        </m:r>
      </m:oMath>
      <w:r>
        <w:rPr>
          <w:rFonts w:ascii="Arial" w:hAnsi="Arial" w:cs="Arial"/>
          <w:i/>
          <w:iCs/>
          <w:sz w:val="21"/>
          <w:szCs w:val="21"/>
        </w:rPr>
        <w:t>.</w:t>
      </w:r>
    </w:p>
    <w:p w14:paraId="7C568815" w14:textId="77777777" w:rsidR="006D4BC0" w:rsidRPr="006D4BC0" w:rsidRDefault="006D4BC0" w:rsidP="006D4BC0">
      <w:pPr>
        <w:spacing w:before="0" w:after="0" w:line="276" w:lineRule="auto"/>
        <w:jc w:val="center"/>
        <w:rPr>
          <w:rFonts w:ascii="Arial" w:hAnsi="Arial" w:cs="Arial"/>
          <w:b/>
          <w:bCs/>
          <w:i/>
          <w:iCs/>
          <w:color w:val="000000" w:themeColor="text1"/>
          <w:sz w:val="21"/>
          <w:szCs w:val="21"/>
        </w:rPr>
      </w:pPr>
    </w:p>
    <w:p w14:paraId="267698E8" w14:textId="77777777" w:rsidR="001F2FF7" w:rsidRDefault="001F2FF7">
      <w:pPr>
        <w:rPr>
          <w:rFonts w:ascii="Arial" w:hAnsi="Arial" w:cs="Arial"/>
          <w:b/>
          <w:bCs/>
          <w:color w:val="000000" w:themeColor="text1"/>
          <w:sz w:val="21"/>
          <w:szCs w:val="21"/>
        </w:rPr>
      </w:pPr>
      <w:r>
        <w:rPr>
          <w:rFonts w:ascii="Arial" w:hAnsi="Arial" w:cs="Arial"/>
          <w:b/>
          <w:bCs/>
          <w:color w:val="000000" w:themeColor="text1"/>
          <w:sz w:val="21"/>
          <w:szCs w:val="21"/>
        </w:rPr>
        <w:br w:type="page"/>
      </w:r>
    </w:p>
    <w:p w14:paraId="7B2C8FB1" w14:textId="10945B13" w:rsidR="005B28E8" w:rsidRPr="006D4BC0" w:rsidRDefault="00000000" w:rsidP="00340959">
      <w:pPr>
        <w:pStyle w:val="Heading1"/>
        <w:spacing w:before="0" w:after="0" w:line="360" w:lineRule="auto"/>
        <w:rPr>
          <w:rFonts w:ascii="Arial" w:hAnsi="Arial" w:cs="Arial"/>
          <w:b/>
          <w:bCs/>
          <w:color w:val="000000" w:themeColor="text1"/>
          <w:sz w:val="21"/>
          <w:szCs w:val="21"/>
        </w:rPr>
      </w:pPr>
      <w:r>
        <w:rPr>
          <w:rFonts w:ascii="Arial" w:hAnsi="Arial" w:cs="Arial"/>
          <w:b/>
          <w:bCs/>
          <w:color w:val="000000" w:themeColor="text1"/>
          <w:sz w:val="21"/>
          <w:szCs w:val="21"/>
        </w:rPr>
        <w:lastRenderedPageBreak/>
        <w:t>Integrated Susceptibility–Uncertainty Patterns</w:t>
      </w:r>
    </w:p>
    <w:p w14:paraId="19DAB875" w14:textId="09BAF80B" w:rsidR="00492F3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Figure 10 illustrates a 3×3 bivariate classification of susceptibility and predictive uncertainty jointly conditioned on the output of the deployed GPC model. This modelling facilitates joint evaluation of </w:t>
      </w:r>
      <w:r>
        <w:rPr>
          <w:rFonts w:ascii="Arial" w:hAnsi="Arial" w:cs="Arial"/>
          <w:color w:val="000000"/>
          <w:sz w:val="21"/>
          <w:szCs w:val="21"/>
        </w:rPr>
        <w:t xml:space="preserve">forecasted </w:t>
      </w:r>
      <w:r>
        <w:rPr>
          <w:rFonts w:ascii="Arial" w:hAnsi="Arial" w:cs="Arial"/>
          <w:color w:val="FF0000"/>
          <w:sz w:val="21"/>
          <w:szCs w:val="21"/>
        </w:rPr>
        <w:t xml:space="preserve">susceptibility</w:t>
      </w:r>
      <w:r>
        <w:rPr>
          <w:rFonts w:ascii="Arial" w:hAnsi="Arial" w:cs="Arial"/>
          <w:color w:val="000000"/>
          <w:sz w:val="21"/>
          <w:szCs w:val="21"/>
        </w:rPr>
        <w:t xml:space="preserve"> strength</w:t>
      </w:r>
      <w:r>
        <w:rPr>
          <w:rFonts w:ascii="Arial" w:hAnsi="Arial" w:cs="Arial"/>
          <w:color w:val="000000"/>
          <w:sz w:val="21"/>
          <w:szCs w:val="21"/>
        </w:rPr>
        <w:t xml:space="preserve"> and model certainty in a spatial context.</w:t>
      </w:r>
    </w:p>
    <w:p w14:paraId="76E328CF" w14:textId="155AA5E8" w:rsidR="00492F3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Areas of high susceptibility are mostly clustered along the central and southeastern hill sectors of the study area, exhibiting well-defined spatial clusters that track steep terrain and anthropogenically disturbed slopes. A significant fraction of these zones falls into classes with uncertainty on the low- or medium-side of the scale, implying that the local density of training data supports stable posterior predictions. Regions like these are high-confidence landslide hotspots.</w:t>
      </w:r>
    </w:p>
    <w:p w14:paraId="03A171E8" w14:textId="0364FC0C" w:rsidR="00492F3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On the other hand, localized patches exhibit high susceptibility and high uncertainty. These zones primarily develop in border terrain, vadose zones, and peripheral hill zones. Areas where the predicted probability and variance were both high indicate lower posterior stability, perhaps due to heterogeneous geomorphological conditions or a training inventory that is not representative of those areas. Data in these areas should be interpreted with caution and potentially could benefit from localized field-based validation.</w:t>
      </w:r>
    </w:p>
    <w:p w14:paraId="639B898D" w14:textId="784DF610" w:rsidR="00492F3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Low-susceptibility areas predominate in the northeastern and relatively flat sectors of the study area. These areas are typically regions of low predictive uncertainty, providing confidence in mapped stable terrain. Nonetheless, neighborhoods of moderate uncertainty on low-susceptibility classes reveal model sensitivity near the susceptibility threshold for isolated sectors.</w:t>
      </w:r>
    </w:p>
    <w:p w14:paraId="7309463C" w14:textId="6362E288" w:rsidR="005B28E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Overall, the bivariate analysis shows that most high-susceptibility clusters are underpinned by relatively low uncertainty, providing greater </w:t>
      </w:r>
      <w:r>
        <w:rPr>
          <w:rFonts w:ascii="Arial" w:hAnsi="Arial" w:cs="Arial"/>
          <w:color w:val="000000"/>
          <w:sz w:val="21"/>
          <w:szCs w:val="21"/>
        </w:rPr>
        <w:t xml:space="preserve">confidence in </w:t>
      </w:r>
      <w:r>
        <w:rPr>
          <w:rFonts w:ascii="Arial" w:hAnsi="Arial" w:cs="Arial"/>
          <w:color w:val="FF0000"/>
          <w:sz w:val="21"/>
          <w:szCs w:val="21"/>
        </w:rPr>
        <w:t xml:space="preserve">susceptibility</w:t>
      </w:r>
      <w:r>
        <w:rPr>
          <w:rFonts w:ascii="Arial" w:hAnsi="Arial" w:cs="Arial"/>
          <w:color w:val="000000"/>
          <w:sz w:val="21"/>
          <w:szCs w:val="21"/>
        </w:rPr>
        <w:t xml:space="preserve"> delineation</w:t>
      </w:r>
      <w:r>
        <w:rPr>
          <w:rFonts w:ascii="Arial" w:hAnsi="Arial" w:cs="Arial"/>
          <w:color w:val="000000"/>
          <w:sz w:val="21"/>
          <w:szCs w:val="21"/>
        </w:rPr>
        <w:t xml:space="preserve"> while transparently highlighting areas where predictive certainty is lessened.</w:t>
      </w:r>
    </w:p>
    <w:p w14:paraId="45D86568" w14:textId="77777777" w:rsidR="005B28E8" w:rsidRPr="00340959" w:rsidRDefault="00000000" w:rsidP="00340959">
      <w:pPr>
        <w:spacing w:before="0" w:after="0" w:line="360" w:lineRule="auto"/>
        <w:jc w:val="center"/>
        <w:rPr>
          <w:rFonts w:ascii="Arial" w:hAnsi="Arial" w:cs="Arial"/>
          <w:sz w:val="21"/>
          <w:szCs w:val="21"/>
        </w:rPr>
      </w:pPr>
      <w:r>
        <w:rPr>
          <w:rFonts w:ascii="Arial" w:hAnsi="Arial" w:cs="Arial"/>
          <w:noProof/>
          <w:sz w:val="21"/>
          <w:szCs w:val="21"/>
        </w:rPr>
        <w:lastRenderedPageBreak/>
        <w:drawing>
          <wp:inline distT="0" distB="0" distL="0" distR="0" wp14:anchorId="1155E356" wp14:editId="0F4C9199">
            <wp:extent cx="6297808" cy="8153400"/>
            <wp:effectExtent l="0" t="0" r="8255" b="0"/>
            <wp:docPr id="1921723542" name="Picture 192172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02470" cy="8159436"/>
                    </a:xfrm>
                    <a:prstGeom prst="rect">
                      <a:avLst/>
                    </a:prstGeom>
                  </pic:spPr>
                </pic:pic>
              </a:graphicData>
            </a:graphic>
          </wp:inline>
        </w:drawing>
      </w:r>
    </w:p>
    <w:p w14:paraId="0005B86C" w14:textId="6E6C1294" w:rsidR="00492F38" w:rsidRDefault="00492F38" w:rsidP="006D4BC0">
      <w:pPr>
        <w:spacing w:before="0" w:after="0" w:line="276" w:lineRule="auto"/>
        <w:jc w:val="center"/>
        <w:rPr>
          <w:rFonts w:ascii="Arial" w:hAnsi="Arial" w:cs="Arial"/>
          <w:i/>
          <w:iCs/>
          <w:color w:val="000000"/>
          <w:sz w:val="21"/>
          <w:szCs w:val="21"/>
        </w:rPr>
      </w:pPr>
      <w:r>
        <w:rPr>
          <w:rFonts w:ascii="Arial" w:hAnsi="Arial" w:cs="Arial"/>
          <w:i/>
          <w:iCs/>
          <w:color w:val="000000"/>
          <w:sz w:val="21"/>
          <w:szCs w:val="21"/>
        </w:rPr>
        <w:t xml:space="preserve">Figure 10: Bivariate landslide susceptibility–uncertainty map based on deployed Gaussian Process Classifier. Susceptibility (vertical axis) and predictive uncertainty (horizontal axis) were categorized into three ordinal classes using quantile thresholds, and the resulting categories were combined into a 3 × 3 matrix. The color of the squares indicates the combined classification of susceptibility and predictive uncertainty.</w:t>
      </w:r>
    </w:p>
    <w:p w14:paraId="283D53D5" w14:textId="77777777" w:rsidR="001F2FF7" w:rsidRPr="006D4BC0" w:rsidRDefault="001F2FF7" w:rsidP="006D4BC0">
      <w:pPr>
        <w:spacing w:before="0" w:after="0" w:line="276" w:lineRule="auto"/>
        <w:jc w:val="center"/>
        <w:rPr>
          <w:rFonts w:ascii="Arial" w:hAnsi="Arial" w:cs="Arial"/>
          <w:i/>
          <w:iCs/>
          <w:color w:val="000000"/>
          <w:sz w:val="21"/>
          <w:szCs w:val="21"/>
        </w:rPr>
      </w:pPr>
    </w:p>
    <w:p w14:paraId="255D4BF2" w14:textId="77777777" w:rsidR="0058719A" w:rsidRDefault="00492F38" w:rsidP="001F2FF7">
      <w:pPr>
        <w:spacing w:before="0" w:after="0" w:line="360" w:lineRule="auto"/>
        <w:jc w:val="both"/>
        <w:rPr>
          <w:rFonts w:ascii="Arial" w:hAnsi="Arial" w:cs="Arial"/>
          <w:color w:val="000000"/>
          <w:sz w:val="21"/>
          <w:szCs w:val="21"/>
        </w:rPr>
      </w:pPr>
      <w:r>
        <w:rPr>
          <w:rFonts w:ascii="Arial" w:hAnsi="Arial" w:cs="Arial"/>
          <w:color w:val="000000"/>
          <w:sz w:val="21"/>
          <w:szCs w:val="21"/>
        </w:rPr>
        <w:lastRenderedPageBreak/>
        <w:t xml:space="preserve">Susceptibility stratification is robust, as shown by SCAI analysis (Table 4). More specifically, the Very High class was predictive because it accounted for 78.71% of all mapped landslides but covered only 9.47% of the study area. On the other hand, the Very Low and Low classes, which together cover over 50% of the area, account for only 1.3% of the landslides. The significant decrease in SCAI from Very Low (45.53) to Very High (0.12) indicates good spatial discrimination and the </w:t>
      </w:r>
      <w:r>
        <w:rPr>
          <w:rFonts w:ascii="Arial" w:hAnsi="Arial" w:cs="Arial"/>
          <w:color w:val="000000"/>
          <w:sz w:val="21"/>
          <w:szCs w:val="21"/>
        </w:rPr>
        <w:t xml:space="preserve">importance of </w:t>
      </w:r>
      <w:r>
        <w:rPr>
          <w:rFonts w:ascii="Arial" w:hAnsi="Arial" w:cs="Arial"/>
          <w:color w:val="FF0000"/>
          <w:sz w:val="21"/>
          <w:szCs w:val="21"/>
        </w:rPr>
        <w:t xml:space="preserve">susceptibility</w:t>
      </w:r>
      <w:r>
        <w:rPr>
          <w:rFonts w:ascii="Arial" w:hAnsi="Arial" w:cs="Arial"/>
          <w:color w:val="000000"/>
          <w:sz w:val="21"/>
          <w:szCs w:val="21"/>
        </w:rPr>
        <w:t xml:space="preserve"> zonation</w:t>
      </w:r>
      <w:r>
        <w:rPr>
          <w:rFonts w:ascii="Arial" w:hAnsi="Arial" w:cs="Arial"/>
          <w:color w:val="000000"/>
          <w:sz w:val="21"/>
          <w:szCs w:val="21"/>
        </w:rPr>
        <w:t xml:space="preserve">.</w:t>
      </w:r>
    </w:p>
    <w:p w14:paraId="17D22FA6" w14:textId="25BA35D9" w:rsidR="005B28E8" w:rsidRPr="005E73F7" w:rsidRDefault="00000000" w:rsidP="00335676">
      <w:pPr>
        <w:spacing w:before="0" w:after="0" w:line="360" w:lineRule="auto"/>
        <w:jc w:val="center"/>
        <w:rPr>
          <w:rFonts w:ascii="Arial" w:hAnsi="Arial" w:cs="Arial"/>
          <w:sz w:val="21"/>
          <w:szCs w:val="21"/>
        </w:rPr>
      </w:pPr>
      <w:r>
        <w:rPr>
          <w:rFonts w:ascii="Arial" w:hAnsi="Arial" w:cs="Arial"/>
          <w:color w:val="000000"/>
          <w:sz w:val="21"/>
          <w:szCs w:val="21"/>
        </w:rPr>
        <w:t>Table 4 SCAI by susceptibility tier</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1304"/>
        <w:gridCol w:w="2143"/>
        <w:gridCol w:w="2829"/>
        <w:gridCol w:w="1004"/>
      </w:tblGrid>
      <w:tr w:rsidR="005B28E8" w:rsidRPr="00340959" w14:paraId="36C0A8ED" w14:textId="77777777" w:rsidTr="00335676">
        <w:trPr>
          <w:trHeight w:val="288"/>
          <w:jc w:val="center"/>
        </w:trPr>
        <w:tc>
          <w:tcPr>
            <w:tcW w:w="0" w:type="auto"/>
            <w:vAlign w:val="center"/>
          </w:tcPr>
          <w:p w14:paraId="757AC26D"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Tier</w:t>
            </w:r>
          </w:p>
        </w:tc>
        <w:tc>
          <w:tcPr>
            <w:tcW w:w="0" w:type="auto"/>
            <w:vAlign w:val="center"/>
          </w:tcPr>
          <w:p w14:paraId="0181C89C"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Area %</w:t>
            </w:r>
          </w:p>
        </w:tc>
        <w:tc>
          <w:tcPr>
            <w:tcW w:w="0" w:type="auto"/>
            <w:vAlign w:val="center"/>
          </w:tcPr>
          <w:p w14:paraId="6AF9C9A2"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Landslide %</w:t>
            </w:r>
          </w:p>
        </w:tc>
        <w:tc>
          <w:tcPr>
            <w:tcW w:w="0" w:type="auto"/>
            <w:vAlign w:val="center"/>
          </w:tcPr>
          <w:p w14:paraId="0BB93834"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Landslide Count</w:t>
            </w:r>
          </w:p>
        </w:tc>
        <w:tc>
          <w:tcPr>
            <w:tcW w:w="0" w:type="auto"/>
            <w:vAlign w:val="center"/>
          </w:tcPr>
          <w:p w14:paraId="5BADD491"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SCAI</w:t>
            </w:r>
          </w:p>
        </w:tc>
      </w:tr>
      <w:tr w:rsidR="005B28E8" w:rsidRPr="00340959" w14:paraId="37E18EF7" w14:textId="77777777" w:rsidTr="00335676">
        <w:trPr>
          <w:trHeight w:val="288"/>
          <w:jc w:val="center"/>
        </w:trPr>
        <w:tc>
          <w:tcPr>
            <w:tcW w:w="0" w:type="auto"/>
            <w:vAlign w:val="center"/>
          </w:tcPr>
          <w:p w14:paraId="181D554E"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Very Low</w:t>
            </w:r>
          </w:p>
        </w:tc>
        <w:tc>
          <w:tcPr>
            <w:tcW w:w="0" w:type="auto"/>
            <w:vAlign w:val="center"/>
          </w:tcPr>
          <w:p w14:paraId="385E5692"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29.37</w:t>
            </w:r>
          </w:p>
        </w:tc>
        <w:tc>
          <w:tcPr>
            <w:tcW w:w="0" w:type="auto"/>
            <w:vAlign w:val="center"/>
          </w:tcPr>
          <w:p w14:paraId="162BF296"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0.65</w:t>
            </w:r>
          </w:p>
        </w:tc>
        <w:tc>
          <w:tcPr>
            <w:tcW w:w="0" w:type="auto"/>
            <w:vAlign w:val="center"/>
          </w:tcPr>
          <w:p w14:paraId="2F062C46"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1</w:t>
            </w:r>
          </w:p>
        </w:tc>
        <w:tc>
          <w:tcPr>
            <w:tcW w:w="0" w:type="auto"/>
            <w:vAlign w:val="center"/>
          </w:tcPr>
          <w:p w14:paraId="1ADD53B9"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45.53</w:t>
            </w:r>
          </w:p>
        </w:tc>
      </w:tr>
      <w:tr w:rsidR="005B28E8" w:rsidRPr="00340959" w14:paraId="4CA85A9B" w14:textId="77777777" w:rsidTr="00335676">
        <w:trPr>
          <w:trHeight w:val="288"/>
          <w:jc w:val="center"/>
        </w:trPr>
        <w:tc>
          <w:tcPr>
            <w:tcW w:w="0" w:type="auto"/>
            <w:vAlign w:val="center"/>
          </w:tcPr>
          <w:p w14:paraId="63365A64"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Low</w:t>
            </w:r>
          </w:p>
        </w:tc>
        <w:tc>
          <w:tcPr>
            <w:tcW w:w="0" w:type="auto"/>
            <w:vAlign w:val="center"/>
          </w:tcPr>
          <w:p w14:paraId="3736A52A"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23.16</w:t>
            </w:r>
          </w:p>
        </w:tc>
        <w:tc>
          <w:tcPr>
            <w:tcW w:w="0" w:type="auto"/>
            <w:vAlign w:val="center"/>
          </w:tcPr>
          <w:p w14:paraId="466B193E"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0.65</w:t>
            </w:r>
          </w:p>
        </w:tc>
        <w:tc>
          <w:tcPr>
            <w:tcW w:w="0" w:type="auto"/>
            <w:vAlign w:val="center"/>
          </w:tcPr>
          <w:p w14:paraId="15B44953"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1</w:t>
            </w:r>
          </w:p>
        </w:tc>
        <w:tc>
          <w:tcPr>
            <w:tcW w:w="0" w:type="auto"/>
            <w:vAlign w:val="center"/>
          </w:tcPr>
          <w:p w14:paraId="406DBAE9"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35.90</w:t>
            </w:r>
          </w:p>
        </w:tc>
      </w:tr>
      <w:tr w:rsidR="005B28E8" w:rsidRPr="00340959" w14:paraId="0CAFECBF" w14:textId="77777777" w:rsidTr="00335676">
        <w:trPr>
          <w:trHeight w:val="288"/>
          <w:jc w:val="center"/>
        </w:trPr>
        <w:tc>
          <w:tcPr>
            <w:tcW w:w="0" w:type="auto"/>
            <w:vAlign w:val="center"/>
          </w:tcPr>
          <w:p w14:paraId="71A8BD9A"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Moderate</w:t>
            </w:r>
          </w:p>
        </w:tc>
        <w:tc>
          <w:tcPr>
            <w:tcW w:w="0" w:type="auto"/>
            <w:vAlign w:val="center"/>
          </w:tcPr>
          <w:p w14:paraId="717EC038"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24.04</w:t>
            </w:r>
          </w:p>
        </w:tc>
        <w:tc>
          <w:tcPr>
            <w:tcW w:w="0" w:type="auto"/>
            <w:vAlign w:val="center"/>
          </w:tcPr>
          <w:p w14:paraId="26A1072D"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5.81</w:t>
            </w:r>
          </w:p>
        </w:tc>
        <w:tc>
          <w:tcPr>
            <w:tcW w:w="0" w:type="auto"/>
            <w:vAlign w:val="center"/>
          </w:tcPr>
          <w:p w14:paraId="0A9D134E"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9</w:t>
            </w:r>
          </w:p>
        </w:tc>
        <w:tc>
          <w:tcPr>
            <w:tcW w:w="0" w:type="auto"/>
            <w:vAlign w:val="center"/>
          </w:tcPr>
          <w:p w14:paraId="46FA5587"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4.14</w:t>
            </w:r>
          </w:p>
        </w:tc>
      </w:tr>
      <w:tr w:rsidR="005B28E8" w:rsidRPr="00340959" w14:paraId="0F50187A" w14:textId="77777777" w:rsidTr="00335676">
        <w:trPr>
          <w:trHeight w:val="288"/>
          <w:jc w:val="center"/>
        </w:trPr>
        <w:tc>
          <w:tcPr>
            <w:tcW w:w="0" w:type="auto"/>
            <w:vAlign w:val="center"/>
          </w:tcPr>
          <w:p w14:paraId="541A008D"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High</w:t>
            </w:r>
          </w:p>
        </w:tc>
        <w:tc>
          <w:tcPr>
            <w:tcW w:w="0" w:type="auto"/>
            <w:vAlign w:val="center"/>
          </w:tcPr>
          <w:p w14:paraId="0493FEAA"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13.96</w:t>
            </w:r>
          </w:p>
        </w:tc>
        <w:tc>
          <w:tcPr>
            <w:tcW w:w="0" w:type="auto"/>
            <w:vAlign w:val="center"/>
          </w:tcPr>
          <w:p w14:paraId="3C9D6047"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14.19</w:t>
            </w:r>
          </w:p>
        </w:tc>
        <w:tc>
          <w:tcPr>
            <w:tcW w:w="0" w:type="auto"/>
            <w:vAlign w:val="center"/>
          </w:tcPr>
          <w:p w14:paraId="7C83572F"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22</w:t>
            </w:r>
          </w:p>
        </w:tc>
        <w:tc>
          <w:tcPr>
            <w:tcW w:w="0" w:type="auto"/>
            <w:vAlign w:val="center"/>
          </w:tcPr>
          <w:p w14:paraId="55B4ACA5"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0.98</w:t>
            </w:r>
          </w:p>
        </w:tc>
      </w:tr>
      <w:tr w:rsidR="005B28E8" w:rsidRPr="00340959" w14:paraId="0FC624D9" w14:textId="77777777" w:rsidTr="00335676">
        <w:trPr>
          <w:trHeight w:val="288"/>
          <w:jc w:val="center"/>
        </w:trPr>
        <w:tc>
          <w:tcPr>
            <w:tcW w:w="0" w:type="auto"/>
            <w:vAlign w:val="center"/>
          </w:tcPr>
          <w:p w14:paraId="0EC7AE54"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Very High</w:t>
            </w:r>
          </w:p>
        </w:tc>
        <w:tc>
          <w:tcPr>
            <w:tcW w:w="0" w:type="auto"/>
            <w:vAlign w:val="center"/>
          </w:tcPr>
          <w:p w14:paraId="1D779439"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9.47</w:t>
            </w:r>
          </w:p>
        </w:tc>
        <w:tc>
          <w:tcPr>
            <w:tcW w:w="0" w:type="auto"/>
            <w:vAlign w:val="center"/>
          </w:tcPr>
          <w:p w14:paraId="0F7E2208"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78.71</w:t>
            </w:r>
          </w:p>
        </w:tc>
        <w:tc>
          <w:tcPr>
            <w:tcW w:w="0" w:type="auto"/>
            <w:vAlign w:val="center"/>
          </w:tcPr>
          <w:p w14:paraId="74EC3FC8"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122</w:t>
            </w:r>
          </w:p>
        </w:tc>
        <w:tc>
          <w:tcPr>
            <w:tcW w:w="0" w:type="auto"/>
            <w:vAlign w:val="center"/>
          </w:tcPr>
          <w:p w14:paraId="2657C24F" w14:textId="77777777" w:rsidR="005B28E8" w:rsidRPr="00340959" w:rsidRDefault="00000000" w:rsidP="00335676">
            <w:pPr>
              <w:spacing w:before="0" w:after="0" w:line="276" w:lineRule="auto"/>
              <w:jc w:val="center"/>
              <w:rPr>
                <w:rFonts w:ascii="Arial" w:hAnsi="Arial" w:cs="Arial"/>
                <w:sz w:val="21"/>
                <w:szCs w:val="21"/>
              </w:rPr>
            </w:pPr>
            <w:r>
              <w:rPr>
                <w:rFonts w:ascii="Arial" w:hAnsi="Arial" w:cs="Arial"/>
                <w:color w:val="000000"/>
                <w:sz w:val="21"/>
                <w:szCs w:val="21"/>
              </w:rPr>
              <w:t>0.12</w:t>
            </w:r>
          </w:p>
        </w:tc>
      </w:tr>
    </w:tbl>
    <w:p w14:paraId="38DF00A4" w14:textId="77777777" w:rsidR="00E104DB" w:rsidRPr="00340959" w:rsidRDefault="00E104DB" w:rsidP="00340959">
      <w:pPr>
        <w:pStyle w:val="Heading1"/>
        <w:spacing w:before="0" w:after="0" w:line="360" w:lineRule="auto"/>
        <w:jc w:val="both"/>
        <w:rPr>
          <w:rFonts w:ascii="Arial" w:hAnsi="Arial" w:cs="Arial"/>
          <w:color w:val="000000"/>
          <w:sz w:val="21"/>
          <w:szCs w:val="21"/>
        </w:rPr>
      </w:pPr>
    </w:p>
    <w:p w14:paraId="3F804BA2" w14:textId="322E64D5" w:rsidR="005B28E8" w:rsidRPr="005E73F7" w:rsidRDefault="00000000" w:rsidP="00340959">
      <w:pPr>
        <w:pStyle w:val="Heading1"/>
        <w:spacing w:before="0" w:after="0" w:line="360" w:lineRule="auto"/>
        <w:rPr>
          <w:rFonts w:ascii="Arial" w:hAnsi="Arial" w:cs="Arial"/>
          <w:b/>
          <w:bCs/>
          <w:color w:val="7030A0"/>
          <w:sz w:val="21"/>
          <w:szCs w:val="21"/>
        </w:rPr>
      </w:pPr>
      <w:r>
        <w:rPr>
          <w:rFonts w:ascii="Arial" w:hAnsi="Arial" w:cs="Arial"/>
          <w:b/>
          <w:bCs/>
          <w:color w:val="7030A0"/>
          <w:sz w:val="21"/>
          <w:szCs w:val="21"/>
        </w:rPr>
        <w:t>Discussion</w:t>
      </w:r>
    </w:p>
    <w:p w14:paraId="7D1BC178" w14:textId="73CB595C" w:rsidR="00492F3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comparative evaluation of deterministic and Bayesian classifiers reveals the trade-off between discriminative strength and probabilistic reliability. Random Forest showed the best discrimination on the independent holdout dataset, confirming its ability to model nonlinear interactions between geomorphological and hydrological predictors. Although the Random Forest achieved the highest ROC-AUC and MCC scores, the Gaussian Process Classifier (GPC) exhibited the lowest Expected Calibration Error, indicating the best agreement between predicted probabilities and observed landslide frequency. Hence, the multi-criteria framework with weights focuses on achieving balanced performance across discrimination, calibration, and spatial robustness to select which one to deploy from GPC. Its selection in the current study was additionally justified by its improved predictive performance and lower false-positive rates compared with other models, resulting in a more reliable and robust evaluation of landslide susceptibility </w:t>
        <w:fldChar w:fldCharType="begin"/>
        <w:instrText xml:space="preserve"> ADDIN ZOTERO_ITEM CSL_CITATION {"citationID":"FwkptklF","properties":{"formattedCitation":"(Singh et al. 2025)","plainCitation":"(Singh et al. 2025)","noteIndex":0},"citationItems":[{"id":164,"uris":["http://zotero.org/users/local/emosa1lm/items/TEZX9J5N"],"itemData":{"id":164,"type":"article-journal","abstract":"Abstract Invasive species management is often constrained by limited resources and complicated by ecological and socio-economic variability across landscapes, leading to inconsistent outcomes. We use water hyacinth ( Pontederia crassipes ) in South Africa as a case study to demonstrate how combining earth observation (EO) data, species distribution models (SDMs), and explainable artificial intelligence (xAI) can support more spatially explicit and context-sensitive management strategies. Despite decades of control efforts, water hyacinth remains widespread, with its proliferation shaped by ecological and socio-economic contexts in which the weed proliferates. Using SHapley Additive exPlanations (SHAP), we studied the environmental and socio-economic contexts impacting water hyacinth prevalence across multiple spatial scales in South Africa. Consistent patterns emerged with known physiological constraints, such as minimum temperature, while novel spatial trends were revealed—highlighting temperature effects along the coast and the role of vegetation type in inland regions. These insights offer opportunities for targeted fieldwork to investigate emergent non-linear relationships and interaction effects between covariates. The spatially explicit outputs, covering all South African water bodies, provide a low-cost, scalable tool to guide the prioritization of risk, inform monitoring and early detection efforts, and support the selection of locally appropriate management strategies. While focused on water hyacinth, our approach is generalizable to other invasive species, illustrating the value of integrating EO data and xAI to enhance understanding of species-environment dynamics and enable adaptive, data-driven intervention planning.","container-title":"Environmental Monitoring and Assessment","DOI":"10.1007/s10661-025-14517-1","ISSN":"0167-6369, 1573-2959","issue":"11","PMID":"41044279","publisher":"Springer Science+Business Media","title":"An earth observation and explainable machine learning approach for determining the drivers of invasive species — a water hyacinth case study","URL":"https://doi.org/10.1007/s10661-025-14517-1","volume":"197","author":[{"family":"Singh","given":"Geethen"},{"family":"Rosman","given":"Benjamin"},{"family":"Byrne","given":"Marcus J."},{"family":"Reynolds","given":"Chevonne"}],"issued":{"date-parts":[["2025",10]]}}}],"schema":"https://github.com/citation-style-language/schema/raw/master/csl-citation.json"} </w:instrText>
        <w:fldChar w:fldCharType="separate"/>
      </w:r>
      <w:r>
        <w:rPr>
          <w:rFonts w:ascii="Arial" w:hAnsi="Arial" w:cs="Arial"/>
          <w:sz w:val="21"/>
        </w:rPr>
        <w:t>(Singh et al. 2025)</w:t>
      </w:r>
      <w:r>
        <w:rPr>
          <w:rFonts w:ascii="Arial" w:hAnsi="Arial" w:cs="Arial"/>
          <w:color w:val="000000"/>
          <w:sz w:val="21"/>
          <w:szCs w:val="21"/>
        </w:rPr>
        <w:fldChar w:fldCharType="end"/>
        <w:t xml:space="preserve">. </w:t>
      </w:r>
    </w:p>
    <w:p w14:paraId="404643FC" w14:textId="5EA61810" w:rsidR="005B28E8" w:rsidRPr="00340959" w:rsidRDefault="00492F38"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The explicit comparison between repeated stratified cross-validation and spatial block cross-validation highlights the necessity of geographically realistic validation schemes </w:t>
        <w:fldChar w:fldCharType="begin"/>
        <w:instrText xml:space="preserve"> ADDIN ZOTERO_ITEM CSL_CITATION {"citationID":"8k7Z7Vq9","properties":{"formattedCitation":"(Wang et al. 2023)","plainCitation":"(Wang et al. 2023)","noteIndex":0},"citationItems":[{"id":179,"uris":["http://zotero.org/users/local/emosa1lm/items/583VG9NB"],"itemData":{"id":179,"type":"article-journal","abstract":"Random cross-validation (CV) is often used to evaluate geospatial machine learning models, particularly when a limited amount of sample data are available, and collecting an extra test set is unfeasible. However, the prediction locations can be substantially different from the available sample, leading to over-optimistic evaluation results. This has fostered the development of spatial CV methods. Yet these methods only focus on spatial autocorrelation and cannot sufficiently guarantee that the validation subset is a good proxy of the test set with significant differences. In this paper, we propose the spatial+ cross-validation (SP-CV) method. This method, which considers both the geographic and feature spaces, is composed of two stages. The first stage addresses spatial autocorrelation issues by using agglomerative hierarchical clustering to divide the available sample into blocks. The second stage deals with multiple sources of differences. It uses cluster ensembles to split the blocks into training and validation folds based on the locations of the sample data and the values of the covariates and target variable. The proposed method is compared against random and block CV methods in a series of experiments with Amazon basin above ground biomass and California houseprice datasets. Our results show that SP-CV provided the smallest error differences with respect to the reference error. This means that SP-CV produced more representative splits and led to more reliable model evaluations. It suggests that a reliable model evaluation requires to consider both the geographic and the feature spaces in a comprehensive manner.","container-title":"International Journal of Applied Earth Observation and Geoinformation","DOI":"10.1016/j.jag.2023.103364","ISSN":"1569-8432, 1872-826X","page":"103364-103364","publisher":"Elsevier BV","title":"Spatial+: A new cross-validation method to evaluate geospatial machine learning models","volume":"121","author":[{"family"</w:instrText>
      </w:r>
      <w:r>
        <w:rPr>
          <w:rFonts w:ascii="Arial" w:hAnsi="Arial" w:cs="Arial" w:hint="eastAsia"/>
          <w:color w:val="000000"/>
          <w:sz w:val="21"/>
          <w:szCs w:val="21"/>
        </w:rPr>
        <w:instrText>:"Wang","given":"Yanwen"},{"family":"Khodadadzadeh","given":"Mahdi"},{"family":"Zurita</w:instrText>
      </w:r>
      <w:r>
        <w:rPr>
          <w:rFonts w:ascii="Cambria Math" w:hAnsi="Cambria Math" w:cs="Cambria Math"/>
          <w:color w:val="000000"/>
          <w:sz w:val="21"/>
          <w:szCs w:val="21"/>
        </w:rPr>
        <w:instrText>‐</w:instrText>
      </w:r>
      <w:r>
        <w:rPr>
          <w:rFonts w:ascii="Arial" w:hAnsi="Arial" w:cs="Arial" w:hint="eastAsia"/>
          <w:color w:val="000000"/>
          <w:sz w:val="21"/>
          <w:szCs w:val="21"/>
        </w:rPr>
        <w:instrText xml:space="preserve">Milla","given":"R."}],"issued":{"date-parts":[["2023",5]]}}}],"schema":"https://github.com/citation-style-language/schema/raw/master/csl-citation.json"} </w:instrText>
      </w:r>
      <w:r>
        <w:rPr>
          <w:rFonts w:ascii="Arial" w:hAnsi="Arial" w:cs="Arial"/>
          <w:color w:val="000000"/>
          <w:sz w:val="21"/>
          <w:szCs w:val="21"/>
        </w:rPr>
        <w:fldChar w:fldCharType="separate"/>
      </w:r>
      <w:r>
        <w:rPr>
          <w:rFonts w:ascii="Arial" w:hAnsi="Arial" w:cs="Arial"/>
          <w:sz w:val="21"/>
        </w:rPr>
        <w:t>(Wang et al. 2023)</w:t>
      </w:r>
      <w:r>
        <w:rPr>
          <w:rFonts w:ascii="Arial" w:hAnsi="Arial" w:cs="Arial"/>
          <w:color w:val="000000"/>
          <w:sz w:val="21"/>
          <w:szCs w:val="21"/>
        </w:rPr>
        <w:fldChar w:fldCharType="end"/>
        <w:t xml:space="preserve">. Performance under spatial blocking validates that random cross-validation overestimates metrics due to spatial autocorrelation effects in training and testing samples </w:t>
        <w:fldChar w:fldCharType="begin"/>
        <w:instrText xml:space="preserve"> ADDIN ZOTERO_ITEM CSL_CITATION {"citationID":"Aj0wnWDP","properties":{"formattedCitation":"(Wang et al. 2023)","plainCitation":"(Wang et al. 2023)","noteIndex":0},"citationItems":[{"id":179,"uris":["http://zotero.org/users/local/emosa1lm/items/583VG9NB"],"itemData":{"id":179,"type":"article-journal","abstract":"Random cross-validation (CV) is often used to evaluate geospatial machine learning models, particularly when a limited amount of sample data are available, and collecting an extra test set is unfeasible. However, the prediction locations can be substantially different from the available sample, leading to over-optimistic evaluation results. This has fostered the development of spatial CV methods. Yet these methods only focus on spatial autocorrelation and cannot sufficiently guarantee that the validation subset is a good proxy of the test set with significant differences. In this paper, we propose the spatial+ cross-validation (SP-CV) method. This method, which considers both the geographic and feature spaces, is composed of two stages. The first stage addresses spatial autocorrelation issues by using agglomerative hierarchical clustering to divide the available sample into blocks. The second stage deals with multiple sources of differences. It uses cluster ensembles to split the blocks into training and validation folds based on the locations of the sample data and the values of the covariates and target variable. The proposed method is compared against random and block CV methods in a series of experiments with Amazon basin above ground biomass and California houseprice datasets. Our results show that SP-CV provided the smallest error differences with respect to the reference error. This means that SP-CV produced more representative splits and led to more reliable model evaluations. It suggests that a reliable model evaluation requires to consider both the geographic and the feature spaces in a comprehensive manner.","container-title":"International Journal of Applied Earth Observation and Geoinformation","DOI":"10.1016/j.jag.2023.103364","ISSN":"1569-8432, 1872-826X","page":"103364-103364","publisher":"Elsevier BV","title":"Spatial+: A new cross-validation method to evaluate geospatial machine learning models","volume":"121","author":[{"family"</w:instrText>
      </w:r>
      <w:r>
        <w:rPr>
          <w:rFonts w:ascii="Arial" w:hAnsi="Arial" w:cs="Arial" w:hint="eastAsia"/>
          <w:color w:val="000000"/>
          <w:sz w:val="21"/>
          <w:szCs w:val="21"/>
        </w:rPr>
        <w:instrText>:"Wang","given":"Yanwen"},{"family":"Khodadadzadeh","given":"Mahdi"},{"family":"Zurita</w:instrText>
      </w:r>
      <w:r>
        <w:rPr>
          <w:rFonts w:ascii="Cambria Math" w:hAnsi="Cambria Math" w:cs="Cambria Math"/>
          <w:color w:val="000000"/>
          <w:sz w:val="21"/>
          <w:szCs w:val="21"/>
        </w:rPr>
        <w:instrText>‐</w:instrText>
      </w:r>
      <w:r>
        <w:rPr>
          <w:rFonts w:ascii="Arial" w:hAnsi="Arial" w:cs="Arial" w:hint="eastAsia"/>
          <w:color w:val="000000"/>
          <w:sz w:val="21"/>
          <w:szCs w:val="21"/>
        </w:rPr>
        <w:instrText xml:space="preserve">Milla","given":"R."}],"issued":{"date-parts":[["2023",5]]}}}],"schema":"https://github.com/citation-style-language/schema/raw/master/csl-citation.json"} </w:instrText>
      </w:r>
      <w:r>
        <w:rPr>
          <w:rFonts w:ascii="Arial" w:hAnsi="Arial" w:cs="Arial"/>
          <w:color w:val="000000"/>
          <w:sz w:val="21"/>
          <w:szCs w:val="21"/>
        </w:rPr>
        <w:fldChar w:fldCharType="separate"/>
      </w:r>
      <w:r>
        <w:rPr>
          <w:rFonts w:ascii="Arial" w:hAnsi="Arial" w:cs="Arial"/>
          <w:sz w:val="21"/>
        </w:rPr>
        <w:t>(Wang et al. 2023)</w:t>
      </w:r>
      <w:r>
        <w:rPr>
          <w:rFonts w:ascii="Arial" w:hAnsi="Arial" w:cs="Arial"/>
          <w:color w:val="000000"/>
          <w:sz w:val="21"/>
          <w:szCs w:val="21"/>
        </w:rPr>
        <w:fldChar w:fldCharType="end"/>
        <w:t xml:space="preserve">. However, differences between models persisted across test schemes, indicating stable model behavior. Bayesian models can further reduce overconfidence by representing the uncertainty in extrapolated regions </w:t>
        <w:fldChar w:fldCharType="begin"/>
        <w:instrText xml:space="preserve"> ADDIN ZOTERO_ITEM CSL_CITATION {"citationID":"Wn587Bqm","properties":{"formattedCitation":"(Naceur et al. 2026)","plainCitation":"(Naceur et al. 2026)","noteIndex":0},"citationItems":[{"id":177,"uris":["http://zotero.org/users/local/emosa1lm/items/5A5PI5QE"],"itemData":{"id":177,"type":"article-journal","container-title":"Geomatics Natural Hazards and Risk","DOI":"10.1080/19475705.2026.2625403","ISSN":"1947-5705, 1947-5713","issue":"1","publisher":"Taylor &amp; Francis","title":"Integrating geospatial data and hybrid machine learning models for landslide susceptibility assessment in semi-arid environments","URL":"https://doi.org/10.1080/19475705.2026.2625403","volume":"17","author":[{"family":"Naceur","given":"Hassan Ait"},{"family":"Igmoullan","given":"Brahim"},{"family":"Namous","given":"Mustapha"},{"family":"Lassiane","given":"Youssef"},{"family":"Benazun","given":"Hoda"},{"family":"Mallick","given":"Javed"},{"family":"Hang","given":"Hoang Thi"},{"family":"Abdo","given":"Hazem Ghassan"}],"issued":{"date-parts":[["2026",2]]}}}],"schema":"https://github.com/citation-style-language/schema/raw/master/csl-citation.json"} </w:instrText>
        <w:fldChar w:fldCharType="separate"/>
      </w:r>
      <w:r>
        <w:rPr>
          <w:rFonts w:ascii="Arial" w:hAnsi="Arial" w:cs="Arial"/>
          <w:sz w:val="21"/>
        </w:rPr>
        <w:t>(Naceur et al. 2026)</w:t>
      </w:r>
      <w:r>
        <w:rPr>
          <w:rFonts w:ascii="Arial" w:hAnsi="Arial" w:cs="Arial"/>
          <w:color w:val="000000"/>
          <w:sz w:val="21"/>
          <w:szCs w:val="21"/>
        </w:rPr>
        <w:fldChar w:fldCharType="end"/>
        <w:t xml:space="preserve">. The increased predictive variance at susceptibility transition zones indicates either insufficient local training support or lower posterior certainty.</w:t>
      </w:r>
    </w:p>
    <w:p w14:paraId="3C9BF991" w14:textId="77777777" w:rsidR="00D53A16" w:rsidRPr="00340959" w:rsidRDefault="00D53A16" w:rsidP="00340959">
      <w:pPr>
        <w:spacing w:before="0" w:after="0" w:line="360" w:lineRule="auto"/>
        <w:jc w:val="both"/>
        <w:rPr>
          <w:rFonts w:ascii="Arial" w:hAnsi="Arial" w:cs="Arial"/>
          <w:sz w:val="21"/>
          <w:szCs w:val="21"/>
        </w:rPr>
      </w:pPr>
      <w:r>
        <w:rPr>
          <w:rFonts w:ascii="Arial" w:hAnsi="Arial" w:cs="Arial"/>
          <w:color w:val="000000"/>
          <w:sz w:val="21"/>
          <w:szCs w:val="21"/>
        </w:rPr>
        <w:t xml:space="preserve">The bivariate susceptibility–uncertainty representation </w:t>
      </w:r>
      <w:r>
        <w:rPr>
          <w:rFonts w:ascii="Arial" w:hAnsi="Arial" w:cs="Arial"/>
          <w:color w:val="000000"/>
          <w:sz w:val="21"/>
          <w:szCs w:val="21"/>
        </w:rPr>
        <w:t xml:space="preserve">refines </w:t>
      </w:r>
      <w:r>
        <w:rPr>
          <w:rFonts w:ascii="Arial" w:hAnsi="Arial" w:cs="Arial"/>
          <w:color w:val="FF0000"/>
          <w:sz w:val="21"/>
          <w:szCs w:val="21"/>
        </w:rPr>
        <w:t xml:space="preserve">susceptibility</w:t>
      </w:r>
      <w:r>
        <w:rPr>
          <w:rFonts w:ascii="Arial" w:hAnsi="Arial" w:cs="Arial"/>
          <w:color w:val="000000"/>
          <w:sz w:val="21"/>
          <w:szCs w:val="21"/>
        </w:rPr>
        <w:t xml:space="preserve"> interpretation</w:t>
      </w:r>
      <w:r>
        <w:rPr>
          <w:rFonts w:ascii="Arial" w:hAnsi="Arial" w:cs="Arial"/>
          <w:color w:val="000000"/>
          <w:sz w:val="21"/>
          <w:szCs w:val="21"/>
        </w:rPr>
        <w:t xml:space="preserve"> by differentiating between robust and uncertain hotspots. In central hill sectors, high susceptibility coincides with low posterior variance, indicating strong model support. Peripheral hill margins exhibit elevated susceptibility with higher uncertainty, suggesting extrapolation beyond well-represented conditions. The Seed Cell Area Index (SCAI) results validate the spatial concentration efficiency of the final model. The Very High susceptibility class contains nearly four-fifths of mapped landslides while occupying less than one-tenth of the study area, indicating strong stratification. The monotonic decline in SCAI values confirms the </w:t>
      </w:r>
      <w:r>
        <w:rPr>
          <w:rFonts w:ascii="Arial" w:hAnsi="Arial" w:cs="Arial"/>
          <w:color w:val="000000"/>
          <w:sz w:val="21"/>
          <w:szCs w:val="21"/>
        </w:rPr>
        <w:t xml:space="preserve">effectiveness of </w:t>
      </w:r>
      <w:r>
        <w:rPr>
          <w:rFonts w:ascii="Arial" w:hAnsi="Arial" w:cs="Arial"/>
          <w:color w:val="FF0000"/>
          <w:sz w:val="21"/>
          <w:szCs w:val="21"/>
        </w:rPr>
        <w:t xml:space="preserve">susceptibility</w:t>
      </w:r>
      <w:r>
        <w:rPr>
          <w:rFonts w:ascii="Arial" w:hAnsi="Arial" w:cs="Arial"/>
          <w:color w:val="000000"/>
          <w:sz w:val="21"/>
          <w:szCs w:val="21"/>
        </w:rPr>
        <w:t xml:space="preserve"> zonation</w:t>
      </w:r>
      <w:r>
        <w:rPr>
          <w:rFonts w:ascii="Arial" w:hAnsi="Arial" w:cs="Arial"/>
          <w:color w:val="000000"/>
          <w:sz w:val="21"/>
          <w:szCs w:val="21"/>
        </w:rPr>
        <w:t xml:space="preserve">. </w:t>
      </w:r>
    </w:p>
    <w:p w14:paraId="46C208B1" w14:textId="77777777" w:rsidR="00D53A16" w:rsidRPr="00340959" w:rsidRDefault="00D53A16" w:rsidP="00340959">
      <w:pPr>
        <w:spacing w:before="0" w:after="0" w:line="360" w:lineRule="auto"/>
        <w:jc w:val="both"/>
        <w:rPr>
          <w:rFonts w:ascii="Arial" w:hAnsi="Arial" w:cs="Arial"/>
          <w:sz w:val="21"/>
          <w:szCs w:val="21"/>
        </w:rPr>
      </w:pPr>
      <w:r>
        <w:rPr>
          <w:rFonts w:ascii="Arial" w:hAnsi="Arial" w:cs="Arial"/>
          <w:color w:val="000000"/>
          <w:sz w:val="21"/>
          <w:szCs w:val="21"/>
        </w:rPr>
        <w:lastRenderedPageBreak/>
        <w:t>Interpretability analysis based on SHAP values provides geomorphological plausibility. Elevation, precipitation, and land use/land cover emerged as dominant predictors. The consistency of feature importance across validation schemes indicates alignment with established physical understanding.</w:t>
      </w:r>
    </w:p>
    <w:p w14:paraId="1CD4400D" w14:textId="0165FD7D" w:rsidR="00D53A16" w:rsidRPr="00340959" w:rsidRDefault="00D53A16" w:rsidP="00340959">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Despite its methodological rigor, the study has limitations. The landslide inventory remains modest in size, and additional temporal records could enhance posterior stability. Rainfall was incorporated as a climatological layer rather than event-based intensity, limiting temporal sensitivity </w:t>
        <w:fldChar w:fldCharType="begin"/>
        <w:instrText xml:space="preserve"> ADDIN ZOTERO_ITEM CSL_CITATION {"citationID":"2GJOo5CN","properties":{"formattedCitation":"(Shi et al. 2025)","plainCitation":"(Shi et al. 2025)","noteIndex":0},"citationItems":[{"id":357,"uris":["http://zotero.org/users/local/emosa1lm/items/ENJHUH34"],"itemData":{"id":357,"type":"article-journal","abstract":"With the increasing frequency of extreme weather events in recent years, geological disasters triggered by heavy rainfall have posed significant threats to the ecological environment and residents’ safety. The mountainous areas of Hebei Province, which form part of the Beijing-Tianjin-Hebei ecological barrier, face prominent geological disaster risks due to complex geological conditions and frequent heavy rainfall. This study focused on Hebei’s mountainous areas, by establishing a geological disaster susceptibility assessment system to explore the spatial distribution patterns of the geological disaster risks. Historical disaster data were used to calculate the probability of geological disasters triggered by heavy rainfall using a Naive Bayes model. The results indicated that areas of high and moderately high geological disaster susceptibility covered 66,442 km², accounting for 57.75% of the total area, mainly in the western mountains and the hilly regions of Tangshan and Qinhuangdao. High and moderately high-risk areas triggered by heavy rainfall covered 61,214 km², and were not only distributed in high-susceptibility areas but were also concentrated in the northern mountainous regions. These findings provide a scientific basis for policy development for geological disaster prevention in the mountainous areas of Hebei Province, helping to reduce the threats posed by disasters to the ecological environment and residents’ lives and property.","container-title":"Applied Ecology and Environmental Research","DOI":"10.15666/aeer/2303_54435460","ISSN":"15891623, 17850037","issue":"3","journalAbbreviation":"Appl. Ecol. Env. Res.","language":"en","page":"5443-5460","source":"DOI.org (Crossref)","title":"RISK ASSESSMENT OF GEOLOGICAL DISASTERS TRIGGERED BY HEAVY RAINFALL IN MOUNTAINOUS AREAS: A CASE STUDY IN HEBEI PROVINCE, CHINA","title-short":"RISK ASSESSMENT OF GEOLOGICAL DISASTERS TRIGGERED BY HEAVY RAINFALL IN MOUNTAINOUS AREAS","volume":"23","author":[{"family":"Shi","given":"S.Y."},{"family":"Zhou","given":"J."},{"family":"Chen","given":"X.J."},{"family":"Xu","given":"Y.J."},{"family":"Tao","given":"J."}],"issued":{"date-parts":[["2025"]]}}}],"schema":"https://github.com/citation-style-language/schema/raw/master/csl-citation.json"} </w:instrText>
        <w:fldChar w:fldCharType="separate"/>
      </w:r>
      <w:r>
        <w:rPr>
          <w:rFonts w:ascii="Arial" w:hAnsi="Arial" w:cs="Arial"/>
          <w:sz w:val="21"/>
        </w:rPr>
        <w:t>(Shi et al. 2025)</w:t>
      </w:r>
      <w:r>
        <w:rPr>
          <w:rFonts w:ascii="Arial" w:hAnsi="Arial" w:cs="Arial"/>
          <w:color w:val="000000"/>
          <w:sz w:val="21"/>
          <w:szCs w:val="21"/>
        </w:rPr>
        <w:fldChar w:fldCharType="end"/>
        <w:t xml:space="preserve">. Spatial interpolation may smooth localized micro-topographic effects. Future research may incorporate event-scale rainfall thresholds, hierarchical spatial priors, or hybrid physics–Bayesian neural network frameworks </w:t>
        <w:fldChar w:fldCharType="begin"/>
        <w:instrText xml:space="preserve"> ADDIN ZOTERO_ITEM CSL_CITATION {"citationID":"OPeL3JiA","properties":{"formattedCitation":"(Mafigiri et al. 2025)","plainCitation":"(Mafigiri et al. 2025)","noteIndex":0},"citationItems":[{"id":306,"uris":["http://zotero.org/users/local/emosa1lm/items/8KULXW4L"],"itemData":{"id":306,"type":"article-journal","abstract":"Rainfall-triggered landslides pose significant risks in hilly and mountainous areas, necessitating advanced susceptibility and hazard modeling in GIS environments. This review examines research trends, influential authors, and emerging themes in this field through bibliometric analysis and content review, covering publications from 2007 to 2025 with a focus on the last five years. Recent research trends reveal a shift towards complex, physically based models incorporating multiple rainfall variables and their interactions with local conditions. Emerging trends include machine learning applications, increased spatiotemporal analysis, and rising interest in climate change impacts on landslide occurrence. However, there is a lack of attention given to how topography and other factors might explain spatial differences in rainfall. Research output has increased since 2020, driven by initiatives like the Kyoto Landslide Commitment 2020. While progress has been made in landslide susceptibility modeling, several challenges persist, such as developing standardized protocols for case study research to enhance comparability; exploring methods to integrate multiple case studies and improve generalizability; investigating emerging technologies like big data analytics to address sample limitations; improving translation of research findings for practitioners and policymakers; and enhancing methods to incorporate topographic effects on rainfall variability in susceptibility models. Many studies rely on single-site case studies, limiting result generalizability. Better integration of topographic influences on rainfall spatial variability is needed, particularly in mountainous regions. Addressing these challenges will be crucial for advancing landslide risk assessment. Future research should focus on developing robust, transferable models that account for complex environmental interactions and provide practical decision-support tools.","container-title":"Modeling Earth Systems and Environment","DOI":"10.1007/s40808-025-02615-5","ISSN":"2363-6211","issue":"6","journalAbbreviation":"Model. Earth Syst. Environ.","language":"en","page":"427","source":"Springer Link","title":"A review of GIS-based landslide susceptibility and hazard modeling considering the influence of topographic parameters on rainfall spatial variability","volume":"11","author":[{"family":"Mafigiri","given":"Amos"},{"family":"Khanan","given":"Mohd Faisal Abdul"},{"family":"Abdullah","given":"Rini Asnida"}],"issued":{"date-parts":[["2025",9,18]]}}}],"schema":"https://github.com/citation-style-language/schema/raw/master/csl-citation.json"} </w:instrText>
        <w:fldChar w:fldCharType="separate"/>
      </w:r>
      <w:r>
        <w:rPr>
          <w:rFonts w:ascii="Arial" w:hAnsi="Arial" w:cs="Arial"/>
          <w:sz w:val="21"/>
        </w:rPr>
        <w:t>(Mafigiri et al. 2025)</w:t>
      </w:r>
      <w:r>
        <w:rPr>
          <w:rFonts w:ascii="Arial" w:hAnsi="Arial" w:cs="Arial"/>
          <w:color w:val="000000"/>
          <w:sz w:val="21"/>
          <w:szCs w:val="21"/>
        </w:rPr>
        <w:fldChar w:fldCharType="end"/>
        <w:t>.</w:t>
      </w:r>
    </w:p>
    <w:p w14:paraId="4313C7D7" w14:textId="77777777" w:rsidR="00514474" w:rsidRPr="00340959" w:rsidRDefault="00514474" w:rsidP="00340959">
      <w:pPr>
        <w:spacing w:before="0" w:after="0" w:line="360" w:lineRule="auto"/>
        <w:jc w:val="both"/>
        <w:rPr>
          <w:rFonts w:ascii="Arial" w:hAnsi="Arial" w:cs="Arial"/>
          <w:sz w:val="21"/>
          <w:szCs w:val="21"/>
        </w:rPr>
      </w:pPr>
    </w:p>
    <w:p w14:paraId="62AAEAA5" w14:textId="77777777" w:rsidR="005B28E8" w:rsidRPr="005E73F7" w:rsidRDefault="00000000" w:rsidP="00340959">
      <w:pPr>
        <w:pStyle w:val="Heading1"/>
        <w:spacing w:before="0" w:after="0" w:line="360" w:lineRule="auto"/>
        <w:rPr>
          <w:rFonts w:ascii="Arial" w:hAnsi="Arial" w:cs="Arial"/>
          <w:b/>
          <w:bCs/>
          <w:color w:val="7030A0"/>
          <w:sz w:val="21"/>
          <w:szCs w:val="21"/>
        </w:rPr>
      </w:pPr>
      <w:r>
        <w:rPr>
          <w:rFonts w:ascii="Arial" w:hAnsi="Arial" w:cs="Arial"/>
          <w:b/>
          <w:bCs/>
          <w:color w:val="7030A0"/>
          <w:sz w:val="21"/>
          <w:szCs w:val="21"/>
        </w:rPr>
        <w:t>Conclusion</w:t>
      </w:r>
    </w:p>
    <w:p w14:paraId="63D2992D" w14:textId="7506CE81" w:rsidR="005E73F7" w:rsidRPr="00105415" w:rsidRDefault="006D1AD2" w:rsidP="00105415">
      <w:pPr>
        <w:spacing w:before="0" w:after="0" w:line="360" w:lineRule="auto"/>
        <w:jc w:val="both"/>
        <w:rPr>
          <w:rFonts w:ascii="Arial" w:hAnsi="Arial" w:cs="Arial"/>
          <w:color w:val="000000"/>
          <w:sz w:val="21"/>
          <w:szCs w:val="21"/>
        </w:rPr>
      </w:pPr>
      <w:r>
        <w:rPr>
          <w:rFonts w:ascii="Arial" w:hAnsi="Arial" w:cs="Arial"/>
          <w:color w:val="000000"/>
          <w:sz w:val="21"/>
          <w:szCs w:val="21"/>
        </w:rPr>
        <w:t xml:space="preserve">This study develops and evaluates an uncertainty-aware landslide-susceptibility framework using Bayesian and deterministic classifiers with a unified preprocessing and validation strategy for the hilly areas of the Chattogram Metropolitan Area. The findings showed that evaluation metrics alone can overestimate predictive capability when spatial autocorrelation is accounted for. Overall, although Random Forest delivered the best discrimination performance, its predictive capability was hindered by inadequate probabilistic calibration and uncertainty estimation, unlike the Gaussian Process Classifier. All the same, GPC provided nearly comparable predictions and improved performance by offering well-calibrated uncertainty estimates, which are vital for risk-informed decision-making. With the Bayesian model deployed, continuous surfaces of susceptibility and predictive variance were modeled and then combined via bivariate classification to separate </w:t>
      </w:r>
      <w:r>
        <w:rPr>
          <w:rFonts w:ascii="Arial" w:hAnsi="Arial" w:cs="Arial"/>
          <w:color w:val="000000"/>
          <w:sz w:val="21"/>
          <w:szCs w:val="21"/>
        </w:rPr>
        <w:t xml:space="preserve">robust </w:t>
      </w:r>
      <w:r>
        <w:rPr>
          <w:rFonts w:ascii="Arial" w:hAnsi="Arial" w:cs="Arial"/>
          <w:color w:val="FF0000"/>
          <w:sz w:val="21"/>
          <w:szCs w:val="21"/>
        </w:rPr>
        <w:t xml:space="preserve">susceptibility</w:t>
      </w:r>
      <w:r>
        <w:rPr>
          <w:rFonts w:ascii="Arial" w:hAnsi="Arial" w:cs="Arial"/>
          <w:color w:val="000000"/>
          <w:sz w:val="21"/>
          <w:szCs w:val="21"/>
        </w:rPr>
        <w:t xml:space="preserve"> hotspots</w:t>
      </w:r>
      <w:r>
        <w:rPr>
          <w:rFonts w:ascii="Arial" w:hAnsi="Arial" w:cs="Arial"/>
          <w:color w:val="000000"/>
          <w:sz w:val="21"/>
          <w:szCs w:val="21"/>
        </w:rPr>
        <w:t xml:space="preserve"> from spatially uncertain predictions. </w:t>
      </w:r>
      <w:r>
        <w:rPr>
          <w:rFonts w:ascii="Arial" w:hAnsi="Arial" w:cs="Arial"/>
          <w:color w:val="FF0000"/>
          <w:sz w:val="21"/>
          <w:szCs w:val="21"/>
        </w:rPr>
        <w:t xml:space="preserve">Susceptibility</w:t>
      </w:r>
      <w:r>
        <w:rPr>
          <w:rFonts w:ascii="Arial" w:hAnsi="Arial" w:cs="Arial"/>
          <w:color w:val="000000"/>
          <w:sz w:val="21"/>
          <w:szCs w:val="21"/>
        </w:rPr>
        <w:t xml:space="preserve"> stratification</w:t>
      </w:r>
      <w:r>
        <w:rPr>
          <w:rFonts w:ascii="Arial" w:hAnsi="Arial" w:cs="Arial"/>
          <w:color w:val="000000"/>
          <w:sz w:val="21"/>
          <w:szCs w:val="21"/>
        </w:rPr>
        <w:t xml:space="preserve"> was also supported by spatial concentration analyses, with most historical landslides concentrated in a small fraction of the mapped area, and some clustered within it. This study integrates discrimination assessment, spatial cross-validation, calibration analysis, statistical comparison, and uncertainty visuals into a workflow, advancing landslide susceptibility modeling toward a transparent, decision-oriented framework. This is especially suited for fast-urbanizing, data-poor hill terrains </w:t>
      </w:r>
      <w:r>
        <w:rPr>
          <w:rFonts w:ascii="Arial" w:hAnsi="Arial" w:cs="Arial"/>
          <w:color w:val="000000"/>
          <w:sz w:val="21"/>
          <w:szCs w:val="21"/>
        </w:rPr>
        <w:t xml:space="preserve">where </w:t>
      </w:r>
      <w:r>
        <w:rPr>
          <w:rFonts w:ascii="Arial" w:hAnsi="Arial" w:cs="Arial"/>
          <w:color w:val="FF0000"/>
          <w:sz w:val="21"/>
          <w:szCs w:val="21"/>
        </w:rPr>
        <w:t xml:space="preserve">susceptibility</w:t>
      </w:r>
      <w:r>
        <w:rPr>
          <w:rFonts w:ascii="Arial" w:hAnsi="Arial" w:cs="Arial"/>
          <w:color w:val="000000"/>
          <w:sz w:val="21"/>
          <w:szCs w:val="21"/>
        </w:rPr>
        <w:t xml:space="preserve"> prioritization</w:t>
      </w:r>
      <w:r>
        <w:rPr>
          <w:rFonts w:ascii="Arial" w:hAnsi="Arial" w:cs="Arial"/>
          <w:color w:val="000000"/>
          <w:sz w:val="21"/>
          <w:szCs w:val="21"/>
        </w:rPr>
        <w:t xml:space="preserve"> considers both probability and confidence. Concepts like an area of applicability could further improve transparency by indicating where predictions are reliable.</w:t>
      </w:r>
      <w:r>
        <w:rPr>
          <w:rFonts w:ascii="Arial" w:hAnsi="Arial" w:cs="Arial"/>
          <w:sz w:val="21"/>
          <w:szCs w:val="21"/>
        </w:rPr>
        <w:br w:type="page"/>
      </w:r>
    </w:p>
    <w:p w14:paraId="0FFAC1D6" w14:textId="392F3A0B" w:rsidR="005B28E8" w:rsidRPr="00340959" w:rsidRDefault="00000000" w:rsidP="005E73F7">
      <w:pPr>
        <w:pBdr>
          <w:bottom w:val="single" w:sz="6" w:space="1" w:color="auto"/>
        </w:pBdr>
        <w:spacing w:before="0" w:after="0" w:line="360" w:lineRule="auto"/>
        <w:jc w:val="both"/>
        <w:rPr>
          <w:rFonts w:ascii="Arial" w:hAnsi="Arial" w:cs="Arial"/>
          <w:b/>
          <w:bCs/>
          <w:sz w:val="21"/>
          <w:szCs w:val="21"/>
        </w:rPr>
      </w:pPr>
      <w:r>
        <w:rPr>
          <w:rFonts w:ascii="Arial" w:hAnsi="Arial" w:cs="Arial"/>
          <w:b/>
          <w:bCs/>
          <w:sz w:val="21"/>
          <w:szCs w:val="21"/>
        </w:rPr>
        <w:lastRenderedPageBreak/>
        <w:t>References</w:t>
      </w:r>
    </w:p>
    <w:p w14:paraId="5EBB94E2" w14:textId="77777777" w:rsidR="0050478C" w:rsidRDefault="0050478C" w:rsidP="0050478C">
      <w:pPr>
        <w:pStyle w:val="Bibliography"/>
      </w:pPr>
      <w:r>
        <w:rPr>
          <w:rFonts w:ascii="Arial" w:hAnsi="Arial" w:cs="Arial"/>
          <w:sz w:val="21"/>
          <w:szCs w:val="21"/>
        </w:rPr>
        <w:fldChar w:fldCharType="begin"/>
        <w:instrText xml:space="preserve"> ADDIN ZOTERO_BIBL {"uncited":[],"omitted":[],"custom":[]} CSL_BIBLIOGRAPHY </w:instrText>
        <w:fldChar w:fldCharType="separate"/>
      </w:r>
      <w:r>
        <w:t>Achu AL, Aju CD, Di Napoli M, et al (2023) Machine-learning based landslide susceptibility modelling with emphasis on uncertainty analysis. Geosci Front 14:101657. https://doi.org/10.1016/j.gsf.2023.101657</w:t>
      </w:r>
    </w:p>
    <w:p w14:paraId="5D4B98B6" w14:textId="77777777" w:rsidR="0050478C" w:rsidRDefault="0050478C" w:rsidP="0050478C">
      <w:pPr>
        <w:pStyle w:val="Bibliography"/>
      </w:pPr>
      <w:r>
        <w:t>Adnan MSG, Rahman MS, Ahmed N, et al (2020) Improving Spatial Agreement in Machine Learning-Based Landslide Susceptibility Mapping. Remote Sens 12:3347–3347. https://doi.org/10.3390/rs12203347</w:t>
      </w:r>
    </w:p>
    <w:p w14:paraId="382E6C90" w14:textId="77777777" w:rsidR="0050478C" w:rsidRDefault="0050478C" w:rsidP="0050478C">
      <w:pPr>
        <w:pStyle w:val="Bibliography"/>
      </w:pPr>
      <w:r>
        <w:t>Afzal H, Amjad M, Raza A, et al (2025) Incorporating soil information with machine learning for crop recommendation to improve agricultural output. Sci Rep 15:8560. https://doi.org/10.1038/s41598-025-88676-z</w:t>
      </w:r>
    </w:p>
    <w:p w14:paraId="6807A01C" w14:textId="77777777" w:rsidR="0050478C" w:rsidRDefault="0050478C" w:rsidP="0050478C">
      <w:pPr>
        <w:pStyle w:val="Bibliography"/>
      </w:pPr>
      <w:r>
        <w:t>Agrawal N, Dixit J (2023) GIS-based landslide susceptibility mapping of the Meghalaya-Shillong Plateau region using machine learning algorithms. Bull Eng Geol Environ 82:. https://doi.org/10.1007/s10064-023-03188-2</w:t>
      </w:r>
    </w:p>
    <w:p w14:paraId="07963D2C" w14:textId="77777777" w:rsidR="0050478C" w:rsidRDefault="0050478C" w:rsidP="0050478C">
      <w:pPr>
        <w:pStyle w:val="Bibliography"/>
      </w:pPr>
      <w:r>
        <w:t>Ahmed B (2014) Landslide susceptibility mapping using multi-criteria evaluation techniques in Chittagong Metropolitan Area, Bangladesh. Landslides 12:1077–1095. https://doi.org/10.1007/s10346-014-0521-x</w:t>
      </w:r>
    </w:p>
    <w:p w14:paraId="29B58326" w14:textId="77777777" w:rsidR="0050478C" w:rsidRDefault="0050478C" w:rsidP="0050478C">
      <w:pPr>
        <w:pStyle w:val="Bibliography"/>
      </w:pPr>
      <w:r>
        <w:t>Arrogante-Funes P, Bruzón AG, Álvarez-Ripado A, et al (2024a) Assessment of the regeneration of landslides areas using unsupervised and supervised methods and explainable machine learning models. Landslides 21:275–290. https://doi.org/10.1007/s10346-023-02154-z</w:t>
      </w:r>
    </w:p>
    <w:p w14:paraId="33750B31" w14:textId="77777777" w:rsidR="0050478C" w:rsidRDefault="0050478C" w:rsidP="0050478C">
      <w:pPr>
        <w:pStyle w:val="Bibliography"/>
      </w:pPr>
      <w:r>
        <w:t>Arrogante-Funes P, Bruzón AG, Álvarez-Ripado A, et al (2024b) Assessment of the regeneration of landslides areas using unsupervised and supervised methods and explainable machine learning models. Landslides 21:275–290. https://doi.org/10.1007/s10346-023-02154-z</w:t>
      </w:r>
    </w:p>
    <w:p w14:paraId="2C3B2E18" w14:textId="77777777" w:rsidR="0050478C" w:rsidRDefault="0050478C" w:rsidP="0050478C">
      <w:pPr>
        <w:pStyle w:val="Bibliography"/>
      </w:pPr>
      <w:r>
        <w:t>Azad MA, Kainthola A, Fissha Y, et al (2025) Empirical and numerical hill slope health evaluation at Malling Nala, NH-505, Himachal Pradesh, India. Int J Geo-Eng 16:4. https://doi.org/10.1186/s40703-025-00233-9</w:t>
      </w:r>
    </w:p>
    <w:p w14:paraId="756419A5" w14:textId="77777777" w:rsidR="0050478C" w:rsidRDefault="0050478C" w:rsidP="0050478C">
      <w:pPr>
        <w:pStyle w:val="Bibliography"/>
      </w:pPr>
      <w:r>
        <w:t>Biswas N, Islam KMA, Efty EA, et al (2026) Ensemble deep learning framework for landslide susceptibility mapping and road vulnerability index development in the Chittagong Hill Tracts, Bangladesh. Geomat Nat Hazards Risk 17:. https://doi.org/10.1080/19475705.2026.2634207</w:t>
      </w:r>
    </w:p>
    <w:p w14:paraId="1C38C15C" w14:textId="77777777" w:rsidR="0050478C" w:rsidRDefault="0050478C" w:rsidP="0050478C">
      <w:pPr>
        <w:pStyle w:val="Bibliography"/>
      </w:pPr>
      <w:r>
        <w:t>Black B, Strien MJ van, Adde A, Grêt‐Regamey A (2022) Re-considering the status quo: Improving calibration of land use change models through validation of transition potential predictions. Environ Model Softw 159:105574–105574. https://doi.org/10.1016/j.envsoft.2022.105574</w:t>
      </w:r>
    </w:p>
    <w:p w14:paraId="485EA7FC" w14:textId="77777777" w:rsidR="0050478C" w:rsidRDefault="0050478C" w:rsidP="0050478C">
      <w:pPr>
        <w:pStyle w:val="Bibliography"/>
      </w:pPr>
      <w:r>
        <w:t>Bobb JF, Henn BC, Valeri L, Coull BA (2018) Statistical software for analyzing the health effects of multiple concurrent exposures via Bayesian kernel machine regression. Environ Health 17:. https://doi.org/10.1186/s12940-018-0413-y</w:t>
      </w:r>
    </w:p>
    <w:p w14:paraId="725F45E9" w14:textId="77777777" w:rsidR="0050478C" w:rsidRDefault="0050478C" w:rsidP="0050478C">
      <w:pPr>
        <w:pStyle w:val="Bibliography"/>
      </w:pPr>
      <w:r>
        <w:t>Carleton WC, Klassen S, Niles-Weed J, et al (2023) Bayesian regression versus machine learning for rapid age estimation of archaeological features identified with lidar at Angkor. Sci Rep 13:17913. https://doi.org/10.1038/s41598-023-44875-0</w:t>
      </w:r>
    </w:p>
    <w:p w14:paraId="4C09F3E7" w14:textId="77777777" w:rsidR="0050478C" w:rsidRDefault="0050478C" w:rsidP="0050478C">
      <w:pPr>
        <w:pStyle w:val="Bibliography"/>
      </w:pPr>
      <w:r>
        <w:t>Chowdhury MS, Rahman MN, Sheikh MS, et al (2023) GIS-based landslide susceptibility mapping using logistic regression, random forest and decision and regression tree models in Chattogram District, Bangladesh. Heliyon 10:. https://doi.org/10.1016/j.heliyon.2023.e23424</w:t>
      </w:r>
    </w:p>
    <w:p w14:paraId="34DED34A" w14:textId="77777777" w:rsidR="0050478C" w:rsidRDefault="0050478C" w:rsidP="0050478C">
      <w:pPr>
        <w:pStyle w:val="Bibliography"/>
      </w:pPr>
      <w:r>
        <w:t>Cruz A, Karimzadeh S, Chieffo N, et al (2024) A Review of Probabilistic Approaches for Assessing the Liquefaction Hazard in Urban Areas. Arch Comput Methods Eng 31:4673–4708. https://doi.org/10.1007/s11831-024-10124-4</w:t>
      </w:r>
    </w:p>
    <w:p w14:paraId="635C86B6" w14:textId="77777777" w:rsidR="0050478C" w:rsidRDefault="0050478C" w:rsidP="0050478C">
      <w:pPr>
        <w:pStyle w:val="Bibliography"/>
      </w:pPr>
      <w:r>
        <w:t>Cunha RLF, Silva B, Netto MAS (2018) A Scalable Machine Learning System for Pre-Season Agriculture Yield Forecast. 423–430. https://doi.org/10.1109/escience.2018.00131</w:t>
      </w:r>
    </w:p>
    <w:p w14:paraId="6FA8E33C" w14:textId="77777777" w:rsidR="0050478C" w:rsidRDefault="0050478C" w:rsidP="0050478C">
      <w:pPr>
        <w:pStyle w:val="Bibliography"/>
      </w:pPr>
      <w:r>
        <w:t>Dal Seno N, Evangelista D, Piccolomini E, Berti M (2024) Comparative analysis of conventional and machine learning techniques for rainfall threshold evaluation under complex geological conditions. Landslides 21:2893–2911. https://doi.org/10.1007/s10346-024-02336-3</w:t>
      </w:r>
    </w:p>
    <w:p w14:paraId="3D225CF3" w14:textId="77777777" w:rsidR="0050478C" w:rsidRDefault="0050478C" w:rsidP="0050478C">
      <w:pPr>
        <w:pStyle w:val="Bibliography"/>
      </w:pPr>
      <w:r>
        <w:t>Das I, Stein A, Kerle N, Dadhwal VK (2012) Landslide susceptibility mapping along road corridors in the Indian Himalayas using Bayesian logistic regression models. Geomorphology 179:116–125. https://doi.org/10.1016/j.geomorph.2012.08.004</w:t>
      </w:r>
    </w:p>
    <w:p w14:paraId="6A549C55" w14:textId="77777777" w:rsidR="0050478C" w:rsidRDefault="0050478C" w:rsidP="0050478C">
      <w:pPr>
        <w:pStyle w:val="Bibliography"/>
      </w:pPr>
      <w:r>
        <w:lastRenderedPageBreak/>
        <w:t>Dey B, Ferdous J, Ahmed R (2024) Machine learning based recommendation of agricultural and horticultural crop farming in India under the regime of NPK, soil pH and three climatic variables. Heliyon 10:e25112. https://doi.org/10.1016/j.heliyon.2024.e25112</w:t>
      </w:r>
    </w:p>
    <w:p w14:paraId="4AFE62B6" w14:textId="77777777" w:rsidR="0050478C" w:rsidRDefault="0050478C" w:rsidP="0050478C">
      <w:pPr>
        <w:pStyle w:val="Bibliography"/>
      </w:pPr>
      <w:r>
        <w:t>Di Napoli M, Miele P, Guerriero L, et al (2023) Multitemporal relative landslide exposure and risk analysis for the sustainable development of rapidly growing cities. Landslides 20:1781–1795. https://doi.org/10.1007/s10346-023-02065-z</w:t>
      </w:r>
    </w:p>
    <w:p w14:paraId="1C1DC74C" w14:textId="77777777" w:rsidR="0050478C" w:rsidRDefault="0050478C" w:rsidP="0050478C">
      <w:pPr>
        <w:pStyle w:val="Bibliography"/>
      </w:pPr>
      <w:r>
        <w:t>Garcia NL, Rodrigues-Motta M, Migon HS, et al (2024) Unsupervised Bayesian classification for models with scalar and functional covariates. J R Stat Soc Ser C Appl Stat 73:658–681. https://doi.org/10.1093/jrsssc/qlae006</w:t>
      </w:r>
    </w:p>
    <w:p w14:paraId="3D7366A8" w14:textId="77777777" w:rsidR="0050478C" w:rsidRDefault="0050478C" w:rsidP="0050478C">
      <w:pPr>
        <w:pStyle w:val="Bibliography"/>
      </w:pPr>
      <w:r>
        <w:t>Gardner J, Brooks C (2018) Dropout Model Evaluation in MOOCs. In: Proceedings of the AAAI Conference on Artificial Intelligence. Association for the Advancement of Artificial Intelligence</w:t>
      </w:r>
    </w:p>
    <w:p w14:paraId="0F360FC7" w14:textId="77777777" w:rsidR="0050478C" w:rsidRDefault="0050478C" w:rsidP="0050478C">
      <w:pPr>
        <w:pStyle w:val="Bibliography"/>
      </w:pPr>
      <w:r>
        <w:t>Genkin A, Lewis D, Madigan D (2007) Large-Scale Bayesian Logistic Regression for Text Categorization. Technometrics 49:291–304. https://doi.org/10.1198/004017007000000245</w:t>
      </w:r>
    </w:p>
    <w:p w14:paraId="2808097B" w14:textId="77777777" w:rsidR="0050478C" w:rsidRDefault="0050478C" w:rsidP="0050478C">
      <w:pPr>
        <w:pStyle w:val="Bibliography"/>
      </w:pPr>
      <w:r>
        <w:t>Ghosal P, De S, Ghosh J (2025) An Online Algorithm for Bayesian Variable Selection in Logistic Regression Models With Streaming Data. ArXiv Cornell Univ. https://doi.org/10.48550/arxiv.2501.10930</w:t>
      </w:r>
    </w:p>
    <w:p w14:paraId="57607266" w14:textId="77777777" w:rsidR="0050478C" w:rsidRDefault="0050478C" w:rsidP="0050478C">
      <w:pPr>
        <w:pStyle w:val="Bibliography"/>
      </w:pPr>
      <w:r>
        <w:t>Gregorich M, Strohmaier S, Dunkler D, Heinze G (2021) Regression with Highly Correlated Predictors: Variable Omission Is Not the Solution. Int J Environ Res Public Health 18:4259–4259. https://doi.org/10.3390/ijerph18084259</w:t>
      </w:r>
    </w:p>
    <w:p w14:paraId="2A118E2B" w14:textId="77777777" w:rsidR="0050478C" w:rsidRDefault="0050478C" w:rsidP="0050478C">
      <w:pPr>
        <w:pStyle w:val="Bibliography"/>
      </w:pPr>
      <w:r>
        <w:t>Gupta E, Sivakumar R (2025) Response coupling with an auxiliary neural signal for enhancing brain signal detection. Sci Rep 15:6227. https://doi.org/10.1038/s41598-025-87414-9</w:t>
      </w:r>
    </w:p>
    <w:p w14:paraId="7E87DCA9" w14:textId="77777777" w:rsidR="0050478C" w:rsidRDefault="0050478C" w:rsidP="0050478C">
      <w:pPr>
        <w:pStyle w:val="Bibliography"/>
      </w:pPr>
      <w:r>
        <w:t>Hafsa B, Chowdhury MS, Rahman MN (2022) Landslide susceptibility mapping of Rangamati District of Bangladesh using statistical and machine intelligence model. Arab J Geosci 15:. https://doi.org/10.1007/s12517-022-10607-3</w:t>
      </w:r>
    </w:p>
    <w:p w14:paraId="3D2945D1" w14:textId="77777777" w:rsidR="0050478C" w:rsidRDefault="0050478C" w:rsidP="0050478C">
      <w:pPr>
        <w:pStyle w:val="Bibliography"/>
      </w:pPr>
      <w:r>
        <w:t>Halder K, Srivastava AK, Ghosh A, et al (2025) Improving landslide susceptibility prediction through ensemble recursive feature elimination and meta-learning framework. Sci Rep 15:. https://doi.org/10.1038/s41598-025-87587-3</w:t>
      </w:r>
    </w:p>
    <w:p w14:paraId="736837AB" w14:textId="77777777" w:rsidR="0050478C" w:rsidRDefault="0050478C" w:rsidP="0050478C">
      <w:pPr>
        <w:pStyle w:val="Bibliography"/>
      </w:pPr>
      <w:r>
        <w:t>Hengl T, Jesus JM de, Heuvelink GBM, et al (2017) SoilGrids250m: Global gridded soil information based on machine learning. PLoS ONE 12:. https://doi.org/10.1371/journal.pone.0169748</w:t>
      </w:r>
    </w:p>
    <w:p w14:paraId="002C85AC" w14:textId="77777777" w:rsidR="0050478C" w:rsidRDefault="0050478C" w:rsidP="0050478C">
      <w:pPr>
        <w:pStyle w:val="Bibliography"/>
      </w:pPr>
      <w:r>
        <w:t>Hen-Jones R, Zapata C, Jiménez E, et al (2025) Community-scale slope stability assessment of urbanisation scenarios in North Quito, Ecuador. Landslides. https://doi.org/10.1007/s10346-025-02608-6</w:t>
      </w:r>
    </w:p>
    <w:p w14:paraId="4710D659" w14:textId="77777777" w:rsidR="0050478C" w:rsidRDefault="0050478C" w:rsidP="0050478C">
      <w:pPr>
        <w:pStyle w:val="Bibliography"/>
      </w:pPr>
      <w:r>
        <w:t>Huang F, Cao Y, Li W, et al (2024) Uncertainties of landslide susceptibility prediction: influences of different study area scales and mapping unit scales. Int J Coal Sci Technol 11:26. https://doi.org/10.1007/s40789-024-00678-w</w:t>
      </w:r>
    </w:p>
    <w:p w14:paraId="6BFBFD61" w14:textId="77777777" w:rsidR="0050478C" w:rsidRDefault="0050478C" w:rsidP="0050478C">
      <w:pPr>
        <w:pStyle w:val="Bibliography"/>
      </w:pPr>
      <w:r>
        <w:t>Islam MA, Islam MS, Jeet AA (2021) A Geotechnical Investigation of 2017 Chattogram Landslides. Geosciences 11:337–337. https://doi.org/10.3390/geosciences11080337</w:t>
      </w:r>
    </w:p>
    <w:p w14:paraId="3D3473CA" w14:textId="77777777" w:rsidR="0050478C" w:rsidRDefault="0050478C" w:rsidP="0050478C">
      <w:pPr>
        <w:pStyle w:val="Bibliography"/>
      </w:pPr>
      <w:r>
        <w:t>Koldasbayeva D, Tregubova P, Gasanov M, et al (2024) Challenges in data-driven geospatial modeling for environmental research and practice. Nat. Commun. 15:10700–10700</w:t>
      </w:r>
    </w:p>
    <w:p w14:paraId="204AE879" w14:textId="77777777" w:rsidR="0050478C" w:rsidRDefault="0050478C" w:rsidP="0050478C">
      <w:pPr>
        <w:pStyle w:val="Bibliography"/>
      </w:pPr>
      <w:r>
        <w:t>Kumar A, Pandey G, Kale RV (2026) Ensemble machine learning and deep learning framework for flood susceptibility mapping in the transboundary Rapti River Basin. Environ Earth Sci 85:168. https://doi.org/10.1007/s12665-026-12912-6</w:t>
      </w:r>
    </w:p>
    <w:p w14:paraId="74C5267F" w14:textId="77777777" w:rsidR="0050478C" w:rsidRDefault="0050478C" w:rsidP="0050478C">
      <w:pPr>
        <w:pStyle w:val="Bibliography"/>
      </w:pPr>
      <w:r>
        <w:t>Liao H, Wang C, Li Z, et al (2024) Physics-Informed Trajectory Prediction for Autonomous Driving under Missing Observation</w:t>
      </w:r>
    </w:p>
    <w:p w14:paraId="4A62CD59" w14:textId="77777777" w:rsidR="0050478C" w:rsidRDefault="0050478C" w:rsidP="0050478C">
      <w:pPr>
        <w:pStyle w:val="Bibliography"/>
      </w:pPr>
      <w:r>
        <w:t>Lombardo L, Opitz T, Huser R (2018) Point process-based modeling of multiple debris flow landslides using INLA: an application to the 2009 Messina disaster. Stoch Environ Res Risk Assess 32:2179–2198. https://doi.org/10.1007/s00477-018-1518-0</w:t>
      </w:r>
    </w:p>
    <w:p w14:paraId="4B6CA8DF" w14:textId="77777777" w:rsidR="0050478C" w:rsidRDefault="0050478C" w:rsidP="0050478C">
      <w:pPr>
        <w:pStyle w:val="Bibliography"/>
      </w:pPr>
      <w:r>
        <w:t>Lv M, Li K, Cai J, et al (2025) Evaluation of landslide susceptibility based on SMOTE-Tomek sampling and machine learning algorithm. PLoS ONE 20:. https://doi.org/10.1371/journal.pone.0323487</w:t>
      </w:r>
    </w:p>
    <w:p w14:paraId="22974F2D" w14:textId="77777777" w:rsidR="0050478C" w:rsidRDefault="0050478C" w:rsidP="0050478C">
      <w:pPr>
        <w:pStyle w:val="Bibliography"/>
      </w:pPr>
      <w:r>
        <w:lastRenderedPageBreak/>
        <w:t>Mafigiri A, Khanan MFA, Abdullah RA (2025) A review of GIS-based landslide susceptibility and hazard modeling considering the influence of topographic parameters on rainfall spatial variability. Model Earth Syst Environ 11:427. https://doi.org/10.1007/s40808-025-02615-5</w:t>
      </w:r>
    </w:p>
    <w:p w14:paraId="21C534DC" w14:textId="77777777" w:rsidR="0050478C" w:rsidRDefault="0050478C" w:rsidP="0050478C">
      <w:pPr>
        <w:pStyle w:val="Bibliography"/>
      </w:pPr>
      <w:r>
        <w:t>Manczinger M, Kovács L, Kovács T (2025) Fire susceptibility assessment in the Carpathians using an interpretable framework. Sci Rep 15:. https://doi.org/10.1038/s41598-025-10296-4</w:t>
      </w:r>
    </w:p>
    <w:p w14:paraId="2589A8A6" w14:textId="77777777" w:rsidR="0050478C" w:rsidRDefault="0050478C" w:rsidP="0050478C">
      <w:pPr>
        <w:pStyle w:val="Bibliography"/>
      </w:pPr>
      <w:r>
        <w:t>Milà C, Ludwig M, Pebesma E, et al (2024) Random forests with spatial proxies for environmental modelling: opportunities and pitfalls. Geosci Model Dev 17:6007–6033. https://doi.org/10.5194/gmd-17-6007-2024</w:t>
      </w:r>
    </w:p>
    <w:p w14:paraId="2D17C225" w14:textId="77777777" w:rsidR="0050478C" w:rsidRDefault="0050478C" w:rsidP="0050478C">
      <w:pPr>
        <w:pStyle w:val="Bibliography"/>
      </w:pPr>
      <w:r>
        <w:t>Mirus BB, Woodard J (2023) Bayesian logistic regression and optimized XGBoost models for landslide susceptibility assessment. https://doi.org/10.5194/egusphere-egu23-11586</w:t>
      </w:r>
    </w:p>
    <w:p w14:paraId="037FD71E" w14:textId="77777777" w:rsidR="0050478C" w:rsidRDefault="0050478C" w:rsidP="0050478C">
      <w:pPr>
        <w:pStyle w:val="Bibliography"/>
      </w:pPr>
      <w:r>
        <w:t>Murad G, Nawar N, Ashrafi H, et al (2025) Comprehensive Landslide Inventory and Hotspot Analysis in the Chittagong Hill Tracts of Southeastern Bangladesh. In: Proceedings of International Conference on Civil Engineering Research &amp; Innovations</w:t>
      </w:r>
    </w:p>
    <w:p w14:paraId="5A6C4CEC" w14:textId="77777777" w:rsidR="0050478C" w:rsidRDefault="0050478C" w:rsidP="0050478C">
      <w:pPr>
        <w:pStyle w:val="Bibliography"/>
      </w:pPr>
      <w:r>
        <w:t>Murad G, Rahman A (2025) Landslide Susceptibility Assessment of Rangamati Hill District Using Deep Learning Method. In: Proceedings of the 8th International Conference on Engineering Research, Innovation and Education</w:t>
      </w:r>
    </w:p>
    <w:p w14:paraId="07CFEE54" w14:textId="77777777" w:rsidR="0050478C" w:rsidRDefault="0050478C" w:rsidP="0050478C">
      <w:pPr>
        <w:pStyle w:val="Bibliography"/>
      </w:pPr>
      <w:r>
        <w:t>Mwakapesa DS, Lan X, Mao Y (2024) Landslide susceptibility assessment using deep learning considering unbalanced samples distribution. Heliyon 10:. https://doi.org/10.1016/j.heliyon.2024.e30107</w:t>
      </w:r>
    </w:p>
    <w:p w14:paraId="4EF6B1E7" w14:textId="77777777" w:rsidR="0050478C" w:rsidRDefault="0050478C" w:rsidP="0050478C">
      <w:pPr>
        <w:pStyle w:val="Bibliography"/>
      </w:pPr>
      <w:r>
        <w:t>Naceur HA, Igmoullan B, Namous M, et al (2026) Integrating geospatial data and hybrid machine learning models for landslide susceptibility assessment in semi-arid environments. Geomat Nat Hazards Risk 17:. https://doi.org/10.1080/19475705.2026.2625403</w:t>
      </w:r>
    </w:p>
    <w:p w14:paraId="6913DD42" w14:textId="77777777" w:rsidR="0050478C" w:rsidRDefault="0050478C" w:rsidP="0050478C">
      <w:pPr>
        <w:pStyle w:val="Bibliography"/>
      </w:pPr>
      <w:r>
        <w:t>O’Malley WC, Elbroch LM, Zeller KA, et al (2024) Machine learning allows for large-scale habitat prediction of a wide-ranging carnivore across diverse ecoregions. Landsc Ecol 39:106. https://doi.org/10.1007/s10980-024-01903-2</w:t>
      </w:r>
    </w:p>
    <w:p w14:paraId="3A1C0DDC" w14:textId="77777777" w:rsidR="0050478C" w:rsidRDefault="0050478C" w:rsidP="0050478C">
      <w:pPr>
        <w:pStyle w:val="Bibliography"/>
      </w:pPr>
      <w:r>
        <w:t>Pareek T, Bhuyan K, Westen CJ van, et al (2024) Analyzing the posterior predictive capability and usability of landslide susceptibility maps: a case of Kerala, India. Landslides 22:655–670. https://doi.org/10.1007/s10346-024-02389-4</w:t>
      </w:r>
    </w:p>
    <w:p w14:paraId="614C8570" w14:textId="77777777" w:rsidR="0050478C" w:rsidRDefault="0050478C" w:rsidP="0050478C">
      <w:pPr>
        <w:pStyle w:val="Bibliography"/>
      </w:pPr>
      <w:r>
        <w:t>Porrello A, Vincenzi S, Buzzega P, et al (2019) Spotting Insects from Satellites: Modeling the Presence of Culicoides Imicola Through Deep CNNs. 159–166. https://doi.org/10.1109/sitis.2019.00036</w:t>
      </w:r>
    </w:p>
    <w:p w14:paraId="4FA815B1" w14:textId="77777777" w:rsidR="0050478C" w:rsidRDefault="0050478C" w:rsidP="0050478C">
      <w:pPr>
        <w:pStyle w:val="Bibliography"/>
      </w:pPr>
      <w:r>
        <w:t>Qiu C, Su L, Pasuto A, et al (2024) Economic Risk Assessment of Future Debris Flows by Machine Learning Method. Int J Disaster Risk Sci 15:149–164. https://doi.org/10.1007/s13753-024-00545-x</w:t>
      </w:r>
    </w:p>
    <w:p w14:paraId="7E5518BD" w14:textId="77777777" w:rsidR="0050478C" w:rsidRDefault="0050478C" w:rsidP="0050478C">
      <w:pPr>
        <w:pStyle w:val="Bibliography"/>
      </w:pPr>
      <w:r>
        <w:t>Rabby YW, Li Y (2019) Landslide Inventory (2001–2017) of Chittagong Hilly Areas, Bangladesh. Data 5:4–4. https://doi.org/10.3390/data5010004</w:t>
      </w:r>
    </w:p>
    <w:p w14:paraId="21A30B04" w14:textId="77777777" w:rsidR="0050478C" w:rsidRDefault="0050478C" w:rsidP="0050478C">
      <w:pPr>
        <w:pStyle w:val="Bibliography"/>
      </w:pPr>
      <w:r>
        <w:t>Rahaman SU, Abdul MJ (2024) Quantifying Uncertainty in Economics Policy Predictions: A Bayesian &amp;amp; Monte Carlo based Data-Driven Approach</w:t>
      </w:r>
    </w:p>
    <w:p w14:paraId="06EA51C7" w14:textId="77777777" w:rsidR="0050478C" w:rsidRDefault="0050478C" w:rsidP="0050478C">
      <w:pPr>
        <w:pStyle w:val="Bibliography"/>
      </w:pPr>
      <w:r>
        <w:t>Rahman MA, Konagai K (2017) Substantiation of debris flow velocity from super-elevation: a numerical approach. Landslides 14:633–647. https://doi.org/10.1007/s10346-016-0725-3</w:t>
      </w:r>
    </w:p>
    <w:p w14:paraId="664FF10B" w14:textId="77777777" w:rsidR="0050478C" w:rsidRDefault="0050478C" w:rsidP="0050478C">
      <w:pPr>
        <w:pStyle w:val="Bibliography"/>
      </w:pPr>
      <w:r>
        <w:t>Rahman MdA, Konagai K (2018) A hands-on approach to estimate debris flow velocity for rational mitigation of debris hazard. Can Geotech J 55:941–955. https://doi.org/10.1139/cgj-2017-0211</w:t>
      </w:r>
    </w:p>
    <w:p w14:paraId="23DF2437" w14:textId="77777777" w:rsidR="0050478C" w:rsidRDefault="0050478C" w:rsidP="0050478C">
      <w:pPr>
        <w:pStyle w:val="Bibliography"/>
      </w:pPr>
      <w:r>
        <w:t>Ren T, Gao L, Gong W (2024) An ensemble of dynamic rainfall index and machine learning method for spatiotemporal landslide susceptibility modeling. Landslides 21:257–273. https://doi.org/10.1007/s10346-023-02152-1</w:t>
      </w:r>
    </w:p>
    <w:p w14:paraId="427D1711" w14:textId="77777777" w:rsidR="0050478C" w:rsidRDefault="0050478C" w:rsidP="0050478C">
      <w:pPr>
        <w:pStyle w:val="Bibliography"/>
      </w:pPr>
      <w:r>
        <w:t>Rukh G, Akbar S, Rehman G, et al (2024) StackedEnC-AOP: prediction of antioxidant proteins using transform evolutionary and sequential features based multi-scale vector with stacked ensemble learning. BMC Bioinformatics 25:256. https://doi.org/10.1186/s12859-024-05884-6</w:t>
      </w:r>
    </w:p>
    <w:p w14:paraId="53EAACC9" w14:textId="77777777" w:rsidR="0050478C" w:rsidRDefault="0050478C" w:rsidP="0050478C">
      <w:pPr>
        <w:pStyle w:val="Bibliography"/>
      </w:pPr>
      <w:r>
        <w:t>Schlögl M, Graser A, Spiekermann R, et al (2025) Brief communication: Visualizing uncertainties in landslide susceptibility modelling using bivariate mapping. Nat Hazards Earth Syst Sci 25:1425–1437. https://doi.org/10.5194/nhess-25-1425-2025</w:t>
      </w:r>
    </w:p>
    <w:p w14:paraId="6CF36B0A" w14:textId="77777777" w:rsidR="0050478C" w:rsidRDefault="0050478C" w:rsidP="0050478C">
      <w:pPr>
        <w:pStyle w:val="Bibliography"/>
      </w:pPr>
      <w:r>
        <w:lastRenderedPageBreak/>
        <w:t>Şensoy M, Kaplan L, Cerutti F, Saleki M (2020) Uncertainty-Aware Deep Classifiers Using Generative Models. In: Proceedings of the AAAI Conference on Artificial Intelligence. Association for the Advancement of Artificial Intelligence, pp 5620–5627</w:t>
      </w:r>
    </w:p>
    <w:p w14:paraId="515E5E89" w14:textId="77777777" w:rsidR="0050478C" w:rsidRDefault="0050478C" w:rsidP="0050478C">
      <w:pPr>
        <w:pStyle w:val="Bibliography"/>
      </w:pPr>
      <w:r>
        <w:t>Shaker M, Hüllermeier E (2025) Random forest calibration. Knowl-Based Syst 328:114143–114143. https://doi.org/10.1016/j.knosys.2025.114143</w:t>
      </w:r>
    </w:p>
    <w:p w14:paraId="2C5D8A02" w14:textId="77777777" w:rsidR="0050478C" w:rsidRDefault="0050478C" w:rsidP="0050478C">
      <w:pPr>
        <w:pStyle w:val="Bibliography"/>
      </w:pPr>
      <w:r>
        <w:t>Shi SY, Zhou J, Chen XJ, et al (2025) RISK ASSESSMENT OF GEOLOGICAL DISASTERS TRIGGERED BY HEAVY RAINFALL IN MOUNTAINOUS AREAS: A CASE STUDY IN HEBEI PROVINCE, CHINA. Appl Ecol Environ Res 23:5443–5460. https://doi.org/10.15666/aeer/2303_54435460</w:t>
      </w:r>
    </w:p>
    <w:p w14:paraId="1B843935" w14:textId="77777777" w:rsidR="0050478C" w:rsidRDefault="0050478C" w:rsidP="0050478C">
      <w:pPr>
        <w:pStyle w:val="Bibliography"/>
      </w:pPr>
      <w:r>
        <w:t>Singh A, Dhiman N, Niraj KC, Shukla DP (2024) “Ensembled transfer learning approach for error reduction in landslide susceptibility mapping of the data scare region.” Sci Rep 14:. https://doi.org/10.1038/s41598-024-76541-4</w:t>
      </w:r>
    </w:p>
    <w:p w14:paraId="3A936EDC" w14:textId="77777777" w:rsidR="0050478C" w:rsidRDefault="0050478C" w:rsidP="0050478C">
      <w:pPr>
        <w:pStyle w:val="Bibliography"/>
      </w:pPr>
      <w:r>
        <w:t>Singh G, Rosman B, Byrne MJ, Reynolds C (2025) An earth observation and explainable machine learning approach for determining the drivers of invasive species — a water hyacinth case study. Environ Monit Assess 197:. https://doi.org/10.1007/s10661-025-14517-1</w:t>
      </w:r>
    </w:p>
    <w:p w14:paraId="4510C823" w14:textId="77777777" w:rsidR="0050478C" w:rsidRDefault="0050478C" w:rsidP="0050478C">
      <w:pPr>
        <w:pStyle w:val="Bibliography"/>
      </w:pPr>
      <w:r>
        <w:t>Song Y, Guo J, Ma F, et al (2023) Spatial distribution analysis and application of engineering disturbance disasters in the Himalayan alpine valley. Front Earth Sci 10:. https://doi.org/10.3389/feart.2022.1098631</w:t>
      </w:r>
    </w:p>
    <w:p w14:paraId="2FDAB4DE" w14:textId="77777777" w:rsidR="0050478C" w:rsidRDefault="0050478C" w:rsidP="0050478C">
      <w:pPr>
        <w:pStyle w:val="Bibliography"/>
      </w:pPr>
      <w:r>
        <w:t>Stacey J, Salmon K, Janes T, et al (2023) Diverse skill of seasonal dynamical models in forecasting South Asian monsoon precipitation and the influence of ENSO and IOD. Clim Dyn 61:3857–3874. https://doi.org/10.1007/s00382-023-06770-2</w:t>
      </w:r>
    </w:p>
    <w:p w14:paraId="74596D6E" w14:textId="77777777" w:rsidR="0050478C" w:rsidRDefault="0050478C" w:rsidP="0050478C">
      <w:pPr>
        <w:pStyle w:val="Bibliography"/>
      </w:pPr>
      <w:r>
        <w:t>Stefanini FM, Ambrosini S, D′Alessandro F (2025) vulneraR: An R Package for Uncertainty Analysis in Coastal Vulnerability Studies. Mathematics 13:3603–3603. https://doi.org/10.3390/math13223603</w:t>
      </w:r>
    </w:p>
    <w:p w14:paraId="25C80B6D" w14:textId="77777777" w:rsidR="0050478C" w:rsidRDefault="0050478C" w:rsidP="0050478C">
      <w:pPr>
        <w:pStyle w:val="Bibliography"/>
      </w:pPr>
      <w:r>
        <w:t>Tai X, Anderegg WRL, Blanken PD, et al (2020) Hillslope Hydrology Influences the Spatial and Temporal Patterns of Remotely Sensed Ecosystem Productivity. Water Resour Res 56:. https://doi.org/10.1029/2020wr027630</w:t>
      </w:r>
    </w:p>
    <w:p w14:paraId="066B0ED2" w14:textId="77777777" w:rsidR="0050478C" w:rsidRDefault="0050478C" w:rsidP="0050478C">
      <w:pPr>
        <w:pStyle w:val="Bibliography"/>
      </w:pPr>
      <w:r>
        <w:t>Tehrani FS, Calvello M, Liu Z, et al (2022) Machine learning and landslide studies: recent advances and applications. Nat Hazards 114:1197–1245. https://doi.org/10.1007/s11069-022-05423-7</w:t>
      </w:r>
    </w:p>
    <w:p w14:paraId="542446EF" w14:textId="77777777" w:rsidR="0050478C" w:rsidRDefault="0050478C" w:rsidP="0050478C">
      <w:pPr>
        <w:pStyle w:val="Bibliography"/>
      </w:pPr>
      <w:r>
        <w:t>Thelen A, Huan X, Paulson N, et al (2024) Probabilistic machine learning for battery health diagnostics and prognostics—review and perspectives. Npj Mater Sustain 2:14. https://doi.org/10.1038/s44296-024-00011-1</w:t>
      </w:r>
    </w:p>
    <w:p w14:paraId="0EC224F4" w14:textId="77777777" w:rsidR="0050478C" w:rsidRDefault="0050478C" w:rsidP="0050478C">
      <w:pPr>
        <w:pStyle w:val="Bibliography"/>
      </w:pPr>
      <w:r>
        <w:t>Torizin J, Fuchs M, Balzer D, et al (2024) Project ‘“Mass Movements in Germany”’ and its implications for nationwide landslide susceptibility assessment. Bull Eng Geol Environ 83:. https://doi.org/10.1007/s10064-024-03691-0</w:t>
      </w:r>
    </w:p>
    <w:p w14:paraId="49106E38" w14:textId="77777777" w:rsidR="0050478C" w:rsidRDefault="0050478C" w:rsidP="0050478C">
      <w:pPr>
        <w:pStyle w:val="Bibliography"/>
      </w:pPr>
      <w:r>
        <w:t>Vashisht S, Rani S, Feng H (2026) Multimodal and Agentic Intelligence–Driven ML Fusion for Sustainable 6G Network Slicing. IEEE Open J Commun Soc 7:1643–1653. https://doi.org/10.1109/OJCOMS.2026.3663612</w:t>
      </w:r>
    </w:p>
    <w:p w14:paraId="1661426C" w14:textId="77777777" w:rsidR="0050478C" w:rsidRDefault="0050478C" w:rsidP="0050478C">
      <w:pPr>
        <w:pStyle w:val="Bibliography"/>
      </w:pPr>
      <w:r>
        <w:t>Wang Y, Khodadadzadeh M, Zurita‐Milla R (2023) Spatial+: A new cross-validation method to evaluate geospatial machine learning models. Int J Appl Earth Obs Geoinformation 121:103364–103364. https://doi.org/10.1016/j.jag.2023.103364</w:t>
      </w:r>
    </w:p>
    <w:p w14:paraId="2C3DE82D" w14:textId="77777777" w:rsidR="0050478C" w:rsidRDefault="0050478C" w:rsidP="0050478C">
      <w:pPr>
        <w:pStyle w:val="Bibliography"/>
      </w:pPr>
      <w:r>
        <w:t>Xia L, Shen J, Zhang T, et al (2023) GIS-based landslide susceptibility modeling using data mining techniques. Front Earth Sci 11:. https://doi.org/10.3389/feart.2023.1187384</w:t>
      </w:r>
    </w:p>
    <w:p w14:paraId="5E00D000" w14:textId="77777777" w:rsidR="0050478C" w:rsidRDefault="0050478C" w:rsidP="0050478C">
      <w:pPr>
        <w:pStyle w:val="Bibliography"/>
      </w:pPr>
      <w:r>
        <w:t>Yan Y, Yin X-C, Yang C, et al (2018) Biomedical literature classification with a CNNs-based hybrid learning network. PLoS ONE 13:. https://doi.org/10.1371/journal.pone.0197933</w:t>
      </w:r>
    </w:p>
    <w:p w14:paraId="60387F0B" w14:textId="77777777" w:rsidR="0050478C" w:rsidRDefault="0050478C" w:rsidP="0050478C">
      <w:pPr>
        <w:pStyle w:val="Bibliography"/>
      </w:pPr>
      <w:r>
        <w:t>Zhou X, Xing Y (2025) Spatial consistency assessment and landslide susceptibility prediction optimization. Front Earth Sci 13:. https://doi.org/10.3389/feart.2025.1702688</w:t>
      </w:r>
    </w:p>
    <w:p w14:paraId="0341762A" w14:textId="1A8370BE" w:rsidR="005B28E8" w:rsidRPr="00340959" w:rsidRDefault="0050478C" w:rsidP="00105415">
      <w:pPr>
        <w:pStyle w:val="JenniRefBody"/>
        <w:spacing w:before="0" w:after="120"/>
        <w:ind w:left="270" w:hanging="270"/>
        <w:jc w:val="both"/>
        <w:rPr>
          <w:rFonts w:ascii="Arial" w:hAnsi="Arial" w:cs="Arial"/>
          <w:sz w:val="21"/>
          <w:szCs w:val="21"/>
        </w:rPr>
      </w:pPr>
      <w:r>
        <w:rPr>
          <w:rFonts w:ascii="Arial" w:hAnsi="Arial" w:cs="Arial"/>
          <w:sz w:val="21"/>
          <w:szCs w:val="21"/>
        </w:rPr>
        <w:fldChar w:fldCharType="end"/>
      </w:r>
    </w:p>
    <w:sectPr w:rsidR="005B28E8" w:rsidRPr="00340959" w:rsidSect="00340959">
      <w:footerReference w:type="default" r:id="rId23"/>
      <w:pgSz w:w="11906" w:h="16838" w:code="9"/>
      <w:pgMar w:top="1152" w:right="864" w:bottom="720" w:left="1152" w:header="706" w:footer="28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英明 安原" w:date="2026-04-26T08:19:00Z" w:initials="英安">
    <w:p w14:paraId="4C856982" w14:textId="097D5C5C" w:rsidR="00CD47B1" w:rsidRDefault="00CD47B1">
      <w:pPr>
        <w:pStyle w:val="CommentText"/>
      </w:pPr>
      <w:r>
        <w:rPr>
          <w:rStyle w:val="CommentReference"/>
        </w:rPr>
        <w:annotationRef/>
      </w:r>
      <w:r w:rsidRPr="00CD47B1">
        <w:t>While I didn't fully understand everything, I thought it was a well-structured paper. However, I do have some concerns. The biggest is that the logic for adopting GPC as the final model needs to be clarified. Since GPC is used despite RF being the best in terms of discriminatory performance, some readers might wonder, "Why use a lower-performing model in the end?" Therefore, instead of simply stating "because it's a Bayesian model," the argument that calibrated probabilities and uncertainties are necessary for risk communication and hazard management should be more prominent.</w:t>
      </w:r>
    </w:p>
  </w:comment>
  <w:comment w:id="1" w:author="Md Aftabur Rahman" w:date="2026-05-03T23:45:00Z" w:initials="MR">
    <w:p w14:paraId="7B1881F3" w14:textId="77777777" w:rsidR="00174ED1" w:rsidRDefault="00174ED1" w:rsidP="00174ED1">
      <w:pPr>
        <w:pStyle w:val="CommentText"/>
      </w:pPr>
      <w:r>
        <w:rPr>
          <w:rStyle w:val="CommentReference"/>
        </w:rPr>
        <w:annotationRef/>
      </w:r>
      <w:r>
        <w:t xml:space="preserve">Sensei, we have added the reason for using GPC in preparing the susceptibility map. </w:t>
      </w:r>
    </w:p>
  </w:comment>
  <w:comment w:id="2" w:author="Md Aftabur Rahman" w:date="2026-05-03T23:48:00Z" w:initials="MR">
    <w:p w14:paraId="748342E3" w14:textId="77777777" w:rsidR="00C10773" w:rsidRDefault="00C10773" w:rsidP="00C10773">
      <w:pPr>
        <w:pStyle w:val="CommentText"/>
      </w:pPr>
      <w:r>
        <w:rPr>
          <w:rStyle w:val="CommentReference"/>
        </w:rPr>
        <w:annotationRef/>
      </w:r>
      <w:r>
        <w:t>Sensei, Fig. 2 is revised to enhance the visibility</w:t>
      </w:r>
    </w:p>
  </w:comment>
  <w:comment w:id="3" w:author="英明 安原" w:date="2026-04-26T07:53:00Z" w:initials="英安">
    <w:p w14:paraId="3C1E9CB0" w14:textId="6A5C65CC" w:rsidR="006171B6" w:rsidRDefault="006171B6">
      <w:pPr>
        <w:pStyle w:val="CommentText"/>
      </w:pPr>
      <w:r>
        <w:rPr>
          <w:rStyle w:val="CommentReference"/>
        </w:rPr>
        <w:annotationRef/>
      </w:r>
      <w:r w:rsidRPr="006171B6">
        <w:t>This figure appears to have been created using generative AI, but recently, some journals have stated in their submission guidelines that figures created with generative AI are not allowed, so please be sure to check the guidelines carefully when submitting your work.</w:t>
      </w:r>
    </w:p>
  </w:comment>
  <w:comment w:id="4" w:author="Md Aftabur Rahman" w:date="2026-05-03T23:48:00Z" w:initials="MR">
    <w:p w14:paraId="69E36D80" w14:textId="77777777" w:rsidR="00C10773" w:rsidRDefault="00C10773" w:rsidP="00C10773">
      <w:pPr>
        <w:pStyle w:val="CommentText"/>
      </w:pPr>
      <w:r>
        <w:rPr>
          <w:rStyle w:val="CommentReference"/>
        </w:rPr>
        <w:annotationRef/>
      </w:r>
      <w:r>
        <w:t xml:space="preserve">Sensei, Fig. 3 is revised to avoid the issue related to generative AI. </w:t>
      </w:r>
    </w:p>
  </w:comment>
  <w:comment w:id="5" w:author="英明 安原" w:date="2026-04-26T08:02:00Z" w:initials="英安">
    <w:p w14:paraId="1EECC912" w14:textId="77777777" w:rsidR="00CE45DC" w:rsidRPr="00CE45DC" w:rsidRDefault="00CE45DC" w:rsidP="00CE45DC">
      <w:pPr>
        <w:pStyle w:val="CommentText"/>
      </w:pPr>
      <w:r>
        <w:rPr>
          <w:rStyle w:val="CommentReference"/>
        </w:rPr>
        <w:annotationRef/>
      </w:r>
      <w:r w:rsidRPr="00CE45DC">
        <w:rPr>
          <w:lang w:val="en"/>
        </w:rPr>
        <w:t>I don't think there's much point in connecting points with curves.</w:t>
      </w:r>
    </w:p>
    <w:p w14:paraId="24EDC1EA" w14:textId="7CEA6EE8" w:rsidR="00CE45DC" w:rsidRDefault="00CE45DC">
      <w:pPr>
        <w:pStyle w:val="CommentText"/>
      </w:pPr>
    </w:p>
  </w:comment>
  <w:comment w:id="6" w:author="Md Aftabur Rahman" w:date="2026-05-03T23:03:00Z" w:initials="MR">
    <w:p w14:paraId="3703117A" w14:textId="77777777" w:rsidR="003406BA" w:rsidRDefault="003406BA" w:rsidP="003406BA">
      <w:pPr>
        <w:pStyle w:val="CommentText"/>
      </w:pPr>
      <w:r>
        <w:rPr>
          <w:rStyle w:val="CommentReference"/>
        </w:rPr>
        <w:annotationRef/>
      </w:r>
      <w:r>
        <w:t xml:space="preserve">Sensei, representation has been changed.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56982" w15:done="0"/>
  <w15:commentEx w15:paraId="7B1881F3" w15:done="0"/>
  <w15:commentEx w15:paraId="748342E3" w15:done="0"/>
  <w15:commentEx w15:paraId="3C1E9CB0" w15:done="0"/>
  <w15:commentEx w15:paraId="69E36D80" w15:paraIdParent="3C1E9CB0" w15:done="0"/>
  <w15:commentEx w15:paraId="24EDC1EA" w15:done="0"/>
  <w15:commentEx w15:paraId="3703117A" w15:paraIdParent="24EDC1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8CFA8" w16cex:dateUtc="2026-04-25T23:19:00Z"/>
  <w16cex:commentExtensible w16cex:durableId="1B59AD5D" w16cex:dateUtc="2026-05-03T17:45:00Z"/>
  <w16cex:commentExtensible w16cex:durableId="1A38C96A" w16cex:dateUtc="2026-05-03T17:48:00Z"/>
  <w16cex:commentExtensible w16cex:durableId="7313385C" w16cex:dateUtc="2026-04-25T22:53:00Z"/>
  <w16cex:commentExtensible w16cex:durableId="2EBFFE96" w16cex:dateUtc="2026-05-03T17:48:00Z"/>
  <w16cex:commentExtensible w16cex:durableId="2274B179" w16cex:dateUtc="2026-04-25T23:02:00Z"/>
  <w16cex:commentExtensible w16cex:durableId="171F128D" w16cex:dateUtc="2026-05-03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56982" w16cid:durableId="5EF8CFA8"/>
  <w16cid:commentId w16cid:paraId="7B1881F3" w16cid:durableId="1B59AD5D"/>
  <w16cid:commentId w16cid:paraId="748342E3" w16cid:durableId="1A38C96A"/>
  <w16cid:commentId w16cid:paraId="3C1E9CB0" w16cid:durableId="7313385C"/>
  <w16cid:commentId w16cid:paraId="69E36D80" w16cid:durableId="2EBFFE96"/>
  <w16cid:commentId w16cid:paraId="24EDC1EA" w16cid:durableId="2274B179"/>
  <w16cid:commentId w16cid:paraId="3703117A" w16cid:durableId="171F12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D624F" w14:textId="77777777" w:rsidR="009939B2" w:rsidRDefault="009939B2" w:rsidP="00340959">
      <w:pPr>
        <w:spacing w:before="0" w:after="0"/>
      </w:pPr>
      <w:r>
        <w:separator/>
      </w:r>
    </w:p>
  </w:endnote>
  <w:endnote w:type="continuationSeparator" w:id="0">
    <w:p w14:paraId="5E73E86A" w14:textId="77777777" w:rsidR="009939B2" w:rsidRDefault="009939B2" w:rsidP="0034095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119957362"/>
      <w:docPartObj>
        <w:docPartGallery w:val="Page Numbers (Bottom of Page)"/>
        <w:docPartUnique/>
      </w:docPartObj>
    </w:sdtPr>
    <w:sdtContent>
      <w:sdt>
        <w:sdtPr>
          <w:rPr>
            <w:rFonts w:ascii="Arial" w:hAnsi="Arial" w:cs="Arial"/>
            <w:sz w:val="16"/>
            <w:szCs w:val="16"/>
          </w:rPr>
          <w:id w:val="-1769616900"/>
          <w:docPartObj>
            <w:docPartGallery w:val="Page Numbers (Top of Page)"/>
            <w:docPartUnique/>
          </w:docPartObj>
        </w:sdtPr>
        <w:sdtContent>
          <w:p w14:paraId="0E67369D" w14:textId="70F0B4D8" w:rsidR="00340959" w:rsidRPr="00340959" w:rsidRDefault="00340959">
            <w:pPr>
              <w:pStyle w:val="Footer"/>
              <w:jc w:val="right"/>
              <w:rPr>
                <w:rFonts w:ascii="Arial" w:hAnsi="Arial" w:cs="Arial"/>
                <w:sz w:val="16"/>
                <w:szCs w:val="16"/>
              </w:rPr>
            </w:pPr>
            <w:r w:rsidRPr="00340959">
              <w:rPr>
                <w:rFonts w:ascii="Arial" w:hAnsi="Arial" w:cs="Arial"/>
                <w:sz w:val="16"/>
                <w:szCs w:val="16"/>
              </w:rPr>
              <w:t xml:space="preserve">Page </w:t>
            </w:r>
            <w:r w:rsidRPr="00340959">
              <w:rPr>
                <w:rFonts w:ascii="Arial" w:hAnsi="Arial" w:cs="Arial"/>
                <w:b/>
                <w:bCs/>
                <w:sz w:val="16"/>
                <w:szCs w:val="16"/>
              </w:rPr>
              <w:fldChar w:fldCharType="begin"/>
            </w:r>
            <w:r w:rsidRPr="00340959">
              <w:rPr>
                <w:rFonts w:ascii="Arial" w:hAnsi="Arial" w:cs="Arial"/>
                <w:b/>
                <w:bCs/>
                <w:sz w:val="16"/>
                <w:szCs w:val="16"/>
              </w:rPr>
              <w:instrText xml:space="preserve"> PAGE </w:instrText>
            </w:r>
            <w:r w:rsidRPr="00340959">
              <w:rPr>
                <w:rFonts w:ascii="Arial" w:hAnsi="Arial" w:cs="Arial"/>
                <w:b/>
                <w:bCs/>
                <w:sz w:val="16"/>
                <w:szCs w:val="16"/>
              </w:rPr>
              <w:fldChar w:fldCharType="separate"/>
            </w:r>
            <w:r w:rsidRPr="00340959">
              <w:rPr>
                <w:rFonts w:ascii="Arial" w:hAnsi="Arial" w:cs="Arial"/>
                <w:b/>
                <w:bCs/>
                <w:noProof/>
                <w:sz w:val="16"/>
                <w:szCs w:val="16"/>
              </w:rPr>
              <w:t>2</w:t>
            </w:r>
            <w:r w:rsidRPr="00340959">
              <w:rPr>
                <w:rFonts w:ascii="Arial" w:hAnsi="Arial" w:cs="Arial"/>
                <w:b/>
                <w:bCs/>
                <w:sz w:val="16"/>
                <w:szCs w:val="16"/>
              </w:rPr>
              <w:fldChar w:fldCharType="end"/>
            </w:r>
            <w:r w:rsidRPr="00340959">
              <w:rPr>
                <w:rFonts w:ascii="Arial" w:hAnsi="Arial" w:cs="Arial"/>
                <w:sz w:val="16"/>
                <w:szCs w:val="16"/>
              </w:rPr>
              <w:t xml:space="preserve"> of </w:t>
            </w:r>
            <w:r w:rsidRPr="00340959">
              <w:rPr>
                <w:rFonts w:ascii="Arial" w:hAnsi="Arial" w:cs="Arial"/>
                <w:b/>
                <w:bCs/>
                <w:sz w:val="16"/>
                <w:szCs w:val="16"/>
              </w:rPr>
              <w:fldChar w:fldCharType="begin"/>
            </w:r>
            <w:r w:rsidRPr="00340959">
              <w:rPr>
                <w:rFonts w:ascii="Arial" w:hAnsi="Arial" w:cs="Arial"/>
                <w:b/>
                <w:bCs/>
                <w:sz w:val="16"/>
                <w:szCs w:val="16"/>
              </w:rPr>
              <w:instrText xml:space="preserve"> NUMPAGES  </w:instrText>
            </w:r>
            <w:r w:rsidRPr="00340959">
              <w:rPr>
                <w:rFonts w:ascii="Arial" w:hAnsi="Arial" w:cs="Arial"/>
                <w:b/>
                <w:bCs/>
                <w:sz w:val="16"/>
                <w:szCs w:val="16"/>
              </w:rPr>
              <w:fldChar w:fldCharType="separate"/>
            </w:r>
            <w:r w:rsidRPr="00340959">
              <w:rPr>
                <w:rFonts w:ascii="Arial" w:hAnsi="Arial" w:cs="Arial"/>
                <w:b/>
                <w:bCs/>
                <w:noProof/>
                <w:sz w:val="16"/>
                <w:szCs w:val="16"/>
              </w:rPr>
              <w:t>2</w:t>
            </w:r>
            <w:r w:rsidRPr="00340959">
              <w:rPr>
                <w:rFonts w:ascii="Arial" w:hAnsi="Arial" w:cs="Arial"/>
                <w:b/>
                <w:bCs/>
                <w:sz w:val="16"/>
                <w:szCs w:val="16"/>
              </w:rPr>
              <w:fldChar w:fldCharType="end"/>
            </w:r>
          </w:p>
        </w:sdtContent>
      </w:sdt>
    </w:sdtContent>
  </w:sdt>
  <w:p w14:paraId="4D2887F7" w14:textId="77777777" w:rsidR="00340959" w:rsidRDefault="00340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E461E" w14:textId="77777777" w:rsidR="009939B2" w:rsidRDefault="009939B2" w:rsidP="00340959">
      <w:pPr>
        <w:spacing w:before="0" w:after="0"/>
      </w:pPr>
      <w:r>
        <w:separator/>
      </w:r>
    </w:p>
  </w:footnote>
  <w:footnote w:type="continuationSeparator" w:id="0">
    <w:p w14:paraId="555825E0" w14:textId="77777777" w:rsidR="009939B2" w:rsidRDefault="009939B2" w:rsidP="0034095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1441D"/>
    <w:multiLevelType w:val="hybridMultilevel"/>
    <w:tmpl w:val="98069324"/>
    <w:lvl w:ilvl="0" w:tplc="489012BA">
      <w:start w:val="1"/>
      <w:numFmt w:val="bullet"/>
      <w:lvlText w:val="●"/>
      <w:lvlJc w:val="left"/>
      <w:pPr>
        <w:ind w:left="720" w:hanging="360"/>
      </w:pPr>
    </w:lvl>
    <w:lvl w:ilvl="1" w:tplc="DAAC8096">
      <w:start w:val="1"/>
      <w:numFmt w:val="bullet"/>
      <w:lvlText w:val="○"/>
      <w:lvlJc w:val="left"/>
      <w:pPr>
        <w:ind w:left="1440" w:hanging="360"/>
      </w:pPr>
    </w:lvl>
    <w:lvl w:ilvl="2" w:tplc="8ADA3F96">
      <w:start w:val="1"/>
      <w:numFmt w:val="bullet"/>
      <w:lvlText w:val="■"/>
      <w:lvlJc w:val="left"/>
      <w:pPr>
        <w:ind w:left="2160" w:hanging="360"/>
      </w:pPr>
    </w:lvl>
    <w:lvl w:ilvl="3" w:tplc="C04A7E40">
      <w:start w:val="1"/>
      <w:numFmt w:val="bullet"/>
      <w:lvlText w:val="●"/>
      <w:lvlJc w:val="left"/>
      <w:pPr>
        <w:ind w:left="2880" w:hanging="360"/>
      </w:pPr>
    </w:lvl>
    <w:lvl w:ilvl="4" w:tplc="EB3CF524">
      <w:start w:val="1"/>
      <w:numFmt w:val="bullet"/>
      <w:lvlText w:val="○"/>
      <w:lvlJc w:val="left"/>
      <w:pPr>
        <w:ind w:left="3600" w:hanging="360"/>
      </w:pPr>
    </w:lvl>
    <w:lvl w:ilvl="5" w:tplc="305A5D5E">
      <w:start w:val="1"/>
      <w:numFmt w:val="bullet"/>
      <w:lvlText w:val="■"/>
      <w:lvlJc w:val="left"/>
      <w:pPr>
        <w:ind w:left="4320" w:hanging="360"/>
      </w:pPr>
    </w:lvl>
    <w:lvl w:ilvl="6" w:tplc="6736DDB4">
      <w:start w:val="1"/>
      <w:numFmt w:val="bullet"/>
      <w:lvlText w:val="●"/>
      <w:lvlJc w:val="left"/>
      <w:pPr>
        <w:ind w:left="5040" w:hanging="360"/>
      </w:pPr>
    </w:lvl>
    <w:lvl w:ilvl="7" w:tplc="EAB6EC0A">
      <w:start w:val="1"/>
      <w:numFmt w:val="bullet"/>
      <w:lvlText w:val="●"/>
      <w:lvlJc w:val="left"/>
      <w:pPr>
        <w:ind w:left="5760" w:hanging="360"/>
      </w:pPr>
    </w:lvl>
    <w:lvl w:ilvl="8" w:tplc="BBD21A76">
      <w:start w:val="1"/>
      <w:numFmt w:val="bullet"/>
      <w:lvlText w:val="●"/>
      <w:lvlJc w:val="left"/>
      <w:pPr>
        <w:ind w:left="6480" w:hanging="360"/>
      </w:pPr>
    </w:lvl>
  </w:abstractNum>
  <w:abstractNum w:abstractNumId="1" w15:restartNumberingAfterBreak="0">
    <w:nsid w:val="322615EB"/>
    <w:multiLevelType w:val="hybridMultilevel"/>
    <w:tmpl w:val="0BB0A206"/>
    <w:lvl w:ilvl="0" w:tplc="2848DF3C">
      <w:start w:val="1"/>
      <w:numFmt w:val="decimalEnclosedFullstop"/>
      <w:lvlText w:val="%1"/>
      <w:lvlJc w:val="left"/>
      <w:pPr>
        <w:ind w:left="720" w:hanging="360"/>
      </w:pPr>
    </w:lvl>
    <w:lvl w:ilvl="1" w:tplc="8FFAF48A">
      <w:start w:val="1"/>
      <w:numFmt w:val="decimalEnclosedFullstop"/>
      <w:lvlText w:val="%2"/>
      <w:lvlJc w:val="left"/>
      <w:pPr>
        <w:ind w:left="1440" w:hanging="360"/>
      </w:pPr>
    </w:lvl>
    <w:lvl w:ilvl="2" w:tplc="FE1624A4">
      <w:start w:val="1"/>
      <w:numFmt w:val="decimalEnclosedFullstop"/>
      <w:lvlText w:val="%3"/>
      <w:lvlJc w:val="left"/>
      <w:pPr>
        <w:ind w:left="2160" w:hanging="360"/>
      </w:pPr>
    </w:lvl>
    <w:lvl w:ilvl="3" w:tplc="2BB6523E">
      <w:start w:val="1"/>
      <w:numFmt w:val="decimalEnclosedFullstop"/>
      <w:lvlText w:val="%4"/>
      <w:lvlJc w:val="left"/>
      <w:pPr>
        <w:ind w:left="2880" w:hanging="360"/>
      </w:pPr>
    </w:lvl>
    <w:lvl w:ilvl="4" w:tplc="7B3E9F8E">
      <w:start w:val="1"/>
      <w:numFmt w:val="decimalEnclosedFullstop"/>
      <w:lvlText w:val="%5"/>
      <w:lvlJc w:val="left"/>
      <w:pPr>
        <w:ind w:left="3600" w:hanging="360"/>
      </w:pPr>
    </w:lvl>
    <w:lvl w:ilvl="5" w:tplc="B1EA0F4C">
      <w:start w:val="1"/>
      <w:numFmt w:val="decimalEnclosedFullstop"/>
      <w:lvlText w:val="%6"/>
      <w:lvlJc w:val="left"/>
      <w:pPr>
        <w:ind w:left="4320" w:hanging="360"/>
      </w:pPr>
    </w:lvl>
    <w:lvl w:ilvl="6" w:tplc="58C62940">
      <w:start w:val="1"/>
      <w:numFmt w:val="decimalEnclosedFullstop"/>
      <w:lvlText w:val="%7"/>
      <w:lvlJc w:val="left"/>
      <w:pPr>
        <w:ind w:left="5040" w:hanging="360"/>
      </w:pPr>
    </w:lvl>
    <w:lvl w:ilvl="7" w:tplc="C8A01CD4">
      <w:start w:val="1"/>
      <w:numFmt w:val="decimalEnclosedFullstop"/>
      <w:lvlText w:val="%8"/>
      <w:lvlJc w:val="left"/>
      <w:pPr>
        <w:ind w:left="5760" w:hanging="360"/>
      </w:pPr>
    </w:lvl>
    <w:lvl w:ilvl="8" w:tplc="6130C854">
      <w:start w:val="1"/>
      <w:numFmt w:val="decimalEnclosedFullstop"/>
      <w:lvlText w:val="%9"/>
      <w:lvlJc w:val="left"/>
      <w:pPr>
        <w:ind w:left="6480" w:hanging="360"/>
      </w:pPr>
    </w:lvl>
  </w:abstractNum>
  <w:abstractNum w:abstractNumId="2" w15:restartNumberingAfterBreak="0">
    <w:nsid w:val="40B64A97"/>
    <w:multiLevelType w:val="hybridMultilevel"/>
    <w:tmpl w:val="ADA66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2B3DDE"/>
    <w:multiLevelType w:val="multilevel"/>
    <w:tmpl w:val="832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7223B"/>
    <w:multiLevelType w:val="hybridMultilevel"/>
    <w:tmpl w:val="E610B75A"/>
    <w:lvl w:ilvl="0" w:tplc="6BE239FA">
      <w:start w:val="1"/>
      <w:numFmt w:val="bullet"/>
      <w:lvlText w:val=""/>
      <w:lvlJc w:val="left"/>
      <w:pPr>
        <w:ind w:left="720" w:hanging="360"/>
      </w:pPr>
    </w:lvl>
    <w:lvl w:ilvl="1" w:tplc="8B085CBA">
      <w:start w:val="1"/>
      <w:numFmt w:val="bullet"/>
      <w:lvlText w:val=""/>
      <w:lvlJc w:val="left"/>
      <w:pPr>
        <w:ind w:left="1440" w:hanging="360"/>
      </w:pPr>
    </w:lvl>
    <w:lvl w:ilvl="2" w:tplc="ABD8339E">
      <w:start w:val="1"/>
      <w:numFmt w:val="bullet"/>
      <w:lvlText w:val=""/>
      <w:lvlJc w:val="left"/>
      <w:pPr>
        <w:ind w:left="2160" w:hanging="360"/>
      </w:pPr>
    </w:lvl>
    <w:lvl w:ilvl="3" w:tplc="82405ED4">
      <w:start w:val="1"/>
      <w:numFmt w:val="bullet"/>
      <w:lvlText w:val=""/>
      <w:lvlJc w:val="left"/>
      <w:pPr>
        <w:ind w:left="2880" w:hanging="360"/>
      </w:pPr>
    </w:lvl>
    <w:lvl w:ilvl="4" w:tplc="63CC0D54">
      <w:start w:val="1"/>
      <w:numFmt w:val="bullet"/>
      <w:lvlText w:val=""/>
      <w:lvlJc w:val="left"/>
      <w:pPr>
        <w:ind w:left="3600" w:hanging="360"/>
      </w:pPr>
    </w:lvl>
    <w:lvl w:ilvl="5" w:tplc="AADC4A00">
      <w:start w:val="1"/>
      <w:numFmt w:val="bullet"/>
      <w:lvlText w:val=""/>
      <w:lvlJc w:val="left"/>
      <w:pPr>
        <w:ind w:left="4320" w:hanging="360"/>
      </w:pPr>
    </w:lvl>
    <w:lvl w:ilvl="6" w:tplc="3FECB482">
      <w:start w:val="1"/>
      <w:numFmt w:val="bullet"/>
      <w:lvlText w:val=""/>
      <w:lvlJc w:val="left"/>
      <w:pPr>
        <w:ind w:left="5040" w:hanging="360"/>
      </w:pPr>
    </w:lvl>
    <w:lvl w:ilvl="7" w:tplc="7B260566">
      <w:start w:val="1"/>
      <w:numFmt w:val="bullet"/>
      <w:lvlText w:val=""/>
      <w:lvlJc w:val="left"/>
      <w:pPr>
        <w:ind w:left="5760" w:hanging="360"/>
      </w:pPr>
    </w:lvl>
    <w:lvl w:ilvl="8" w:tplc="7500FCB2">
      <w:start w:val="1"/>
      <w:numFmt w:val="bullet"/>
      <w:lvlText w:val=""/>
      <w:lvlJc w:val="left"/>
      <w:pPr>
        <w:ind w:left="6480" w:hanging="360"/>
      </w:pPr>
    </w:lvl>
  </w:abstractNum>
  <w:num w:numId="1" w16cid:durableId="1635714395">
    <w:abstractNumId w:val="0"/>
    <w:lvlOverride w:ilvl="0">
      <w:startOverride w:val="1"/>
    </w:lvlOverride>
  </w:num>
  <w:num w:numId="2" w16cid:durableId="838424152">
    <w:abstractNumId w:val="2"/>
  </w:num>
  <w:num w:numId="3" w16cid:durableId="2340521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英明 安原">
    <w15:presenceInfo w15:providerId="Windows Live" w15:userId="3a898e623f7e1b9f"/>
  </w15:person>
  <w15:person w15:author="Md Aftabur Rahman">
    <w15:presenceInfo w15:providerId="Windows Live" w15:userId="4853b06ab9dba6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E8"/>
    <w:rsid w:val="0000656E"/>
    <w:rsid w:val="000139B7"/>
    <w:rsid w:val="00014D20"/>
    <w:rsid w:val="000152B3"/>
    <w:rsid w:val="00023FB6"/>
    <w:rsid w:val="00043F51"/>
    <w:rsid w:val="00050108"/>
    <w:rsid w:val="000750C2"/>
    <w:rsid w:val="000B1123"/>
    <w:rsid w:val="000D3C72"/>
    <w:rsid w:val="000D4E59"/>
    <w:rsid w:val="000F0B5C"/>
    <w:rsid w:val="000F36B7"/>
    <w:rsid w:val="0010159B"/>
    <w:rsid w:val="00105415"/>
    <w:rsid w:val="00132AFC"/>
    <w:rsid w:val="00162937"/>
    <w:rsid w:val="00174ED1"/>
    <w:rsid w:val="001813BC"/>
    <w:rsid w:val="00181C81"/>
    <w:rsid w:val="001B5C0A"/>
    <w:rsid w:val="001E256C"/>
    <w:rsid w:val="001E5B4C"/>
    <w:rsid w:val="001E78B5"/>
    <w:rsid w:val="001F2FF7"/>
    <w:rsid w:val="00213633"/>
    <w:rsid w:val="00224A17"/>
    <w:rsid w:val="0025239D"/>
    <w:rsid w:val="0025506D"/>
    <w:rsid w:val="00273991"/>
    <w:rsid w:val="0029321A"/>
    <w:rsid w:val="002B0D57"/>
    <w:rsid w:val="002E13CA"/>
    <w:rsid w:val="002E152D"/>
    <w:rsid w:val="002E64C8"/>
    <w:rsid w:val="002F170D"/>
    <w:rsid w:val="0030014F"/>
    <w:rsid w:val="00302C85"/>
    <w:rsid w:val="00335676"/>
    <w:rsid w:val="003406BA"/>
    <w:rsid w:val="00340959"/>
    <w:rsid w:val="0034162E"/>
    <w:rsid w:val="00345E8A"/>
    <w:rsid w:val="0035201E"/>
    <w:rsid w:val="00367615"/>
    <w:rsid w:val="003727C9"/>
    <w:rsid w:val="003729EA"/>
    <w:rsid w:val="00376E9D"/>
    <w:rsid w:val="003A25A9"/>
    <w:rsid w:val="003B438B"/>
    <w:rsid w:val="003C6790"/>
    <w:rsid w:val="003D475B"/>
    <w:rsid w:val="003E3F90"/>
    <w:rsid w:val="00412A33"/>
    <w:rsid w:val="00417152"/>
    <w:rsid w:val="00426A1F"/>
    <w:rsid w:val="0046378D"/>
    <w:rsid w:val="004701D8"/>
    <w:rsid w:val="00492B1B"/>
    <w:rsid w:val="00492F38"/>
    <w:rsid w:val="004976F9"/>
    <w:rsid w:val="004A2710"/>
    <w:rsid w:val="004A4946"/>
    <w:rsid w:val="004B5E5B"/>
    <w:rsid w:val="004B6105"/>
    <w:rsid w:val="004C449E"/>
    <w:rsid w:val="004D3B85"/>
    <w:rsid w:val="0050478C"/>
    <w:rsid w:val="005116F3"/>
    <w:rsid w:val="00514474"/>
    <w:rsid w:val="00556783"/>
    <w:rsid w:val="00567FB5"/>
    <w:rsid w:val="00571FF7"/>
    <w:rsid w:val="0058719A"/>
    <w:rsid w:val="005974FC"/>
    <w:rsid w:val="005B28E8"/>
    <w:rsid w:val="005D0279"/>
    <w:rsid w:val="005E1CE8"/>
    <w:rsid w:val="005E73F7"/>
    <w:rsid w:val="0061123F"/>
    <w:rsid w:val="00615F38"/>
    <w:rsid w:val="006171B6"/>
    <w:rsid w:val="00625A89"/>
    <w:rsid w:val="00626EBC"/>
    <w:rsid w:val="00627000"/>
    <w:rsid w:val="00633EF5"/>
    <w:rsid w:val="006367E3"/>
    <w:rsid w:val="006560F0"/>
    <w:rsid w:val="00693F4F"/>
    <w:rsid w:val="006961D9"/>
    <w:rsid w:val="006B3FCC"/>
    <w:rsid w:val="006C12E5"/>
    <w:rsid w:val="006D1AD2"/>
    <w:rsid w:val="006D4BC0"/>
    <w:rsid w:val="006F2050"/>
    <w:rsid w:val="006F3ED4"/>
    <w:rsid w:val="00711FAE"/>
    <w:rsid w:val="00713DAE"/>
    <w:rsid w:val="007379D8"/>
    <w:rsid w:val="00764B30"/>
    <w:rsid w:val="007850A9"/>
    <w:rsid w:val="007A2AFA"/>
    <w:rsid w:val="007B766F"/>
    <w:rsid w:val="007E51DD"/>
    <w:rsid w:val="007E6071"/>
    <w:rsid w:val="00832438"/>
    <w:rsid w:val="00855B1E"/>
    <w:rsid w:val="00860EF9"/>
    <w:rsid w:val="00864D5E"/>
    <w:rsid w:val="00872895"/>
    <w:rsid w:val="008A060E"/>
    <w:rsid w:val="008A259B"/>
    <w:rsid w:val="008A70E9"/>
    <w:rsid w:val="008B39EC"/>
    <w:rsid w:val="008D58D4"/>
    <w:rsid w:val="008F2650"/>
    <w:rsid w:val="00904121"/>
    <w:rsid w:val="009067BE"/>
    <w:rsid w:val="00927875"/>
    <w:rsid w:val="00954C61"/>
    <w:rsid w:val="00966032"/>
    <w:rsid w:val="009939B2"/>
    <w:rsid w:val="009C3E91"/>
    <w:rsid w:val="009C4819"/>
    <w:rsid w:val="009F1E39"/>
    <w:rsid w:val="009F7D21"/>
    <w:rsid w:val="00A15DD1"/>
    <w:rsid w:val="00A20F73"/>
    <w:rsid w:val="00A42C6C"/>
    <w:rsid w:val="00A51BB9"/>
    <w:rsid w:val="00A746D2"/>
    <w:rsid w:val="00A97A2D"/>
    <w:rsid w:val="00AB628D"/>
    <w:rsid w:val="00AC4CAA"/>
    <w:rsid w:val="00AE6AC7"/>
    <w:rsid w:val="00B03596"/>
    <w:rsid w:val="00B10343"/>
    <w:rsid w:val="00B353DD"/>
    <w:rsid w:val="00B405A8"/>
    <w:rsid w:val="00B4552B"/>
    <w:rsid w:val="00B52F0B"/>
    <w:rsid w:val="00B567CC"/>
    <w:rsid w:val="00B61B2F"/>
    <w:rsid w:val="00B86454"/>
    <w:rsid w:val="00BA5407"/>
    <w:rsid w:val="00BD5AC2"/>
    <w:rsid w:val="00C022BF"/>
    <w:rsid w:val="00C0298E"/>
    <w:rsid w:val="00C10773"/>
    <w:rsid w:val="00C13C7B"/>
    <w:rsid w:val="00C168BA"/>
    <w:rsid w:val="00C17BC1"/>
    <w:rsid w:val="00C64BB2"/>
    <w:rsid w:val="00C65098"/>
    <w:rsid w:val="00C85AAB"/>
    <w:rsid w:val="00CA4458"/>
    <w:rsid w:val="00CA5C60"/>
    <w:rsid w:val="00CB2647"/>
    <w:rsid w:val="00CC1241"/>
    <w:rsid w:val="00CC13C9"/>
    <w:rsid w:val="00CC2EB1"/>
    <w:rsid w:val="00CC311D"/>
    <w:rsid w:val="00CC491C"/>
    <w:rsid w:val="00CD2ECF"/>
    <w:rsid w:val="00CD47B1"/>
    <w:rsid w:val="00CE45DC"/>
    <w:rsid w:val="00D4784A"/>
    <w:rsid w:val="00D53A16"/>
    <w:rsid w:val="00D61F62"/>
    <w:rsid w:val="00D7557B"/>
    <w:rsid w:val="00DA4FC5"/>
    <w:rsid w:val="00DA73E5"/>
    <w:rsid w:val="00DF02E1"/>
    <w:rsid w:val="00DF7AC4"/>
    <w:rsid w:val="00E104DB"/>
    <w:rsid w:val="00E32FEE"/>
    <w:rsid w:val="00E40E38"/>
    <w:rsid w:val="00E47337"/>
    <w:rsid w:val="00E57BC1"/>
    <w:rsid w:val="00E73E78"/>
    <w:rsid w:val="00EA1323"/>
    <w:rsid w:val="00EC047A"/>
    <w:rsid w:val="00EC60E6"/>
    <w:rsid w:val="00EC71F6"/>
    <w:rsid w:val="00ED19A0"/>
    <w:rsid w:val="00EE403A"/>
    <w:rsid w:val="00EF455D"/>
    <w:rsid w:val="00F01E75"/>
    <w:rsid w:val="00F04E48"/>
    <w:rsid w:val="00F47DC5"/>
    <w:rsid w:val="00F5320B"/>
    <w:rsid w:val="00F837DF"/>
    <w:rsid w:val="00F85F55"/>
    <w:rsid w:val="00F93549"/>
    <w:rsid w:val="00F9622B"/>
    <w:rsid w:val="00FC6F1E"/>
    <w:rsid w:val="00FE4492"/>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147937"/>
  <w15:docId w15:val="{6B32B270-A0FE-44CB-80A9-917F0F7D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styleId="LineNumber">
    <w:name w:val="line number"/>
    <w:basedOn w:val="DefaultParagraphFont"/>
    <w:uiPriority w:val="99"/>
    <w:semiHidden/>
    <w:unhideWhenUsed/>
    <w:rsid w:val="004976F9"/>
  </w:style>
  <w:style w:type="paragraph" w:styleId="NoSpacing">
    <w:name w:val="No Spacing"/>
    <w:uiPriority w:val="1"/>
    <w:qFormat/>
    <w:rsid w:val="009F7D21"/>
    <w:pPr>
      <w:spacing w:before="0" w:after="0"/>
    </w:pPr>
  </w:style>
  <w:style w:type="character" w:styleId="UnresolvedMention">
    <w:name w:val="Unresolved Mention"/>
    <w:basedOn w:val="DefaultParagraphFont"/>
    <w:uiPriority w:val="99"/>
    <w:semiHidden/>
    <w:unhideWhenUsed/>
    <w:rsid w:val="00633EF5"/>
    <w:rPr>
      <w:color w:val="605E5C"/>
      <w:shd w:val="clear" w:color="auto" w:fill="E1DFDD"/>
    </w:rPr>
  </w:style>
  <w:style w:type="character" w:styleId="CommentReference">
    <w:name w:val="annotation reference"/>
    <w:basedOn w:val="DefaultParagraphFont"/>
    <w:uiPriority w:val="99"/>
    <w:semiHidden/>
    <w:unhideWhenUsed/>
    <w:rsid w:val="00C022BF"/>
    <w:rPr>
      <w:sz w:val="16"/>
      <w:szCs w:val="16"/>
    </w:rPr>
  </w:style>
  <w:style w:type="paragraph" w:styleId="CommentText">
    <w:name w:val="annotation text"/>
    <w:basedOn w:val="Normal"/>
    <w:link w:val="CommentTextChar"/>
    <w:uiPriority w:val="99"/>
    <w:unhideWhenUsed/>
    <w:rsid w:val="00C022BF"/>
  </w:style>
  <w:style w:type="character" w:customStyle="1" w:styleId="CommentTextChar">
    <w:name w:val="Comment Text Char"/>
    <w:basedOn w:val="DefaultParagraphFont"/>
    <w:link w:val="CommentText"/>
    <w:uiPriority w:val="99"/>
    <w:rsid w:val="00C022BF"/>
  </w:style>
  <w:style w:type="paragraph" w:styleId="CommentSubject">
    <w:name w:val="annotation subject"/>
    <w:basedOn w:val="CommentText"/>
    <w:next w:val="CommentText"/>
    <w:link w:val="CommentSubjectChar"/>
    <w:uiPriority w:val="99"/>
    <w:semiHidden/>
    <w:unhideWhenUsed/>
    <w:rsid w:val="00C022BF"/>
    <w:rPr>
      <w:b/>
      <w:bCs/>
    </w:rPr>
  </w:style>
  <w:style w:type="character" w:customStyle="1" w:styleId="CommentSubjectChar">
    <w:name w:val="Comment Subject Char"/>
    <w:basedOn w:val="CommentTextChar"/>
    <w:link w:val="CommentSubject"/>
    <w:uiPriority w:val="99"/>
    <w:semiHidden/>
    <w:rsid w:val="00C022BF"/>
    <w:rPr>
      <w:b/>
      <w:bCs/>
    </w:rPr>
  </w:style>
  <w:style w:type="paragraph" w:styleId="Bibliography">
    <w:name w:val="Bibliography"/>
    <w:basedOn w:val="Normal"/>
    <w:next w:val="Normal"/>
    <w:uiPriority w:val="37"/>
    <w:unhideWhenUsed/>
    <w:rsid w:val="00AC4CAA"/>
    <w:pPr>
      <w:spacing w:after="240"/>
      <w:ind w:left="720" w:hanging="720"/>
    </w:pPr>
  </w:style>
  <w:style w:type="paragraph" w:styleId="Header">
    <w:name w:val="header"/>
    <w:basedOn w:val="Normal"/>
    <w:link w:val="HeaderChar"/>
    <w:uiPriority w:val="99"/>
    <w:unhideWhenUsed/>
    <w:rsid w:val="00340959"/>
    <w:pPr>
      <w:tabs>
        <w:tab w:val="center" w:pos="4680"/>
        <w:tab w:val="right" w:pos="9360"/>
      </w:tabs>
      <w:spacing w:before="0" w:after="0"/>
    </w:pPr>
  </w:style>
  <w:style w:type="character" w:customStyle="1" w:styleId="HeaderChar">
    <w:name w:val="Header Char"/>
    <w:basedOn w:val="DefaultParagraphFont"/>
    <w:link w:val="Header"/>
    <w:uiPriority w:val="99"/>
    <w:rsid w:val="00340959"/>
  </w:style>
  <w:style w:type="paragraph" w:styleId="Footer">
    <w:name w:val="footer"/>
    <w:basedOn w:val="Normal"/>
    <w:link w:val="FooterChar"/>
    <w:uiPriority w:val="99"/>
    <w:unhideWhenUsed/>
    <w:rsid w:val="00340959"/>
    <w:pPr>
      <w:tabs>
        <w:tab w:val="center" w:pos="4680"/>
        <w:tab w:val="right" w:pos="9360"/>
      </w:tabs>
      <w:spacing w:before="0" w:after="0"/>
    </w:pPr>
  </w:style>
  <w:style w:type="character" w:customStyle="1" w:styleId="FooterChar">
    <w:name w:val="Footer Char"/>
    <w:basedOn w:val="DefaultParagraphFont"/>
    <w:link w:val="Footer"/>
    <w:uiPriority w:val="99"/>
    <w:rsid w:val="00340959"/>
  </w:style>
  <w:style w:type="table" w:styleId="TableGrid">
    <w:name w:val="Table Grid"/>
    <w:basedOn w:val="TableNormal"/>
    <w:uiPriority w:val="39"/>
    <w:rsid w:val="00FE449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15DD1"/>
    <w:pPr>
      <w:spacing w:before="0" w:after="0"/>
    </w:pPr>
  </w:style>
  <w:style w:type="paragraph" w:styleId="HTMLPreformatted">
    <w:name w:val="HTML Preformatted"/>
    <w:basedOn w:val="Normal"/>
    <w:link w:val="HTMLPreformattedChar"/>
    <w:uiPriority w:val="99"/>
    <w:semiHidden/>
    <w:unhideWhenUsed/>
    <w:rsid w:val="008A259B"/>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A259B"/>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08B16-33D7-477C-ACD8-7A7C12B5C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37441</Words>
  <Characters>213415</Characters>
  <Application>Microsoft Office Word</Application>
  <DocSecurity>0</DocSecurity>
  <Lines>1778</Lines>
  <Paragraphs>500</Paragraphs>
  <ScaleCrop>false</ScaleCrop>
  <HeadingPairs>
    <vt:vector size="2" baseType="variant">
      <vt:variant>
        <vt:lpstr>タイトル</vt:lpstr>
      </vt:variant>
      <vt:variant>
        <vt:i4>1</vt:i4>
      </vt:variant>
    </vt:vector>
  </HeadingPairs>
  <TitlesOfParts>
    <vt:vector size="1" baseType="lpstr">
      <vt:lpstr>Uncertainty-Aware Bayesian Machine Learning for Landslide Susceptibility Mapping: Spatial Validation and Deployment in the Chattogram Metropolitan Hill System, Bangladesh</vt:lpstr>
    </vt:vector>
  </TitlesOfParts>
  <Company/>
  <LinksUpToDate>false</LinksUpToDate>
  <CharactersWithSpaces>250356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Bayesian Machine Learning for Landslide Susceptibility Mapping: Spatial Validation and Deployment in the Chattogram Metropolitan Hill System, Bangladesh</dc:title>
  <dc:creator>Murad</dc:creator>
  <cp:lastModifiedBy>Shafiq Mahmud</cp:lastModifiedBy>
  <cp:revision>2</cp:revision>
  <cp:lastPrinted>2026-04-28T05:41:00Z</cp:lastPrinted>
  <dcterms:created xsi:type="dcterms:W3CDTF">2026-05-04T08:51:00Z</dcterms:created>
  <dcterms:modified xsi:type="dcterms:W3CDTF">2026-05-04T08:51:00Z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4c39b4aa-0053-404e-a41a-0501ddef0283</vt:lpwstr>
  </property>
  <property fmtid="{D5CDD505-2E9C-101B-9397-08002B2CF9AE}" pid="3" name="ZOTERO_PREF_1">
    <vt:lpwstr>&lt;data data-version="3" zotero-version="7.0.32"&gt;&lt;session id="KLSPq0tV"/&gt;&lt;style id="http://www.zotero.org/styles/natural-hazards"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