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Point by point response to the editors and reviewers</w:t>
      </w:r>
    </w:p>
    <w:p>
      <w:r>
        <w:t>Revised manuscript: Bayesian and benchmark models for landslide susceptibility in Chattogram with spatial validation and conditional uncertainty</w:t>
      </w:r>
    </w:p>
    <w:p>
      <w:r>
        <w:t>We thank the editors and reviewers for their detailed assessment. We have revised the text and conducted additional reproducible analyses. The audit also identified implementation and provenance issues beyond the requested wording changes. We correct those explicitly, withdraw unsupported claims and distinguish completed analyses from unresolved source-data limitations. The revised results reproduce the original holdout and spatial scores; the new uncertainty figures use directly calculated GPC moments. Section and table references below refer to the revised manuscript and supplement.</w:t>
      </w:r>
    </w:p>
    <w:p>
      <w:r>
        <w:t>The principal remaining limitations concern inventory provenance, source rasters and categorical extraction. These are disclosed rather than represented as completed quality-control procedures. The marked manuscript uses red text for additions or substantial rewrites and contains no tracked-change markup. Author identities and sequence have been preserved.</w:t>
      </w:r>
    </w:p>
    <w:p>
      <w:pPr>
        <w:pStyle w:val="Heading1"/>
      </w:pPr>
      <w:r>
        <w:t>Reviewer 1</w:t>
      </w:r>
    </w:p>
    <w:p>
      <w:pPr>
        <w:pStyle w:val="Heading2"/>
      </w:pPr>
      <w:r>
        <w:t>Reviewer 1 comment 1</w:t>
      </w:r>
    </w:p>
    <w:p>
      <w:r>
        <w:t>Comment: The Introduction identifies spatial generalization and uncertainty quantification as two major challenges in landslide susceptibility mapping. This argument is reasonable. Although spatial autocorrelation and geographic transferability are central to the validation framework, their treatment in the literature review remains largely methodological and descriptive. In contrast, other fundamental sources of uncertainty, including landslide inventory quality, pseudo-absence selection, and mapping-unit definition, receive little attention. These issues have already been systematically reviewed by Reichenbach et al. (2018) and Merghadi et al. (2020). The authors should therefore explain more clearly how the present study advances existing knowledge, rather than broadly emphasizing the advantages of Bayesian models. In addition, the criticism of previous susceptibility studies in Bangladesh and the Chattogram region is not sufficiently specific. The manuscript states that earlier studies lacked spatial validation and uncertainty quantification, but it does not summarize their model types, data resolutions, validation strategies, or major limitations. A brief comparison paragraph should be added to clarify the main contribution of this study. For example, does the study mainly improve spatial block validation, probability calibration, Bayesian uncertainty mapping, or a combination of these aspects?</w:t>
      </w:r>
    </w:p>
    <w:p>
      <w:r>
        <w:t>Response: We have reframed the contribution as a transparent application-level comparison, rather than a new Bayesian method. The Introduction now includes Reichenbach et al. (2018) and Merghadi et al. (2020), explains inventory, pseudo-absence and mapping-unit uncertainty, and compares the regional validation objectives more specifically. We corrected Chowdhury et al. to the 2024 journal year (online publication in 2023) and removed the unsupported claim that it used random k-fold validation instead of its reported random 80/20 split. We explicitly recognize prior bivariate uncertainty mapping and avoid claiming it is unique to Bayesian models. The resolution details retained in the comparison are limited to those verified from source text.</w:t>
      </w:r>
    </w:p>
    <w:p>
      <w:r>
        <w:t>Location: Sections 1 and 5</w:t>
      </w:r>
    </w:p>
    <w:p>
      <w:pPr>
        <w:pStyle w:val="Heading2"/>
      </w:pPr>
      <w:r>
        <w:t>Reviewer 1 comment 2</w:t>
      </w:r>
    </w:p>
    <w:p>
      <w:r>
        <w:t>Comment: The description of the study area is also too general and provides limited support for the proposed landslide processes. Landslides in the urban hill areas of Chattogram are closely related to monsoon rainfall, toe excavation, illegal hill cutting, urban expansion, road construction, and changes in drainage systems. Although the manuscript mentions urban expansion and hill cutting, it does not explain how these processes are represented by the selected conditioning factors. More information on regional engineering geology and human disturbance should be provided. This would strengthen the physical interpretation of factors such as distance to roads, land use and land cover, and NDVI.</w:t>
      </w:r>
    </w:p>
    <w:p>
      <w:r>
        <w:t>Response: We added the regional weathered shale/sandstone setting and explained how road proximity, LULC and NDVI can relate to excavation, vegetation removal and drainage change. These are identified as indirect proxies. Site-specific shear strength, bedding, cut geometry, building load and drainage alteration were not measured, so we do not imply those processes were directly represented or causally established.</w:t>
      </w:r>
    </w:p>
    <w:p>
      <w:r>
        <w:t>Location: Section 2.1</w:t>
      </w:r>
    </w:p>
    <w:p>
      <w:pPr>
        <w:pStyle w:val="Heading2"/>
      </w:pPr>
      <w:r>
        <w:t>Reviewer 1 comment 3</w:t>
      </w:r>
    </w:p>
    <w:p>
      <w:r>
        <w:t>Comment: The manuscript also does not clarify whether the landslide inventory contains consistent landslide types. The 155 landslide locations collected between 2001 and 2022 may include shallow landslides, slope collapses, failures of artificially cut slopes, and rainfall-induced landslides. These processes may have different controlling mechanisms. Combining them in one susceptibility model may reduce process consistency and make the resulting map more difficult to interpret. The authors should describe the landslide types, sizes, and triggering factors included in the inventory. They should also discuss the possible effects of mixing different failure mechanisms.</w:t>
      </w:r>
    </w:p>
    <w:p>
      <w:r>
        <w:t>Response: The modeling table does not retain failure-type, size or trigger fields. We now state this explicitly and explain that mechanism-specific modeling and a type/size breakdown cannot be reconstructed from the available records. We no longer assert that the sample is a verified homogeneous set. Potential mixing of shallow slides and cut-slope failures is described as a limitation, not as a documented count of either mechanism.</w:t>
      </w:r>
    </w:p>
    <w:p>
      <w:r>
        <w:t>Location: Section 2.2; Section 5</w:t>
      </w:r>
    </w:p>
    <w:p>
      <w:pPr>
        <w:pStyle w:val="Heading2"/>
      </w:pPr>
      <w:r>
        <w:t>Reviewer 1 comment 4</w:t>
      </w:r>
    </w:p>
    <w:p>
      <w:r>
        <w:t>Comment: The landslide inventory is the most important data source in this study, but its construction is not described in sufficient detail. The authors combined records from the NASA Global Landslide Catalog, CEGIS, the Bangladesh Army, and published studies to obtain 155 landslide points. However, the manuscript does not explain how duplicate records were removed, how spatial location errors were handled, whether event dates were checked for consistency, how inventory completeness was assessed, or whether field verification was conducted. As noted by Reichenbach et al. (2018), inventory quality directly affects the reliability of landslide susceptibility models. The authors should therefore provide a clear workflow for inventory compilation and describe the quality-control criteria used at each step.</w:t>
      </w:r>
    </w:p>
    <w:p>
      <w:r>
        <w:t>Response: We audited the actual input and document the reproducible step: 376 rows become 369 after removing seven exactly duplicated rows. The retained coordinates contain no exact duplicate pairs. We withdraw unsupported statements about 10 m event consolidation and systematic imagery verification. Event dates, source identifiers, positional errors, field checks and completeness records are absent from the analytical table, so those checks cannot be certified from it. We identify this as an unresolved provenance limitation rather than inventing a quality-control history. The reported 2001–2022 compilation period is explicitly qualified.</w:t>
      </w:r>
    </w:p>
    <w:p>
      <w:r>
        <w:t>Location: Section 2.2; Section S8</w:t>
      </w:r>
    </w:p>
    <w:p>
      <w:pPr>
        <w:pStyle w:val="Heading2"/>
      </w:pPr>
      <w:r>
        <w:t>Reviewer 1 comment 5</w:t>
      </w:r>
    </w:p>
    <w:p>
      <w:r>
        <w:t>Comment: The spatial resolutions of the conditioning factors differ substantially. CHIRPS rainfall data have an original resolution of approximately 5 km, SoilGrids data have a resolution of 250 m, terrain variables are derived at 30 m, and land-use data have a resolution of 10 m. All variables were resampled to 30 m. However, this procedure may create an artificial impression of spatial detail. This concern is particularly important for rainfall. Resampling or interpolating a 5 km rainfall product to 30 m does not necessarily represent local rainfall variations within a relatively small urban hill region. The authors should clearly describe the resampling methods used for each dataset. They should also assess how coarse-resolution variables affect model performance, spatial patterns, and the resulting uncertainty maps.</w:t>
      </w:r>
    </w:p>
    <w:p>
      <w:r>
        <w:t>Response: We distinguish native resolution from the nominal target grid and state that resampling does not create new spatial information. Source resampling commands and raster metadata are unavailable, so we cannot certify a per-layer resampling history. We also found fractional LULC and soil codes and removed the incorrect one-hot-encoding claim. As an empirical sensitivity check, we refitted all four models without rainfall, without soil and without both. For example, removing rainfall increases GPC AUC to 0.848 but increases ECE to 0.118. These results qualify the coarse-predictor interpretation; they do not repair missing source provenance or prove fine-scale map reliability.</w:t>
      </w:r>
    </w:p>
    <w:p>
      <w:r>
        <w:t>Location: Sections 2.3, 3.6 and 4.3; Table S6</w:t>
      </w:r>
    </w:p>
    <w:p>
      <w:pPr>
        <w:pStyle w:val="Heading2"/>
      </w:pPr>
      <w:r>
        <w:t>Reviewer 1 comment 6</w:t>
      </w:r>
    </w:p>
    <w:p>
      <w:r>
        <w:t>Comment: The results show that the random forest model achieved the highest ROC-AUC, PR-AUC, and MCC in the holdout test, whereas the Gaussian process classifier mainly performed better in terms of expected calibration error. The authors need to explain more clearly why the GPC was selected despite its lower discrimination performance. Its MCC, F1 score, and ROC-AUC were all lower than those of the random forest model. Selecting the GPC may still be reasonable if calibrated probabilities and uncertainty estimates are the main objectives. However, this decision should be stated before the results are presented. The manuscript states that model selection is based on a weighted multi-criteria framework. However, the implementation of this framework is not internally consistent. Discrimination-related MCC metrics account for 85% of the total weight, and RF obtains the highest composite rank, yet it is subsequently excluded because final deployment is restricted to Bayesian models. The authors should clarify whether Bayesian uncertainty representation is an eligibility requirement applied before ranking or an additional criterion applied after ranking.Otherwise, the model selection may appear subjective, especially when the random forest model shows better predictive performance.</w:t>
      </w:r>
    </w:p>
    <w:p>
      <w:r>
        <w:t>Response: Bayesian eligibility is now stated before results. RF remains the strongest overall benchmark, including its superior Brier score and log loss. We clarify the original rank weights and acknowledge holdout reuse in that score. A training-only ranking sensitivity check retains GPC as the stronger Bayesian candidate. We no longer use one ECE value to claim general superiority. False-negative comparisons now include every model: GPC 8/31, BLR 11/31, RF 7/31 and regularized logistic regression 7/31. RF recalibration was not implemented, and the manuscript does not claim equivalence to such a benchmark.</w:t>
      </w:r>
    </w:p>
    <w:p>
      <w:r>
        <w:t>Location: Sections 1, 3.4, 4.1 and 4.2</w:t>
      </w:r>
    </w:p>
    <w:p>
      <w:pPr>
        <w:pStyle w:val="Heading2"/>
      </w:pPr>
      <w:r>
        <w:t>Reviewer 1 comment 7</w:t>
      </w:r>
    </w:p>
    <w:p>
      <w:r>
        <w:t>Comment: The classification method used for the bivariate susceptibility–uncertainty map also requires further justification. The authors use quantile thresholds to divide both susceptibility and predictive variance into low, medium, and high classes. Quantile classification can produce relatively balanced spatial areas, but the resulting classes do not necessarily correspond to actual hazard levels or management thresholds. The authors should compare the current approach with alternative classification methods, such as natural breaks, fixed probability thresholds, calibration-based probability thresholds, or expert-defined thresholds. At minimum, the implications of using quantile classes should be discussed.</w:t>
      </w:r>
    </w:p>
    <w:p>
      <w:r>
        <w:t>Response: We provide numerical cut points and compare tertiles with Jenks breaks and fixed thirds. Susceptibility classifications agree with Jenks at 93.2% of sampled points, while uncertainty classifications agree at 74.3%. We removed the unsupported blanket assertion that both distributions are right-skewed and the claim of balanced joint spatial areas. The classes are relative sample categories, not hazard levels or management thresholds. The revised display uses corrected latent uncertainty at observed points because the archive cannot support verified continuous raster inference.</w:t>
      </w:r>
    </w:p>
    <w:p>
      <w:r>
        <w:t>Location: Sections 3.5 and 4.4; Table S7; Figure 5</w:t>
      </w:r>
    </w:p>
    <w:p>
      <w:pPr>
        <w:pStyle w:val="Heading2"/>
      </w:pPr>
      <w:r>
        <w:t>Reviewer 1 comment 8</w:t>
      </w:r>
    </w:p>
    <w:p>
      <w:r>
        <w:t>Comment: SHAP can be used to describe how predictor variables contribute to model outputs, but it cannot demonstrate that geomorphological factors causally control landslide occurrence. When input variables are spatially correlated or physically coupled, SHAP importance may be affected by variable dependence and sample distribution. The authors should clearly describe the model to which SHAP was applied, the model output being explained, the background dataset or reference samples, and the method used to address correlations among variables. The interpretation should also remain cautious. SHAP results should not be presented as direct validation of physical landslide mechanisms.</w:t>
      </w:r>
    </w:p>
    <w:p>
      <w:r>
        <w:t>Response: We regenerated Kernel SHAP for the GPC trained on 295 records, with 30 training background rows and all 74 holdout records explained. The output scale is positive-class log-odds, nsamples is 150, and seed is 42. The background and attribution array are supplied. No conditional dependence-aware SHAP method was used; this limitation is explicit. We removed causal language, claims about physical mechanism validation and unsupported assertions of stable importance across all validation folds.</w:t>
      </w:r>
    </w:p>
    <w:p>
      <w:r>
        <w:t>Location: Sections 3.6 and 4.4; Section S6; Figure S3</w:t>
      </w:r>
    </w:p>
    <w:p>
      <w:pPr>
        <w:pStyle w:val="Heading2"/>
      </w:pPr>
      <w:r>
        <w:t>Reviewer 1 comment 9</w:t>
      </w:r>
    </w:p>
    <w:p>
      <w:r>
        <w:t>Comment: Landslides in Chattogram are often associated with short-duration intense rainfall during the monsoon season and with antecedent rainfall conditions. However, the rainfall variable used in this study appears to represent a long-term or average spatial background. Mean annual precipitation alone cannot adequately describe rainfall-triggering processes. The authors should refer to studies on rainfall thresholds, antecedent rainfall, and event-based landslide modelling. The manuscript briefly acknowledges that rainfall was represented by a climatological layer rather than event-based intensity. This limitation should be discussed in greater depth. The authors should specify the temporal aggregation period, explain why event-scale and antecedent rainfall variables were unavailable, and clarify how this choice limits process-based interpretation.</w:t>
      </w:r>
    </w:p>
    <w:p>
      <w:r>
        <w:t>Response: We distinguish static rainfall background from storm triggers and discuss event dates, antecedent rainfall and threshold validation. A regional event-based reference, Ahmed et al. (2018), is included. The archived CHIRPS aggregation years and product version are missing; we state this unresolved limitation rather than inventing a temporal window. Daily CHIRPS exists, but the analyzed table lacks a documented event linkage. The paper therefore makes no intensity–duration, early-warning or temporal hazard claim.</w:t>
      </w:r>
    </w:p>
    <w:p>
      <w:r>
        <w:t>Location: Sections 2.3 and 5</w:t>
      </w:r>
    </w:p>
    <w:p>
      <w:pPr>
        <w:pStyle w:val="Heading1"/>
      </w:pPr>
      <w:r>
        <w:t>Reviewer 2</w:t>
      </w:r>
    </w:p>
    <w:p>
      <w:pPr>
        <w:pStyle w:val="Heading2"/>
      </w:pPr>
      <w:r>
        <w:t>Reviewer 2 comment 1</w:t>
      </w:r>
    </w:p>
    <w:p>
      <w:r>
        <w:t>Comment: The main contribution of the study appears to be the integration of existing Bayesian models, spatial validation, and bivariate mapping. The authors should more clearly identify the specific methodological advances over previous uncertainty-aware landslide susceptibility studies, rather than presenting the contribution primarily as a combination of established procedures.</w:t>
      </w:r>
    </w:p>
    <w:p>
      <w:r>
        <w:t>Response: We now identify the contribution as an auditable empirical comparison of spatial validation, calibration stability and conditional uncertainty definitions. We explicitly recognize earlier uncertainty-aware and bivariate approaches. Claims of a new Bayesian algorithm, universal methodological novelty or an exclusively Bayesian ability to communicate uncertainty have been removed.</w:t>
      </w:r>
    </w:p>
    <w:p>
      <w:r>
        <w:t>Location: Section 1</w:t>
      </w:r>
    </w:p>
    <w:p>
      <w:pPr>
        <w:pStyle w:val="Heading2"/>
      </w:pPr>
      <w:r>
        <w:t>Reviewer 2 comment 2</w:t>
      </w:r>
    </w:p>
    <w:p>
      <w:r>
        <w:t>Comment: The analysis is based on only 155 landslide locations and approximately 200 randomly selected non-landslide points. However, the criteria used to identify non-landslide locations, the exclusion distance from known landslides, and the procedures used to confirm their stability are not adequately described. Repeated non-landslide sampling or a sensitivity analysis is recommended to assess the influence of random negative-sample selection on model performance and susceptibility patterns.</w:t>
      </w:r>
    </w:p>
    <w:p>
      <w:r>
        <w:t>Response: The negative count is now exactly 214. Auditing the table contradicted the draft’s 500 m and below-10° claims: 71 negatives are within 500 m and 27 recorded slopes are at least 10°. We withdraw those claims. We performed three controlled negative-subset runs, each retaining all 124 training positives, 136 of 171 training negatives and an unchanged 74-record holdout. RF’s AUC lead persists, but MCC rankings change and GPC ECE increases. The experiment is explicitly conditional on the original negative pool and does not replace independent resampling from a surveyed candidate region.</w:t>
      </w:r>
    </w:p>
    <w:p>
      <w:r>
        <w:t>Location: Sections 2.2, 3.6 and 4.3; Table S5</w:t>
      </w:r>
    </w:p>
    <w:p>
      <w:pPr>
        <w:pStyle w:val="Heading2"/>
      </w:pPr>
      <w:r>
        <w:t>Reviewer 2 comment 3</w:t>
      </w:r>
    </w:p>
    <w:p>
      <w:r>
        <w:t>Comment: The original spatial resolutions of the conditioning factors differ substantially, particularly because the 5 km rainfall data and 250 m soil data were resampled to 30 m. The manuscript should explicitly acknowledge that resampling does not increase the actual spatial information content and should discuss how this scale mismatch may affect local susceptibility patterns and estimates of variable importance.</w:t>
      </w:r>
    </w:p>
    <w:p>
      <w:r>
        <w:t>Response: We explicitly distinguish 30 m nominal alignment from the 0.05° CHIRPS and 250 m soil information supports. The predictor-ablation analysis provides empirical evidence that these variables affect metrics and probability behavior. We also disclose fractional categorical codes and the lack of resampling provenance. We do not interpret interpolation as additional information.</w:t>
      </w:r>
    </w:p>
    <w:p>
      <w:r>
        <w:t>Location: Sections 2.3 and 4.3; Table S6</w:t>
      </w:r>
    </w:p>
    <w:p>
      <w:pPr>
        <w:pStyle w:val="Heading2"/>
      </w:pPr>
      <w:r>
        <w:t>Reviewer 2 comment 4</w:t>
      </w:r>
    </w:p>
    <w:p>
      <w:r>
        <w:t>Comment: Spatial block validation is a central component of the study, yet several key details are missing, including the number of spatial clusters, block size, sample distribution within each fold, random seed, and a map showing the spatial blocks. These settings should be fully documented. The authors should also clarify whether the independent holdout set was spatially separated from the training samples.</w:t>
      </w:r>
    </w:p>
    <w:p>
      <w:r>
        <w:t>Response: The code audit found nine clusters on the 295-location training subset, from the rule floor(n/30) capped at ten. We reproduce those assignments and metrics, show their spatial distribution and report every fold’s class counts and cluster point extents. A separate all-369-point ten-cluster illustration is also supplied, clearly labeled as distinct from validation. The 74-point holdout is random, with a minimum 4.52 m distance to training; it is not spatially independent. We no longer claim a fixed block size, a geographic buffer or guaranteed independence.</w:t>
      </w:r>
    </w:p>
    <w:p>
      <w:r>
        <w:t>Location: Section 3.2; Figure S1; Tables S1 and S2</w:t>
      </w:r>
    </w:p>
    <w:p>
      <w:pPr>
        <w:pStyle w:val="Heading2"/>
      </w:pPr>
      <w:r>
        <w:t>Reviewer 2 comment 5</w:t>
      </w:r>
    </w:p>
    <w:p>
      <w:r>
        <w:t>Comment: The weighted ranking indicates that Random Forest achieved the strongest overall performance, whereas GPC was selected mainly because Random Forest does not provide Bayesian posterior uncertainty. This model-selection rationale appears somewhat subjective. The authors should either state in advance that final deployment is restricted to Bayesian models or compare GPC with a probability-calibrated Random Forest to provide a stronger justification for the final choice.</w:t>
      </w:r>
    </w:p>
    <w:p>
      <w:r>
        <w:t>Response: Bayesian deployment eligibility is now explicit before the results, while RF retains its overall benchmark lead. We disclose that original weighted ranking reused the holdout. The new training-only ranking sensitivity check selects GPC among Bayesian candidates without relying on the holdout criteria, but is described as a revision sensitivity check rather than a prespecified rule. We did not add a calibrated-RF benchmark and make no claim that an uncalibrated RF cannot be improved or equipped with other uncertainty methods.</w:t>
      </w:r>
    </w:p>
    <w:p>
      <w:r>
        <w:t>Location: Sections 1 and 3.4; Section 4.2</w:t>
      </w:r>
    </w:p>
    <w:p>
      <w:pPr>
        <w:pStyle w:val="Heading2"/>
      </w:pPr>
      <w:r>
        <w:t>Reviewer 2 comment 6</w:t>
      </w:r>
    </w:p>
    <w:p>
      <w:r>
        <w:t>Comment: The manuscript interprets the latent-function variance from GPC directly as predictive uncertainty. A clearer distinction is needed among latent variance, predictive variance on the probability scale, epistemic uncertainty, and aleatory uncertainty. The authors should also explain how the uncertainty values were calculated, normalized, and classified into low, moderate, and high categories.</w:t>
      </w:r>
    </w:p>
    <w:p>
      <w:r>
        <w:t>Response: We found and corrected a substantive implementation issue: the saved uncertainty export equals 1 − 2|p − 0.5| rather than latent variance. We now compute latent moments directly, transform them by Gauss–Hermite quadrature to obtain probability-scale posterior variance and expected Bernoulli variance, and verify their sum against total Bernoulli predictive variance. We report the exact standard-deviation normalizer and class thresholds. Conditional epistemic and aleatory terms are distinguished, and the optimized hyperparameters and white-noise kernel are acknowledged. The original continuous posterior-uncertainty interpretation is withdrawn.</w:t>
      </w:r>
    </w:p>
    <w:p>
      <w:r>
        <w:t>Location: Section 3.5; Section S5; Figures 4 and 5</w:t>
      </w:r>
    </w:p>
    <w:p>
      <w:pPr>
        <w:pStyle w:val="Heading2"/>
      </w:pPr>
      <w:r>
        <w:t>Reviewer 2 comment 7</w:t>
      </w:r>
    </w:p>
    <w:p>
      <w:r>
        <w:t>Comment: The selection of GPC relies heavily on its lower ECE value. However, the 20% holdout sample is relatively small, and ECE is sensitive to both the number of bins and the distribution of samples among bins. The binning strategy, reliability diagrams, and bootstrap confidence intervals should be reported, and model calibration should not be judged solely from a single ECE estimate.</w:t>
      </w:r>
    </w:p>
    <w:p>
      <w:r>
        <w:t>Response: We report 2,000 paired bootstrap resamples, 95% percentile intervals, an unsmoothed ten-bin reliability diagram with counts, and five/ten/fifteen-bin sensitivity. The GPC-minus-RF ECE interval spans zero. We also explain the small-sample upward bootstrap bias, including why the GPC point estimate is below its percentile interval. RF’s Brier score and log loss remain better. Claims that ten bins ensure low variance or that Bayesian status guarantees calibration have been removed.</w:t>
      </w:r>
    </w:p>
    <w:p>
      <w:r>
        <w:t>Location: Sections 3.3 and 4.2; Figure 3; Tables S3 and S4</w:t>
      </w:r>
    </w:p>
    <w:p>
      <w:pPr>
        <w:pStyle w:val="Heading2"/>
      </w:pPr>
      <w:r>
        <w:t>Reviewer 2 comment 8</w:t>
      </w:r>
    </w:p>
    <w:p>
      <w:r>
        <w:t>Comment: The study assesses landslide susceptibility rather than hazard, because no explicit time frame, event frequency, or temporal probability is incorporated. Terms such as “hazard assessment” and “hazard hotspots” should therefore be avoided in the abstract, discussion, and conclusions. The terminology should be revised consistently to distinguish susceptibility from hazard and risk.</w:t>
      </w:r>
    </w:p>
    <w:p>
      <w:r>
        <w:t>Response: Terminology now consistently describes static susceptibility. Hazard is used only to explain the distinction requiring temporal information, or within bibliographic titles; risk is not presented as an estimated study output. We removed hazard-hotspot, forecast and operational safety claims that the data do not support.</w:t>
      </w:r>
    </w:p>
    <w:p>
      <w:r>
        <w:t>Location: Abstract; Sections 1, 5 and 6</w:t>
      </w:r>
    </w:p>
    <w:p>
      <w:pPr>
        <w:pStyle w:val="Heading1"/>
      </w:pPr>
      <w:r>
        <w:t>Editor 2</w:t>
      </w:r>
    </w:p>
    <w:p>
      <w:pPr>
        <w:pStyle w:val="Heading2"/>
      </w:pPr>
      <w:r>
        <w:t>Editor 2 point 1</w:t>
      </w:r>
    </w:p>
    <w:p>
      <w:r>
        <w:t>Issue: Bayesian framing</w:t>
      </w:r>
    </w:p>
    <w:p>
      <w:r>
        <w:t>Response: We clarify that only BLR and GPC are Bayesian, while RF and L2 logistic regression are benchmarks. The title and abstract now reflect the comparative scope, and GPC inference is described as approximate and conditional on optimized hyperparameters.</w:t>
      </w:r>
    </w:p>
    <w:p>
      <w:r>
        <w:t>Location: Title; Abstract; Sections 1 and 3.1</w:t>
      </w:r>
    </w:p>
    <w:p>
      <w:pPr>
        <w:pStyle w:val="Heading2"/>
      </w:pPr>
      <w:r>
        <w:t>Editor 2 point 2</w:t>
      </w:r>
    </w:p>
    <w:p>
      <w:r>
        <w:t>Issue: Rainfall triggering data</w:t>
      </w:r>
    </w:p>
    <w:p>
      <w:r>
        <w:t>Response: We explicitly limit the analysis to static susceptibility, add regional rainfall-threshold context and explain that missing event metadata prevents fitting or validating triggering thresholds. The CHIRPS aggregation period is not recoverable and is not invented.</w:t>
      </w:r>
    </w:p>
    <w:p>
      <w:r>
        <w:t>Location: Sections 2.3 and 5</w:t>
      </w:r>
    </w:p>
    <w:p>
      <w:pPr>
        <w:pStyle w:val="Heading2"/>
      </w:pPr>
      <w:r>
        <w:t>Editor 2 point 3</w:t>
      </w:r>
    </w:p>
    <w:p>
      <w:r>
        <w:t>Issue: Inventory temporal resolution</w:t>
      </w:r>
    </w:p>
    <w:p>
      <w:r>
        <w:t>Response: The manuscript distinguishes the source compilation’s reported 2001–2022 span from the absence of row-level dates and source links in the analytical table. Exact deduplication is documented, while unverified field and imagery checks have been withdrawn.</w:t>
      </w:r>
    </w:p>
    <w:p>
      <w:r>
        <w:t>Location: Section 2.2</w:t>
      </w:r>
    </w:p>
    <w:p>
      <w:pPr>
        <w:pStyle w:val="Heading2"/>
      </w:pPr>
      <w:r>
        <w:t>Editor 2 point 4</w:t>
      </w:r>
    </w:p>
    <w:p>
      <w:r>
        <w:t>Issue: Anthropogenic factors</w:t>
      </w:r>
    </w:p>
    <w:p>
      <w:r>
        <w:t>Response: The physical relevance of roads, LULC and NDVI is explained, with explicit limits on their ability to represent hill cutting, toe removal and drainage modifications.</w:t>
      </w:r>
    </w:p>
    <w:p>
      <w:r>
        <w:t>Location: Section 2.1</w:t>
      </w:r>
    </w:p>
    <w:p>
      <w:pPr>
        <w:pStyle w:val="Heading2"/>
      </w:pPr>
      <w:r>
        <w:t>Editor 2 point 5</w:t>
      </w:r>
    </w:p>
    <w:p>
      <w:r>
        <w:t>Issue: SCAI discretization and map support</w:t>
      </w:r>
    </w:p>
    <w:p>
      <w:r>
        <w:t>Response: We distinguish five-class Jenks susceptibility breaks from the three-class bivariate tertiles, give the SCAI formula and explain the original full-data/interpolated-grid calculation. We withdraw the area-concentration claim as operational or independent validation and retain the old table solely as an audit record. Corrected uncertainty is shown at observed points.</w:t>
      </w:r>
    </w:p>
    <w:p>
      <w:r>
        <w:t>Location: Sections 3.5 and 3.7; Table S8</w:t>
      </w:r>
    </w:p>
    <w:p>
      <w:pPr>
        <w:pStyle w:val="Heading2"/>
      </w:pPr>
      <w:r>
        <w:t>Editor 2 point 6</w:t>
      </w:r>
    </w:p>
    <w:p>
      <w:r>
        <w:t>Issue: Data limitation and spatial validation</w:t>
      </w:r>
    </w:p>
    <w:p>
      <w:r>
        <w:t>Response: Data limitation now refers to missing event linkage and provenance, not the number of predictors. Actual spatial-cluster counts, seeds, fold compositions and the random holdout’s proximity to training are documented.</w:t>
      </w:r>
    </w:p>
    <w:p>
      <w:r>
        <w:t>Location: Sections 1, 2.2 and 3.2; Figure S1</w:t>
      </w:r>
    </w:p>
    <w:p>
      <w:pPr>
        <w:pStyle w:val="Heading2"/>
      </w:pPr>
      <w:r>
        <w:t>Editor 2 point 7</w:t>
      </w:r>
    </w:p>
    <w:p>
      <w:r>
        <w:t>Issue: False negatives</w:t>
      </w:r>
    </w:p>
    <w:p>
      <w:r>
        <w:t>Response: All four false-negative counts and rates are reported, avoiding a selective GPC-versus-BLR comparison. GPC misses fewer positives than BLR but more than RF and regularized logistic regression.</w:t>
      </w:r>
    </w:p>
    <w:p>
      <w:r>
        <w:t>Location: Section 4.1; Table 2</w:t>
      </w:r>
    </w:p>
    <w:p>
      <w:pPr>
        <w:pStyle w:val="Heading1"/>
      </w:pPr>
      <w:r>
        <w:t>Executive Editor in Chief</w:t>
      </w:r>
    </w:p>
    <w:p>
      <w:pPr>
        <w:pStyle w:val="Heading2"/>
      </w:pPr>
      <w:r>
        <w:t>Executive Editor point 1</w:t>
      </w:r>
    </w:p>
    <w:p>
      <w:r>
        <w:t>Response: A separate point-by-point response and a supplementary methods/results document are provided for review. The response identifies actual revisions and transparently states source-data limitations.</w:t>
      </w:r>
    </w:p>
    <w:p>
      <w:pPr>
        <w:pStyle w:val="Heading2"/>
      </w:pPr>
      <w:r>
        <w:t>Executive Editor point 2</w:t>
      </w:r>
    </w:p>
    <w:p>
      <w:r>
        <w:t>Response: The original author identities, sequence and affiliations have been preserved. No author has been added, removed or reordered. The corresponding author must verify the supplied contact details and obtain any required authorship confirmations; we do not assert approvals that are not in the record.</w:t>
      </w:r>
    </w:p>
    <w:p>
      <w:pPr>
        <w:pStyle w:val="Heading2"/>
      </w:pPr>
      <w:r>
        <w:t>Executive Editor point 3</w:t>
      </w:r>
    </w:p>
    <w:p>
      <w:r>
        <w:t>Response: The revised manuscript is supplied in clean and red-marked versions. New and substantially rewritten paragraphs are red in the marked copy; there are no Word tracked changes. Headings and preserved author details remain black for readability.</w:t>
      </w:r>
    </w:p>
    <w:p>
      <w:pPr>
        <w:pStyle w:val="Heading2"/>
      </w:pPr>
      <w:r>
        <w:t>Executive Editor point 4</w:t>
      </w:r>
    </w:p>
    <w:p>
      <w:r>
        <w:t>Response: The supplied decision letter gives 28 August 2026 as the deadline. The package was prepared on 13 October 2026. We cannot assert that an extension was granted or that the portal is open; the corresponding author must establish revision access before upload. No extension request has been sent on the authors’ behalf.</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by point response to the editors and reviewers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