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A5C4" w14:textId="77777777" w:rsidR="000B0EF8" w:rsidRDefault="000B0EF8" w:rsidP="004904F2">
      <w:pPr>
        <w:pStyle w:val="Authorlist0"/>
        <w:spacing w:before="480" w:after="240"/>
        <w:rPr>
          <w:rFonts w:ascii="Times New Roman" w:hAnsi="Times New Roman"/>
          <w:bCs w:val="0"/>
          <w:caps/>
          <w:sz w:val="24"/>
          <w:szCs w:val="24"/>
          <w:lang w:eastAsia="it-IT"/>
        </w:rPr>
      </w:pPr>
      <w:r w:rsidRPr="000B0EF8">
        <w:rPr>
          <w:rFonts w:ascii="Times New Roman" w:hAnsi="Times New Roman"/>
          <w:bCs w:val="0"/>
          <w:caps/>
          <w:sz w:val="24"/>
          <w:szCs w:val="24"/>
          <w:lang w:eastAsia="it-IT"/>
        </w:rPr>
        <w:t>Stochastic Physics-Informed Neural Network with MC Dropout for Estimating Consolidation Parameters</w:t>
      </w:r>
    </w:p>
    <w:p w14:paraId="46F62257" w14:textId="269DA6C5" w:rsidR="004D4C53" w:rsidRPr="004904F2" w:rsidRDefault="004D4C53" w:rsidP="004904F2">
      <w:pPr>
        <w:pStyle w:val="Authorlist0"/>
        <w:spacing w:before="480" w:after="240"/>
        <w:rPr>
          <w:rFonts w:ascii="Times New Roman" w:hAnsi="Times New Roman"/>
          <w:bCs w:val="0"/>
          <w:caps/>
          <w:sz w:val="24"/>
          <w:szCs w:val="24"/>
          <w:lang w:eastAsia="it-IT"/>
        </w:rPr>
      </w:pPr>
      <w:r w:rsidRPr="004D4C53">
        <w:rPr>
          <w:rFonts w:ascii="Times New Roman" w:hAnsi="Times New Roman"/>
          <w:color w:val="000000"/>
          <w:szCs w:val="22"/>
        </w:rPr>
        <w:t>Golam Murad</w:t>
      </w:r>
      <w:r w:rsidRPr="004D4C53">
        <w:rPr>
          <w:rFonts w:ascii="Times New Roman" w:hAnsi="Times New Roman"/>
          <w:color w:val="000000"/>
          <w:szCs w:val="22"/>
          <w:vertAlign w:val="superscript"/>
        </w:rPr>
        <w:t>1</w:t>
      </w:r>
      <w:r w:rsidRPr="004D4C53">
        <w:rPr>
          <w:rFonts w:ascii="Times New Roman" w:hAnsi="Times New Roman"/>
          <w:color w:val="000000"/>
          <w:szCs w:val="22"/>
        </w:rPr>
        <w:t>, Shotabdy Chowdhury Srabony</w:t>
      </w:r>
      <w:r w:rsidRPr="004D4C53">
        <w:rPr>
          <w:rFonts w:ascii="Times New Roman" w:hAnsi="Times New Roman"/>
          <w:color w:val="000000"/>
          <w:szCs w:val="22"/>
          <w:vertAlign w:val="superscript"/>
        </w:rPr>
        <w:t>2</w:t>
      </w:r>
      <w:r w:rsidRPr="004D4C53">
        <w:rPr>
          <w:rFonts w:ascii="Times New Roman" w:hAnsi="Times New Roman"/>
          <w:color w:val="000000"/>
          <w:szCs w:val="22"/>
        </w:rPr>
        <w:t xml:space="preserve">, </w:t>
      </w:r>
      <w:r>
        <w:rPr>
          <w:rFonts w:ascii="Times New Roman" w:hAnsi="Times New Roman"/>
          <w:color w:val="000000"/>
          <w:szCs w:val="22"/>
        </w:rPr>
        <w:t>Debajit Das Gupta</w:t>
      </w:r>
      <w:r w:rsidR="00170389">
        <w:rPr>
          <w:rFonts w:ascii="Times New Roman" w:hAnsi="Times New Roman"/>
          <w:color w:val="000000"/>
          <w:szCs w:val="22"/>
          <w:vertAlign w:val="superscript"/>
        </w:rPr>
        <w:t>3</w:t>
      </w:r>
      <w:r>
        <w:rPr>
          <w:rFonts w:ascii="Times New Roman" w:hAnsi="Times New Roman"/>
          <w:color w:val="000000"/>
          <w:szCs w:val="22"/>
        </w:rPr>
        <w:t xml:space="preserve"> and </w:t>
      </w:r>
      <w:r w:rsidRPr="004D4C53">
        <w:rPr>
          <w:rFonts w:ascii="Times New Roman" w:hAnsi="Times New Roman"/>
          <w:color w:val="000000"/>
          <w:szCs w:val="22"/>
        </w:rPr>
        <w:t>Md. Aftabur Rahman</w:t>
      </w:r>
      <w:r w:rsidR="00170389">
        <w:rPr>
          <w:rFonts w:ascii="Times New Roman" w:hAnsi="Times New Roman"/>
          <w:color w:val="000000"/>
          <w:szCs w:val="22"/>
          <w:vertAlign w:val="superscript"/>
        </w:rPr>
        <w:t>4</w:t>
      </w:r>
      <w:r>
        <w:rPr>
          <w:rFonts w:ascii="Times New Roman" w:hAnsi="Times New Roman"/>
          <w:color w:val="000000"/>
          <w:szCs w:val="22"/>
          <w:vertAlign w:val="superscript"/>
        </w:rPr>
        <w:t>*</w:t>
      </w:r>
    </w:p>
    <w:p w14:paraId="186106C7" w14:textId="378C7F79" w:rsidR="004D4C53" w:rsidRPr="00C07329" w:rsidRDefault="004D4C53" w:rsidP="00C07329">
      <w:pPr>
        <w:jc w:val="center"/>
        <w:rPr>
          <w:i/>
          <w:iCs/>
          <w:color w:val="0000FF"/>
          <w:szCs w:val="22"/>
        </w:rPr>
      </w:pPr>
      <w:r w:rsidRPr="004D4C53">
        <w:rPr>
          <w:i/>
          <w:iCs/>
          <w:color w:val="000000"/>
          <w:szCs w:val="22"/>
          <w:vertAlign w:val="superscript"/>
        </w:rPr>
        <w:t>1</w:t>
      </w:r>
      <w:r w:rsidRPr="004D4C53">
        <w:rPr>
          <w:i/>
          <w:iCs/>
          <w:color w:val="000000"/>
          <w:szCs w:val="22"/>
        </w:rPr>
        <w:t xml:space="preserve">Graduate, Department of Civil Engineering, Chittagong University of Engineering &amp; Technology, Chattogram-4349, Bangladesh, e-mail: </w:t>
      </w:r>
      <w:r>
        <w:fldChar w:fldCharType="begin"/>
      </w:r>
      <w:r>
        <w:instrText>HYPERLINK "mailto:u1901087@student.cuet.ac.bd"</w:instrText>
      </w:r>
      <w:r>
        <w:fldChar w:fldCharType="separate"/>
      </w:r>
      <w:r w:rsidRPr="004D4C53">
        <w:rPr>
          <w:rStyle w:val="Hyperlink"/>
          <w:i/>
          <w:iCs/>
          <w:szCs w:val="22"/>
        </w:rPr>
        <w:t>u1901087@student.cuet.ac.bd</w:t>
      </w:r>
      <w:r>
        <w:rPr>
          <w:rStyle w:val="Hyperlink"/>
          <w:i/>
          <w:iCs/>
          <w:szCs w:val="22"/>
        </w:rPr>
        <w:fldChar w:fldCharType="end"/>
      </w:r>
    </w:p>
    <w:p w14:paraId="0A71CD2C" w14:textId="11BB3FE3" w:rsidR="004D4C53" w:rsidRPr="00C07329" w:rsidRDefault="004D4C53" w:rsidP="00C07329">
      <w:pPr>
        <w:jc w:val="center"/>
        <w:rPr>
          <w:i/>
          <w:iCs/>
          <w:color w:val="0000FF"/>
          <w:szCs w:val="22"/>
        </w:rPr>
      </w:pPr>
      <w:r w:rsidRPr="004D4C53">
        <w:rPr>
          <w:i/>
          <w:iCs/>
          <w:color w:val="000000"/>
          <w:szCs w:val="22"/>
          <w:vertAlign w:val="superscript"/>
        </w:rPr>
        <w:t>2</w:t>
      </w:r>
      <w:r w:rsidRPr="004D4C53">
        <w:rPr>
          <w:i/>
          <w:iCs/>
          <w:color w:val="000000"/>
          <w:szCs w:val="22"/>
        </w:rPr>
        <w:t xml:space="preserve">Research Assistant, Department of Civil Engineering, Chittagong University of Engineering &amp; Technology, Chattogram-4349, Bangladesh, e-mail: </w:t>
      </w:r>
      <w:r>
        <w:fldChar w:fldCharType="begin"/>
      </w:r>
      <w:r>
        <w:instrText>HYPERLINK "mailto:u1901052@student.cuet.ac.bd"</w:instrText>
      </w:r>
      <w:r>
        <w:fldChar w:fldCharType="separate"/>
      </w:r>
      <w:r w:rsidRPr="004D4C53">
        <w:rPr>
          <w:rStyle w:val="Hyperlink"/>
          <w:i/>
          <w:iCs/>
          <w:szCs w:val="22"/>
        </w:rPr>
        <w:t>u1901052@student.cuet.ac.bd</w:t>
      </w:r>
      <w:r>
        <w:rPr>
          <w:rStyle w:val="Hyperlink"/>
          <w:i/>
          <w:iCs/>
          <w:szCs w:val="22"/>
        </w:rPr>
        <w:fldChar w:fldCharType="end"/>
      </w:r>
    </w:p>
    <w:p w14:paraId="77DC0136" w14:textId="022C2954" w:rsidR="004D4C53" w:rsidRPr="004D4C53" w:rsidRDefault="00932BCB" w:rsidP="00C07329">
      <w:pPr>
        <w:jc w:val="center"/>
        <w:rPr>
          <w:i/>
          <w:iCs/>
          <w:color w:val="000000"/>
          <w:szCs w:val="22"/>
        </w:rPr>
      </w:pPr>
      <w:r>
        <w:rPr>
          <w:i/>
          <w:iCs/>
          <w:color w:val="000000"/>
          <w:szCs w:val="22"/>
          <w:vertAlign w:val="superscript"/>
        </w:rPr>
        <w:t>3</w:t>
      </w:r>
      <w:r w:rsidR="004D4C53" w:rsidRPr="004D4C53">
        <w:rPr>
          <w:i/>
          <w:iCs/>
          <w:color w:val="000000"/>
          <w:szCs w:val="22"/>
        </w:rPr>
        <w:t xml:space="preserve">Undergraduate Student, Department of Civil Engineering, Chittagong University of Engineering &amp; Technology, Chattogram-4349, Bangladesh, e-mail: </w:t>
      </w:r>
      <w:r w:rsidR="004D4C53">
        <w:fldChar w:fldCharType="begin"/>
      </w:r>
      <w:r w:rsidR="004D4C53">
        <w:instrText>HYPERLINK "mailto:u2101101@student.cuet.ac.bd"</w:instrText>
      </w:r>
      <w:r w:rsidR="004D4C53">
        <w:fldChar w:fldCharType="separate"/>
      </w:r>
      <w:r w:rsidR="00E2662C" w:rsidRPr="00CF2F9A">
        <w:rPr>
          <w:rStyle w:val="Hyperlink"/>
          <w:i/>
          <w:iCs/>
          <w:szCs w:val="22"/>
        </w:rPr>
        <w:t>u2101101@student.cuet.ac.bd</w:t>
      </w:r>
      <w:r w:rsidR="004D4C53">
        <w:rPr>
          <w:rStyle w:val="Hyperlink"/>
          <w:i/>
          <w:iCs/>
          <w:szCs w:val="22"/>
        </w:rPr>
        <w:fldChar w:fldCharType="end"/>
      </w:r>
    </w:p>
    <w:p w14:paraId="4E27623D" w14:textId="7081E3D3" w:rsidR="004D4C53" w:rsidRPr="004D4C53" w:rsidRDefault="00932BCB" w:rsidP="004D4C53">
      <w:pPr>
        <w:jc w:val="center"/>
        <w:rPr>
          <w:i/>
          <w:iCs/>
          <w:color w:val="000000"/>
          <w:szCs w:val="22"/>
        </w:rPr>
      </w:pPr>
      <w:r>
        <w:rPr>
          <w:i/>
          <w:iCs/>
          <w:color w:val="000000"/>
          <w:szCs w:val="22"/>
          <w:vertAlign w:val="superscript"/>
        </w:rPr>
        <w:t>4</w:t>
      </w:r>
      <w:r w:rsidR="004D4C53" w:rsidRPr="004D4C53">
        <w:rPr>
          <w:i/>
          <w:iCs/>
          <w:color w:val="000000"/>
          <w:szCs w:val="22"/>
        </w:rPr>
        <w:t xml:space="preserve">Professor, Department of Civil Engineering, Chittagong University of Engineering &amp; Technology, Chattogram-4349, Bangladesh, e-mail: </w:t>
      </w:r>
      <w:r w:rsidR="004D4C53">
        <w:fldChar w:fldCharType="begin"/>
      </w:r>
      <w:r w:rsidR="004D4C53">
        <w:instrText>HYPERLINK "mailto:maftabur@cuet.ac.bd"</w:instrText>
      </w:r>
      <w:r w:rsidR="004D4C53">
        <w:fldChar w:fldCharType="separate"/>
      </w:r>
      <w:r w:rsidR="004D4C53" w:rsidRPr="004D4C53">
        <w:rPr>
          <w:rStyle w:val="Hyperlink"/>
          <w:i/>
          <w:iCs/>
          <w:szCs w:val="22"/>
        </w:rPr>
        <w:t>maftabur@cuet.ac.bd</w:t>
      </w:r>
      <w:r w:rsidR="004D4C53">
        <w:rPr>
          <w:rStyle w:val="Hyperlink"/>
          <w:i/>
          <w:iCs/>
          <w:szCs w:val="22"/>
        </w:rPr>
        <w:fldChar w:fldCharType="end"/>
      </w:r>
    </w:p>
    <w:p w14:paraId="57F08E1C" w14:textId="77777777" w:rsidR="00F17C9D" w:rsidRPr="004D4C53" w:rsidRDefault="00F17C9D" w:rsidP="00F17C9D">
      <w:pPr>
        <w:spacing w:before="120"/>
        <w:jc w:val="center"/>
        <w:rPr>
          <w:b/>
          <w:lang w:val="en-US" w:eastAsia="ja-JP"/>
        </w:rPr>
      </w:pPr>
      <w:r w:rsidRPr="004D4C53">
        <w:rPr>
          <w:b/>
          <w:lang w:eastAsia="ja-JP"/>
        </w:rPr>
        <w:t>*</w:t>
      </w:r>
      <w:r w:rsidR="004D4C53" w:rsidRPr="004D4C53">
        <w:rPr>
          <w:b/>
          <w:color w:val="000000"/>
          <w:szCs w:val="22"/>
        </w:rPr>
        <w:t>Md. Aftabur Rahman</w:t>
      </w:r>
    </w:p>
    <w:p w14:paraId="42889ABE" w14:textId="77777777" w:rsidR="001509C2" w:rsidRPr="007B29C8" w:rsidRDefault="001509C2" w:rsidP="00051C7D">
      <w:pPr>
        <w:pStyle w:val="ABSTRACTHEADING"/>
      </w:pPr>
      <w:r w:rsidRPr="007B29C8">
        <w:t>ABSTRACT</w:t>
      </w:r>
    </w:p>
    <w:p w14:paraId="1946D8D6" w14:textId="53540770" w:rsidR="00AB2374" w:rsidRPr="00C07329" w:rsidRDefault="0008449E" w:rsidP="00C07329">
      <w:pPr>
        <w:pStyle w:val="Abstracttext"/>
        <w:rPr>
          <w:i w:val="0"/>
          <w:sz w:val="22"/>
          <w:szCs w:val="22"/>
        </w:rPr>
      </w:pPr>
      <w:r w:rsidRPr="0008449E">
        <w:rPr>
          <w:i w:val="0"/>
          <w:sz w:val="22"/>
          <w:szCs w:val="22"/>
        </w:rPr>
        <w:t>Reliable estimation of the coefficient of consolidation is essential for settlement prediction, pore-pressure dissipation analysis, and staged construction planning in soft ground engineering. Conventionally, this parameter is obtained from laboratory oedometer tests and back-analysis, which are costly, time-consuming, and difficult to scale for rapidly developing infrastructure systems. This study presents an uncertainty-aware physics-informed neural network (PINN) that infers the consolidation coefficient directly from sparse, noisy spatiotemporal sensor data, reducing reliance on traditional workflows. The framework incorporates Terzaghi’s one-dimensional consolidation equation into the loss function and integrates Monte Carlo dropout to provide both point estimates and confidence bounds.</w:t>
      </w:r>
      <w:r>
        <w:rPr>
          <w:i w:val="0"/>
          <w:sz w:val="22"/>
          <w:szCs w:val="22"/>
        </w:rPr>
        <w:t xml:space="preserve"> </w:t>
      </w:r>
      <w:r w:rsidR="001A45B2" w:rsidRPr="001A45B2">
        <w:rPr>
          <w:i w:val="0"/>
          <w:sz w:val="22"/>
          <w:szCs w:val="22"/>
        </w:rPr>
        <w:t xml:space="preserve">The model was trained on </w:t>
      </w:r>
      <w:r w:rsidR="001A45B2">
        <w:rPr>
          <w:i w:val="0"/>
          <w:sz w:val="22"/>
          <w:szCs w:val="22"/>
        </w:rPr>
        <w:t>only</w:t>
      </w:r>
      <w:r w:rsidR="001A45B2" w:rsidRPr="001A45B2">
        <w:rPr>
          <w:i w:val="0"/>
          <w:sz w:val="22"/>
          <w:szCs w:val="22"/>
        </w:rPr>
        <w:t xml:space="preserve"> 50 synthetic sensor readings with added noise to mimic field conditions. Even with this limited data, it estimated the coefficient very accurately, giving </w:t>
      </w:r>
      <m:oMath>
        <m:sSub>
          <m:sSubPr>
            <m:ctrlPr>
              <w:rPr>
                <w:rFonts w:ascii="Cambria Math" w:hAnsi="Cambria Math"/>
                <w:i w:val="0"/>
                <w:sz w:val="22"/>
                <w:szCs w:val="22"/>
              </w:rPr>
            </m:ctrlPr>
          </m:sSubPr>
          <m:e>
            <m:r>
              <w:rPr>
                <w:rFonts w:ascii="Cambria Math" w:hAnsi="Cambria Math"/>
                <w:sz w:val="22"/>
                <w:szCs w:val="22"/>
              </w:rPr>
              <m:t>c</m:t>
            </m:r>
          </m:e>
          <m:sub>
            <m:r>
              <w:rPr>
                <w:rFonts w:ascii="Cambria Math" w:hAnsi="Cambria Math"/>
                <w:sz w:val="22"/>
                <w:szCs w:val="22"/>
              </w:rPr>
              <m:t>v</m:t>
            </m:r>
          </m:sub>
        </m:sSub>
        <m:r>
          <w:rPr>
            <w:rFonts w:ascii="Cambria Math" w:hAnsi="Cambria Math"/>
            <w:sz w:val="22"/>
            <w:szCs w:val="22"/>
          </w:rPr>
          <m:t>=1.209335</m:t>
        </m:r>
      </m:oMath>
      <w:r w:rsidR="001A45B2" w:rsidRPr="001A45B2">
        <w:rPr>
          <w:i w:val="0"/>
          <w:sz w:val="22"/>
          <w:szCs w:val="22"/>
        </w:rPr>
        <w:t xml:space="preserve">compared with the true value of </w:t>
      </w:r>
      <m:oMath>
        <m:r>
          <w:rPr>
            <w:rFonts w:ascii="Cambria Math" w:hAnsi="Cambria Math"/>
            <w:sz w:val="22"/>
            <w:szCs w:val="22"/>
          </w:rPr>
          <m:t>1.2</m:t>
        </m:r>
      </m:oMath>
      <w:r w:rsidR="001A45B2" w:rsidRPr="001A45B2">
        <w:rPr>
          <w:i w:val="0"/>
          <w:sz w:val="22"/>
          <w:szCs w:val="22"/>
        </w:rPr>
        <w:t xml:space="preserve">, which corresponds to a relative error of only 0.7779%. When tested on a dense grid, it also performed well, with an MSE of 0.008802, an RMSE of 0.093818, and 95% interval coverage of 94.67%. Overall, the results show that physics-informed machine learning can produce </w:t>
      </w:r>
      <w:r w:rsidR="001A45B2">
        <w:rPr>
          <w:i w:val="0"/>
          <w:sz w:val="22"/>
          <w:szCs w:val="22"/>
        </w:rPr>
        <w:t xml:space="preserve">reliable inverse estimates </w:t>
      </w:r>
      <w:r w:rsidR="00D4357E">
        <w:rPr>
          <w:i w:val="0"/>
          <w:sz w:val="22"/>
          <w:szCs w:val="22"/>
        </w:rPr>
        <w:t>and provide</w:t>
      </w:r>
      <w:r w:rsidR="001A45B2">
        <w:rPr>
          <w:i w:val="0"/>
          <w:sz w:val="22"/>
          <w:szCs w:val="22"/>
        </w:rPr>
        <w:t xml:space="preserve"> a useful measure of uncertainty, making</w:t>
      </w:r>
      <w:r w:rsidR="001A45B2" w:rsidRPr="001A45B2">
        <w:rPr>
          <w:i w:val="0"/>
          <w:sz w:val="22"/>
          <w:szCs w:val="22"/>
        </w:rPr>
        <w:t xml:space="preserve"> it promising for future GeoAI-based monitoring and digital twin applications in geotechnical engineering.</w:t>
      </w:r>
    </w:p>
    <w:p w14:paraId="4DF959FD" w14:textId="6D96FEF3" w:rsidR="001509C2" w:rsidRDefault="001509C2" w:rsidP="00FC5137">
      <w:pPr>
        <w:pStyle w:val="Keywords"/>
        <w:spacing w:before="240"/>
        <w:rPr>
          <w:rStyle w:val="StilKeywords12pctCursivCaracter"/>
          <w:rFonts w:ascii="Times New Roman" w:hAnsi="Times New Roman"/>
          <w:sz w:val="22"/>
          <w:szCs w:val="22"/>
        </w:rPr>
      </w:pPr>
      <w:r w:rsidRPr="00F64800">
        <w:rPr>
          <w:rStyle w:val="StyleStilKeywords12pctCursivBoldChar"/>
          <w:rFonts w:ascii="Times New Roman" w:hAnsi="Times New Roman"/>
          <w:i/>
          <w:sz w:val="22"/>
          <w:szCs w:val="22"/>
        </w:rPr>
        <w:t>Keywords:</w:t>
      </w:r>
      <w:r w:rsidR="00FC5137" w:rsidRPr="00FC5137">
        <w:t xml:space="preserve"> </w:t>
      </w:r>
      <w:r w:rsidR="00FC5137" w:rsidRPr="00FC5137">
        <w:rPr>
          <w:rStyle w:val="StyleStilKeywords12pctCursivBoldChar"/>
          <w:rFonts w:ascii="Times New Roman" w:hAnsi="Times New Roman"/>
          <w:b w:val="0"/>
          <w:bCs w:val="0"/>
          <w:i/>
          <w:sz w:val="22"/>
          <w:szCs w:val="22"/>
        </w:rPr>
        <w:t>PINN</w:t>
      </w:r>
      <w:r w:rsidR="00FC5137">
        <w:rPr>
          <w:rStyle w:val="StyleStilKeywords12pctCursivBoldChar"/>
          <w:rFonts w:ascii="Times New Roman" w:hAnsi="Times New Roman"/>
          <w:b w:val="0"/>
          <w:bCs w:val="0"/>
          <w:i/>
          <w:sz w:val="22"/>
          <w:szCs w:val="22"/>
        </w:rPr>
        <w:t>;</w:t>
      </w:r>
      <w:r w:rsidR="00FC5137" w:rsidRPr="00FC5137">
        <w:rPr>
          <w:rStyle w:val="StyleStilKeywords12pctCursivBoldChar"/>
          <w:rFonts w:ascii="Times New Roman" w:hAnsi="Times New Roman"/>
          <w:b w:val="0"/>
          <w:bCs w:val="0"/>
          <w:i/>
          <w:sz w:val="22"/>
          <w:szCs w:val="22"/>
        </w:rPr>
        <w:t xml:space="preserve"> </w:t>
      </w:r>
      <w:r w:rsidR="00F97C44">
        <w:rPr>
          <w:rStyle w:val="StyleStilKeywords12pctCursivBoldChar"/>
          <w:rFonts w:ascii="Times New Roman" w:hAnsi="Times New Roman"/>
          <w:b w:val="0"/>
          <w:bCs w:val="0"/>
          <w:i/>
          <w:sz w:val="22"/>
          <w:szCs w:val="22"/>
        </w:rPr>
        <w:t xml:space="preserve">PDE, </w:t>
      </w:r>
      <w:r w:rsidR="00FC5137" w:rsidRPr="00FC5137">
        <w:rPr>
          <w:rStyle w:val="StyleStilKeywords12pctCursivBoldChar"/>
          <w:rFonts w:ascii="Times New Roman" w:hAnsi="Times New Roman"/>
          <w:b w:val="0"/>
          <w:bCs w:val="0"/>
          <w:i/>
          <w:sz w:val="22"/>
          <w:szCs w:val="22"/>
        </w:rPr>
        <w:t>coefficient of consolidation (cᵥ)</w:t>
      </w:r>
      <w:r w:rsidR="00FC5137">
        <w:rPr>
          <w:rStyle w:val="StyleStilKeywords12pctCursivBoldChar"/>
          <w:rFonts w:ascii="Times New Roman" w:hAnsi="Times New Roman"/>
          <w:b w:val="0"/>
          <w:bCs w:val="0"/>
          <w:i/>
          <w:sz w:val="22"/>
          <w:szCs w:val="22"/>
        </w:rPr>
        <w:t>;</w:t>
      </w:r>
      <w:r w:rsidR="00FC5137" w:rsidRPr="00FC5137">
        <w:rPr>
          <w:rStyle w:val="StyleStilKeywords12pctCursivBoldChar"/>
          <w:rFonts w:ascii="Times New Roman" w:hAnsi="Times New Roman"/>
          <w:b w:val="0"/>
          <w:bCs w:val="0"/>
          <w:i/>
          <w:sz w:val="22"/>
          <w:szCs w:val="22"/>
        </w:rPr>
        <w:t xml:space="preserve"> </w:t>
      </w:r>
      <w:r w:rsidR="008C0509" w:rsidRPr="008C0509">
        <w:rPr>
          <w:rFonts w:ascii="Times New Roman" w:hAnsi="Times New Roman"/>
          <w:i/>
          <w:sz w:val="22"/>
        </w:rPr>
        <w:t>Monte Carlo dropou</w:t>
      </w:r>
      <w:r w:rsidR="00FC5137">
        <w:rPr>
          <w:rFonts w:ascii="Times New Roman" w:hAnsi="Times New Roman"/>
          <w:i/>
          <w:sz w:val="22"/>
        </w:rPr>
        <w:t>t</w:t>
      </w:r>
      <w:r w:rsidR="00F97C44">
        <w:rPr>
          <w:rFonts w:ascii="Times New Roman" w:hAnsi="Times New Roman"/>
          <w:i/>
          <w:sz w:val="22"/>
        </w:rPr>
        <w:t xml:space="preserve">, </w:t>
      </w:r>
      <w:r w:rsidR="00F97C44">
        <w:rPr>
          <w:rFonts w:ascii="Times New Roman" w:hAnsi="Times New Roman"/>
          <w:i/>
          <w:sz w:val="22"/>
          <w:lang w:val="ro-RO"/>
        </w:rPr>
        <w:t>Geo-Ai</w:t>
      </w:r>
    </w:p>
    <w:p w14:paraId="71FE2D5A" w14:textId="78042709" w:rsidR="001509C2" w:rsidRPr="007B29C8" w:rsidRDefault="007F2354" w:rsidP="00FC5137">
      <w:pPr>
        <w:pStyle w:val="SECTIONHEADING"/>
        <w:spacing w:before="240" w:after="0" w:line="480" w:lineRule="auto"/>
      </w:pPr>
      <w:r w:rsidRPr="00DA3C5C">
        <w:rPr>
          <w:rFonts w:ascii="Times New Roman" w:hAnsi="Times New Roman"/>
        </w:rPr>
        <w:t>Introduction</w:t>
      </w:r>
    </w:p>
    <w:p w14:paraId="5FFC6B8D" w14:textId="6A12C2C3" w:rsidR="00317D10" w:rsidRPr="00317D10" w:rsidRDefault="00317D10" w:rsidP="00317D10">
      <w:pPr>
        <w:pStyle w:val="BodyText0"/>
      </w:pPr>
      <w:r w:rsidRPr="00317D10">
        <w:t xml:space="preserve">Globally, urban centres </w:t>
      </w:r>
      <w:r w:rsidR="001E5253">
        <w:t>near the coast and major ports are facing increasing geotechnical and engineering stresses. Because of</w:t>
      </w:r>
      <w:r w:rsidRPr="00317D10">
        <w:t xml:space="preserve"> port expansion, </w:t>
      </w:r>
      <w:r w:rsidR="001E5253">
        <w:t>corridor improvements for transport modes, industrial land development, reclamation practices,</w:t>
      </w:r>
      <w:r w:rsidRPr="00317D10">
        <w:t xml:space="preserve"> or creeping urban encroachment into </w:t>
      </w:r>
      <w:r w:rsidR="003B64E0">
        <w:t xml:space="preserve">the </w:t>
      </w:r>
      <w:r w:rsidRPr="00317D10">
        <w:t>hillside</w:t>
      </w:r>
      <w:r w:rsidR="001E5253">
        <w:t>.</w:t>
      </w:r>
      <w:r w:rsidRPr="00317D10">
        <w:t xml:space="preserve"> </w:t>
      </w:r>
      <w:r w:rsidR="003B64E0">
        <w:t>The above projects frequently face soft, compressible soils, where the consolidation response is a key factor in serviceability, construction sequencing,</w:t>
      </w:r>
      <w:r w:rsidRPr="00317D10">
        <w:t xml:space="preserve"> and long-term settlement risk. Rapid and robust estimation of the coefficient of consolidation (cᵥ) is not an academic exercise in such scenarios</w:t>
      </w:r>
      <w:r w:rsidR="001E5253">
        <w:t>. B</w:t>
      </w:r>
      <w:r w:rsidRPr="00317D10">
        <w:t xml:space="preserve">ut before we can deliver safe and economical infrastructure </w:t>
      </w:r>
      <w:r w:rsidR="003A0B0A">
        <w:fldChar w:fldCharType="begin"/>
      </w:r>
      <w:r w:rsidR="003A0B0A">
        <w:instrText xml:space="preserve"> ADDIN ZOTERO_ITEM CSL_CITATION {"citationID":"CDcHSRxi","properties":{"unsorted":false,"formattedCitation":"(C et al., 2026)","plainCitation":"(C et al., 2026)","noteIndex":0},"citationItems":[{"id":35,"uris":["http://zotero.org/users/19870308/items/WWSWQK9V"],"itemData":{"id":35,"type":"article-journal","abstract":"• \"First PINN for Cv prediction: R²=0.9963, outperforms empirical by ΔR²=+1.31 • \"Clay Activity-based constraints: no classification needed, applicable for all types of clay minerals\" • \"Beats best ML model: Δ35.7% RMSE, Δ44.3% MAPE over baseline (p=0.024)\" • \"Multi-physics loss: integrates Kozeny-Carman, activity, Cc-mv consistency\" • \"SHAP validates physics: plastic limit &amp; activity as primary drivers which is in line with soil mechanics theory\" This paper introduces a novel Physics-Informed Neural Network (PINN) model for predicting the coefficient of consolidation (Cv) in high plasticity clays. The model was trained from experimental data obtained from controlled clay-sand mixtures. The input parameters include clay content, Atterberg limits, initial void ratio, compaction energy, applied pressure and consolidation characteristics like compression index (Cc) and volumetric compressibility (mv). Additional parameters like plasticity index, porosity, activity-clay interaction and compaction efficiency were derived from feature engineering. The proposed PINN model combines data-driven loss and physics-based loss into a total loss function. The physics loss includes three constraints derived from modified Kozeny-Carman equations, activity-based mineralogical relations, and compression-volume consistency. Hyperparameter optimization identified the optimal configuration: 800 epochs, learning rate 0.001, architecture [128, 64, 32], and physics loss weights distributed as 0.7, 0.25, and 0.05. Five-fold cross-validation demonstrated robust performance (R 2 =0.9903±0.0026), significantly outperforming baseline neural networks (R 2 =0.9682±0.0126, p=0.0116) with 73.9% reduction in Root Mean Square Error (RMSE = 6.37 × 10 -11 m²/s) and 5.71% improvement in Mean Absolute Percentage Error (MAPE = 4.48%). External validation showed the PINN (R²=0.9968) substantially outperformed empirical correlations (best R 2 =0.1636) and conventional machine learning models (best R 2 =0.9878). SHapley Additive exPlanations (SHAP) interpretability analysis validated physically meaningful decision-making, with plastic limit and activity emerging as primary drivers. This framework provides a transferable, physics-consistent solution applicable across diverse clay types for foundation design and site characterization.","container-title":"Results in Engineering","DOI":"10.1016/j.rineng.2026.109255","ISSN":"2590-1230","page":"109255-109255","publisher":"Elsevier BV","title":"A physics-informed neural network framework for consolidation parameter prediction using controlled clay-sand mixtures","volume":"29","author":[{"family":"C","given":"Yogeshraj Urs"},{"family":"Prasanna","given":"H. S."},{"family":"Anil","given":"Unnam"}],"issued":{"date-parts":[["2026",1]]}}}],"schema":"https://github.com/citation-style-language/schema/raw/master/csl-citation.json"} </w:instrText>
      </w:r>
      <w:r w:rsidR="003A0B0A">
        <w:fldChar w:fldCharType="separate"/>
      </w:r>
      <w:r w:rsidR="003A0B0A" w:rsidRPr="003A0B0A">
        <w:t>(C et al., 2026)</w:t>
      </w:r>
      <w:r w:rsidR="003A0B0A">
        <w:fldChar w:fldCharType="end"/>
      </w:r>
      <w:r w:rsidRPr="00317D10">
        <w:t>. Yet geotechnical practice</w:t>
      </w:r>
      <w:r w:rsidR="00D4357E">
        <w:t>, i.e., oedometer tests and back-analysis, relies</w:t>
      </w:r>
      <w:r w:rsidR="003B64E0">
        <w:t xml:space="preserve"> on a lengthy, heuristic lab process and limited data collection. Again, those processes are difficult to upgrade</w:t>
      </w:r>
      <w:r w:rsidRPr="00317D10">
        <w:t xml:space="preserve">. A contemporary GeoAI should thus do much more than just </w:t>
      </w:r>
      <w:r w:rsidR="003B64E0">
        <w:t xml:space="preserve">curve fitting: it needs to assimilate limited sensor data, stay in concert with governing mechanics, quantify uncertainty, and update efficiently as information arrives </w:t>
      </w:r>
      <w:r w:rsidR="003A0B0A">
        <w:fldChar w:fldCharType="begin"/>
      </w:r>
      <w:r w:rsidR="003A0B0A">
        <w:instrText xml:space="preserve"> ADDIN ZOTERO_ITEM CSL_CITATION {"citationID":"6C9skDjr","properties":{"unsorted":false,"formattedCitation":"(Murad et al., 2026; Singh et al., 2024)","plainCitation":"(Murad et al., 2026; Singh et al., 2024)","noteIndex":0},"citationItems":[{"id":36,"uris":["http://zotero.org/users/19870308/items/P934JSIE"],"itemData":{"id":36,"type":"article-journal","abstract":"Landslide-prone hilly regions experiencing rapid urban expansion need susceptibility models that provide both robust predictive performance and transparent uncertainty estimates. This study develops an uncertainty-aware probabilistic framework for landslide susceptibility mapping in Bangladesh’s Chattogram metropolitan hill system, incorporating 14 conditioning factors: geomorphological, hydrological, environmental, and anthropogenic. Multicollinearity analysis, i.e., VIF and tolerance, verified the statistical stability of the predictors. We compared four classifiers, Bayesian Logistic Regression, Gaussian Process Classifier, L2-regularized Logistic Regression, and Random Forest, within a standardized preprocessing pipeline. Models were evaluated using cross-validation, holdout testing, and spatial block validation, with metrics for discrimination, robustness, and calibration. Random Forest had the strongest discrimination (ROC-AUC = 0.866; MCC = 0.611) on the holdout set, while the Gaussian Process Classifier showed better probability calibration (ECE = 0.084) with competitive discrimination (ROC-AUC = 0.821) among Bayesian models. Susceptibility and uncertainty were combined in a 3×3 scheme to visualize hazard and confidence. Mapping showed that 78.71% of landslides were in the Very High class, covering only 9.47% of the area (SCAI = 0.12). These results show that uncertainty-aware Bayesian modeling with bivariate spatial integration enhances interpretability and provides transparent hazard assessments in data-limited urban hill areas.[","DOI":"10.31223/x55j40","title":"Uncertainty-Aware Bayesian Machine Learning for Landslide Susceptibility Mapping: in the Chattogram Metropolitan Hill System, Bangladesh","URL":"https://doi.org/10.31223/x55j40","author":[{"family":"Murad","given":"Golam"},{"family":"Rahman","given":"Md Aftabur"},{"family":"Srabony","given":"Shotabdy"},{"family":"Mahmud","given":"Shafiq"}],"issued":{"date-parts":[["2026",3]]}}},{"id":37,"uris":["http://zotero.org/users/19870308/items/TQJUT4FN"],"itemData":{"id":37,"type":"article-journal","abstract":"Abstract Machine learning is increasingly applied to Earth Observation (EO) data to obtain datasets that contribute towards international accords. However, these datasets contain inherent uncertainty that needs to be quantified reliably to avoid negative consequences. In response to the increased need to report uncertainty, we bring attention to the promise of conformal prediction within the domain of EO. Unlike previous uncertainty quantification methods, conformal prediction offers statistically valid prediction regions while concurrently supporting any machine learning model and data distribution. To support the need for conformal prediction, we reviewed EO datasets and found that only 22.5% of the datasets incorporated a degree of uncertainty information, with unreliable methods prevalent. Current open implementations require moving large amounts of EO data to the algorithms. We introduced Google Earth Engine native modules that bring conformal prediction to the data and compute, facilitating the integration of uncertainty quantification into existing traditional and deep learning modelling workflows. To demonstrate the versatility and scalability of these tools we apply them to valued EO applications spanning local to global extents, regression, and classification tasks. Subsequently, we discuss the opportunities arising from the use of conformal prediction in EO. We anticipate that accessible and easy-to-use tools, such as those provided here, will drive wider adoption of rigorous uncertainty quantification in EO, thereby enhancing the reliability of downstream uses such as operational monitoring and decision-making.","container-title":"Scientific Reports","DOI":"10.1038/s41598-024-65954-w","ISSN":"2045-2322","issue":"1","PMID":"39003341","publisher":"Nature Portfolio","title":"Uncertainty quantification for probabilistic machine learning in earth observation using conformal prediction","URL":"https://doi.org/10.1038/s41598-024-65954-w","volume":"14","author":[{"family":"Singh","given":"Geethen"},{"family":"Moncrieff","given":"Glenn R."},{"family":"Venter","given":"Zander S."},{"family":"Cawse‐Nicholson","given":"Kerry"},{"family":"Slingsby","given":"Jasper A."},{"family":"Robinson","given":"Tamara B."}],"issued":{"date-parts":[["2024",7]]}}}],"schema":"https://github.com/citation-style-language/schema/raw/master/csl-citation.json"} </w:instrText>
      </w:r>
      <w:r w:rsidR="003A0B0A">
        <w:fldChar w:fldCharType="separate"/>
      </w:r>
      <w:r w:rsidR="003A0B0A" w:rsidRPr="003A0B0A">
        <w:t>(Murad et al., 2026; Singh et al., 2024)</w:t>
      </w:r>
      <w:r w:rsidR="003A0B0A">
        <w:fldChar w:fldCharType="end"/>
      </w:r>
      <w:r w:rsidRPr="00317D10">
        <w:t xml:space="preserve">. While traditional finite element methods (FEM) remain irreplaceable for high-fidelity forward </w:t>
      </w:r>
      <w:r w:rsidRPr="00317D10">
        <w:lastRenderedPageBreak/>
        <w:t xml:space="preserve">simulation, they are constrained as an end-to-end inference engine for repeated parameter back-analysis across applications </w:t>
      </w:r>
      <w:r w:rsidR="003A0B0A">
        <w:fldChar w:fldCharType="begin"/>
      </w:r>
      <w:r w:rsidR="003A0B0A">
        <w:instrText xml:space="preserve"> ADDIN ZOTERO_ITEM CSL_CITATION {"citationID":"SNU3Dxnb","properties":{"unsorted":false,"formattedCitation":"(Sun et al., 2025)","plainCitation":"(Sun et al., 2025)","noteIndex":0},"citationItems":[{"id":38,"uris":["http://zotero.org/users/19870308/items/JKB7P2WH"],"itemData":{"id":38,"type":"article-journal","abstract":"Abstract Finite element (FE) model updating is essential for design, analysis, or response prediction of engineering systems. However, uncertainties from various sources often lead to discrepancies between model predictions and actual observations. Bayesian parameter updating and state estimation provide a probabilistic framework by estimating posterior distributions of parameters or states that define the FE model. Yet, traditional simulation methods like Markov Chain Monte Carlo (MCMC) face significant challenges in high-dimensional, multimodal spaces or when priors differ greatly from posteriors. This study introduces the Normalizing flow Enhanced GlObal and Local sAmpler (NEGOLA) that integrates normalizing flow, a machine learning technique for transforming simple distributions into complex ones, with a Gaussian kernel to generate new samples in Bayesian model updating. By concurrently running multiple chains and alternating between normalizing flow (global sampler) and Gaussian kernels (local sampler), NEGOLA achieves faster convergence and requires fewer FE model evaluations compared to conventional methods. The effects of the number of Markov chains and the switching steps in the NEGOLA algorithm are studied to provide insight into an optimal configuration of the algorithm. The algorithm was validated using single- and multiple-degree-of-freedom (SDOF and MDOF) dynamic systems and outperformed traditional approaches such as the unscented Kalman filter (UKF) and transitional MCMC (TMCMC) in scenarios involving time-varying parameters and abrupt changes. It was found that NEGOLA converges 20.3 times faster than the UKF in the SDOF system and requires 59.37% fewer FE model evaluations than TMCMC in the MDOF system. Results show that NEGOLA enhances convergence rates and accuracy, making it a promising tool for Bayesian model updating under uncertainty.","container-title":"Journal of Mechanical Design","DOI":"10.1115/1.4070208","ISSN":"1050-0472, 1528-9001","issue":"2","publisher":"American Society of Mechanical Engineers","title":"Normalizing Flow Enhanced Global and Local Sampler for Bayesian Parameter Updating and State Estimation in Finite Element Models","URL":"https://doi.org/10.1115/1.4070208","volume":"148","author":[{"family":"Sun","given":"Lin"},{"family":"Hu","given":"Zhen"},{"family":"Todd","given":"Michael D."}],"issued":{"date-parts":[["2025",10]]}}}],"schema":"https://github.com/citation-style-language/schema/raw/master/csl-citation.json"} </w:instrText>
      </w:r>
      <w:r w:rsidR="003A0B0A">
        <w:fldChar w:fldCharType="separate"/>
      </w:r>
      <w:r w:rsidR="003A0B0A" w:rsidRPr="003A0B0A">
        <w:t>(Sun et al., 2025)</w:t>
      </w:r>
      <w:r w:rsidR="003A0B0A">
        <w:fldChar w:fldCharType="end"/>
      </w:r>
      <w:r w:rsidRPr="00317D10">
        <w:t xml:space="preserve">. Although inverse FEM workflows usually </w:t>
      </w:r>
      <w:r w:rsidR="003B64E0">
        <w:t>require iterative calibration, mesh generation, constitutive model selection, and repeated solver calls. Therefore, this can be difficult when</w:t>
      </w:r>
      <w:r w:rsidRPr="00317D10">
        <w:t xml:space="preserve"> fast operational decision-making is necessary. At the other extreme, typical black-box deep learning models readily interpolate observations but </w:t>
      </w:r>
      <w:r w:rsidR="003B64E0">
        <w:t>violate boundary conditions, conservation laws, or diffusion physics when extrapolating beyond</w:t>
      </w:r>
      <w:r w:rsidRPr="00317D10">
        <w:t xml:space="preserve"> the training cloud</w:t>
      </w:r>
      <w:r w:rsidR="003A0B0A">
        <w:t xml:space="preserve"> </w:t>
      </w:r>
      <w:r w:rsidR="003A0B0A">
        <w:fldChar w:fldCharType="begin"/>
      </w:r>
      <w:r w:rsidR="003A0B0A">
        <w:instrText xml:space="preserve"> ADDIN ZOTERO_ITEM CSL_CITATION {"citationID":"lMzrUY3o","properties":{"unsorted":false,"formattedCitation":"(Slater et al., 2023)","plainCitation":"(Slater et al., 2023)","noteIndex":0},"citationItems":[{"id":39,"uris":["http://zotero.org/users/19870308/items/XRUWNN2E"],"itemData":{"id":39,"type":"article-journal","abstract":"Abstract. Hybrid hydroclimatic forecasting systems employ data-driven (statistical or machine learning) methods to harness and integrate a broad variety of predictions from dynamical, physics-based models – such as numerical weather prediction, climate, land, hydrology, and Earth system models – into a final prediction product. They are recognized as a promising way of enhancing the prediction skill of meteorological and hydroclimatic variables and events, including rainfall, temperature, streamflow, floods, droughts, tropical cyclones, or atmospheric rivers. Hybrid forecasting methods are now receiving growing attention due to advances in weather and climate prediction systems at subseasonal to decadal scales, a better appreciation of the strengths of AI, and expanding access to computational resources and methods. Such systems are attractive because they may avoid the need to run a computationally expensive offline land model, can minimize the effect of biases that exist within dynamical outputs, benefit from the strengths of machine learning, and can learn from large datasets, while combining different sources of predictability with varying time horizons. Here we review recent developments in hybrid hydroclimatic forecasting and outline key challenges and opportunities for further research. These include obtaining physically explainable results, assimilating human influences from novel data sources, integrating new ensemble techniques to improve predictive skill, creating seamless prediction schemes that merge short to long lead times, incorporating initial land surface and ocean/ice conditions, acknowledging spatial variability in landscape and atmospheric forcing, and increasing the operational uptake of hybrid prediction schemes.","container-title":"Hydrology and earth system sciences","DOI":"10.5194/hess-27-1865-2023","ISSN":"1027-5606, 1607-7938","issue":"9","page":"1865-1889","publisher":"Copernicus Publications","title":"Hybrid forecasting: blending climate predictions with AI models","volume":"27","author":[{"family":"Slater","given":"Louise"},{"family":"Arnal","given":"Louise"},{"family":"Boucher","given":"Marie-Amélie"},{"family":"Chang","given":"Annie Y.-Y."},{"family":"Moulds","given":"Simon"},{"family":"Murphy","given":"Conor"},{"family":"Nearing","given":"Grey"},{"family":"Shalev","given":"Guy"},{"family":"Shen","given":"Chaopeng"},{"family":"Speight","given":"Linda"},{"family":"Villarini","given":"Gabriele"},{"family":"Wilby","given":"Robert L."},{"family":"Wood","given":"Andrew W."},{"family":"Zappa","given":"Massimiliano"}],"issued":{"date-parts":[["2023",5]]}}}],"schema":"https://github.com/citation-style-language/schema/raw/master/csl-citation.json"} </w:instrText>
      </w:r>
      <w:r w:rsidR="003A0B0A">
        <w:fldChar w:fldCharType="separate"/>
      </w:r>
      <w:r w:rsidR="003A0B0A" w:rsidRPr="003A0B0A">
        <w:t>(Slater et al., 2023)</w:t>
      </w:r>
      <w:r w:rsidR="003A0B0A">
        <w:fldChar w:fldCharType="end"/>
      </w:r>
      <w:r w:rsidRPr="00317D10">
        <w:t xml:space="preserve">. Thus, uncertainty quantification (UQ) is an important aspect of this work </w:t>
      </w:r>
      <w:r w:rsidR="003A0B0A">
        <w:fldChar w:fldCharType="begin"/>
      </w:r>
      <w:r w:rsidR="003A0B0A">
        <w:instrText xml:space="preserve"> ADDIN ZOTERO_ITEM CSL_CITATION {"citationID":"XTN4iyg1","properties":{"unsorted":false,"formattedCitation":"(Gal &amp; Ghahramani, 2015)","plainCitation":"(Gal &amp; Ghahramani, 2015)","noteIndex":0},"citationItems":[{"id":40,"uris":["http://zotero.org/users/19870308/items/4N4J5QYN"],"itemData":{"id":40,"type":"article-journal","abstract":"Deep learning tools have gained tremendous attention in applied machine learning. However such tools for regression and classification do not capture model uncertainty. In comparison, Bayesian models offer a mathematically grounded framework to reason about model uncertainty, but usually come with a prohibitive computational cost. In this paper we develop a new theoretical framework casting dropout training in deep neural networks (NNs) as approximate Bayesian inference in deep Gaussian processes. A direct result of this theory gives us tools to model uncertainty with dropout NNs – extracting information from existing models that has been thrown away so far. This mitigates the problem of representing uncertainty in deep learning without sacrificing either computational complexity or test accuracy. We perform an extensive study of the properties of dropout's uncertainty. Various network architectures and non-linearities are assessed on tasks of regression and classification, using MNIST as an example. We show a considerable improvement in predictive log-likelihood and RMSE compared to existing state-of-the-art methods, and finish by using dropout's uncertainty in deep reinforcement learning.","container-title":"arXiv (Cornell University)","DOI":"10.48550/arxiv.1506.02142","publisher":"Cornell University","title":"Dropout as a Bayesian Approximation: Representing Model Uncertainty in Deep Learning","URL":"http://arxiv.org/abs/1506.02142","author":[{"family":"Gal","given":"Yarin"},{"family":"Ghahramani","given":"Zoubin"}],"issued":{"date-parts":[["2015",6]]}}}],"schema":"https://github.com/citation-style-language/schema/raw/master/csl-citation.json"} </w:instrText>
      </w:r>
      <w:r w:rsidR="003A0B0A">
        <w:fldChar w:fldCharType="separate"/>
      </w:r>
      <w:r w:rsidR="003A0B0A" w:rsidRPr="003A0B0A">
        <w:t>(Gal &amp; Ghahramani, 2015)</w:t>
      </w:r>
      <w:r w:rsidR="003A0B0A">
        <w:fldChar w:fldCharType="end"/>
      </w:r>
      <w:r w:rsidRPr="00317D10">
        <w:t>. Safety, constructability</w:t>
      </w:r>
      <w:r w:rsidR="003B64E0">
        <w:t>, and lifecycle cost are affected by pore-pressure dissipation, foundation settlement, and</w:t>
      </w:r>
      <w:r w:rsidRPr="00317D10">
        <w:t xml:space="preserve"> embankment performance. Considering a purely deterministic model, especially given the sparsity and noise inherent in measurements, is an insufficient basis for decision-making. The hybrid method of physics-informed neural networks (PINNs) embeds the governing partial differential equation (PDE) directly into the training process, providing a temperate balance between data and prior knowledge, while Monte Carlo (MC) dropout provides a simple and scalable means to approximate epistemic uncertainty for deep models</w:t>
      </w:r>
      <w:r w:rsidR="003B64E0">
        <w:t>.</w:t>
      </w:r>
      <w:r w:rsidRPr="00317D10">
        <w:t xml:space="preserve"> Thus, this study proposes a mesh-free stochastic inverse PINN for 1D consolidation and examines its capacity to infer (cᵥ) from volatile</w:t>
      </w:r>
      <w:r w:rsidR="003B64E0">
        <w:t>,</w:t>
      </w:r>
      <w:r w:rsidRPr="00317D10">
        <w:t xml:space="preserve"> limited observations.</w:t>
      </w:r>
    </w:p>
    <w:p w14:paraId="59F17458" w14:textId="77777777" w:rsidR="00F4572E" w:rsidRPr="007B29C8" w:rsidRDefault="00F4572E" w:rsidP="00E656A5">
      <w:pPr>
        <w:pStyle w:val="Textbloc"/>
        <w:rPr>
          <w:rFonts w:ascii="Times New Roman" w:hAnsi="Times New Roman"/>
        </w:rPr>
      </w:pPr>
    </w:p>
    <w:p w14:paraId="5B6AB4FD" w14:textId="77777777" w:rsidR="00E2662C" w:rsidRPr="00B52C8D" w:rsidRDefault="004603DB" w:rsidP="00FC5137">
      <w:pPr>
        <w:pStyle w:val="SECTIONHEADING"/>
        <w:rPr>
          <w:rFonts w:ascii="Times New Roman" w:hAnsi="Times New Roman"/>
        </w:rPr>
      </w:pPr>
      <w:r w:rsidRPr="00B52C8D">
        <w:rPr>
          <w:rFonts w:ascii="Times New Roman" w:hAnsi="Times New Roman"/>
        </w:rPr>
        <w:t>methodology</w:t>
      </w:r>
    </w:p>
    <w:p w14:paraId="27AE39A9" w14:textId="77777777" w:rsidR="0008570F" w:rsidRPr="0075071E" w:rsidRDefault="00D10E51" w:rsidP="00F4572E">
      <w:pPr>
        <w:pStyle w:val="SECTIONHEADING"/>
        <w:numPr>
          <w:ilvl w:val="0"/>
          <w:numId w:val="0"/>
        </w:numPr>
        <w:jc w:val="center"/>
        <w:rPr>
          <w:noProof/>
        </w:rPr>
      </w:pPr>
      <w:r w:rsidRPr="0075071E">
        <w:rPr>
          <w:noProof/>
        </w:rPr>
        <w:drawing>
          <wp:inline distT="0" distB="0" distL="0" distR="0" wp14:anchorId="1B51A05E" wp14:editId="35D482EC">
            <wp:extent cx="4552950" cy="2073697"/>
            <wp:effectExtent l="19050" t="19050" r="19050" b="222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l="3078" t="12875" r="2565" b="11446"/>
                    <a:stretch>
                      <a:fillRect/>
                    </a:stretch>
                  </pic:blipFill>
                  <pic:spPr bwMode="auto">
                    <a:xfrm>
                      <a:off x="0" y="0"/>
                      <a:ext cx="4552950" cy="2073697"/>
                    </a:xfrm>
                    <a:prstGeom prst="rect">
                      <a:avLst/>
                    </a:prstGeom>
                    <a:noFill/>
                    <a:ln w="3175" cmpd="sng">
                      <a:solidFill>
                        <a:srgbClr val="000000"/>
                      </a:solidFill>
                      <a:miter lim="800000"/>
                      <a:headEnd/>
                      <a:tailEnd/>
                    </a:ln>
                    <a:effectLst/>
                  </pic:spPr>
                </pic:pic>
              </a:graphicData>
            </a:graphic>
          </wp:inline>
        </w:drawing>
      </w:r>
    </w:p>
    <w:p w14:paraId="61E6C383" w14:textId="77777777" w:rsidR="00E2662C" w:rsidRPr="0008570F" w:rsidRDefault="0008570F" w:rsidP="0008570F">
      <w:pPr>
        <w:pStyle w:val="NoSpacing"/>
        <w:jc w:val="center"/>
        <w:rPr>
          <w:rFonts w:ascii="Times New Roman" w:hAnsi="Times New Roman"/>
        </w:rPr>
      </w:pPr>
      <w:r w:rsidRPr="0008570F">
        <w:rPr>
          <w:rFonts w:ascii="Times New Roman" w:hAnsi="Times New Roman"/>
        </w:rPr>
        <w:t>Figure 1: Inverse Physics-Informed Neural Network Framework for Parameter Estimation and Uncertainty Quantification</w:t>
      </w:r>
    </w:p>
    <w:p w14:paraId="6CE75E7D" w14:textId="77777777" w:rsidR="001509C2" w:rsidRPr="007B29C8" w:rsidRDefault="00E2662C" w:rsidP="008F3499">
      <w:pPr>
        <w:pStyle w:val="Style1stsub-headingArial"/>
        <w:rPr>
          <w:rFonts w:ascii="Times New Roman" w:hAnsi="Times New Roman"/>
        </w:rPr>
      </w:pPr>
      <w:r>
        <w:rPr>
          <w:rFonts w:ascii="Times New Roman" w:hAnsi="Times New Roman"/>
        </w:rPr>
        <w:t>Governing Equations</w:t>
      </w:r>
    </w:p>
    <w:p w14:paraId="1FAA13B7" w14:textId="347198A2" w:rsidR="00E2662C" w:rsidRPr="00E2662C" w:rsidRDefault="00E2662C" w:rsidP="00170389">
      <w:pPr>
        <w:pStyle w:val="BodyText0"/>
      </w:pPr>
      <w:r w:rsidRPr="00E2662C">
        <w:t xml:space="preserve">The governing physics is Terzaghi’s one-dimensional consolidation equation </w:t>
      </w:r>
      <w:r w:rsidR="00B52C8D">
        <w:fldChar w:fldCharType="begin"/>
      </w:r>
      <w:r w:rsidR="00B52C8D">
        <w:instrText xml:space="preserve"> ADDIN ZOTERO_ITEM CSL_CITATION {"citationID":"7mnppPdj","properties":{"unsorted":false,"formattedCitation":"(Terzaghi, 1943)","plainCitation":"(Terzaghi, 1943)","noteIndex":0},"citationItems":[{"id":34,"uris":["http://zotero.org/users/19870308/items/ZQSIXUZ5"],"itemData":{"id":34,"type":"book","DOI":"10.1002/9780470172766","title":"Theoretical Soil Mechanics","URL":"https://doi.org/10.1002/9780470172766","author":[{"family":"Terzaghi","given":"Karl"}],"issued":{"date-parts":[["1943",1]]}}}],"schema":"https://github.com/citation-style-language/schema/raw/master/csl-citation.json"} </w:instrText>
      </w:r>
      <w:r w:rsidR="00B52C8D">
        <w:fldChar w:fldCharType="separate"/>
      </w:r>
      <w:r w:rsidR="00B52C8D" w:rsidRPr="00B52C8D">
        <w:t>(Terzaghi, 1943)</w:t>
      </w:r>
      <w:r w:rsidR="00B52C8D">
        <w:fldChar w:fldCharType="end"/>
      </w:r>
      <w:r w:rsidRPr="00E2662C">
        <w:t>:</w:t>
      </w:r>
    </w:p>
    <w:p w14:paraId="0986CFCF" w14:textId="109A589E" w:rsidR="00E2662C" w:rsidRPr="00E2662C" w:rsidRDefault="00000000" w:rsidP="00170389">
      <w:pPr>
        <w:pStyle w:val="BodyText0"/>
      </w:pPr>
      <m:oMath>
        <m:f>
          <m:fPr>
            <m:ctrlPr>
              <w:rPr>
                <w:rFonts w:ascii="Cambria Math" w:hAnsi="Cambria Math"/>
                <w:sz w:val="24"/>
              </w:rPr>
            </m:ctrlPr>
          </m:fPr>
          <m:num>
            <m:r>
              <m:rPr>
                <m:sty m:val="p"/>
              </m:rPr>
              <w:rPr>
                <w:rFonts w:ascii="Cambria Math" w:hAnsi="Cambria Math"/>
                <w:sz w:val="24"/>
              </w:rPr>
              <m:t>∂</m:t>
            </m:r>
            <m:r>
              <w:rPr>
                <w:rFonts w:ascii="Cambria Math" w:hAnsi="Cambria Math"/>
                <w:sz w:val="24"/>
              </w:rPr>
              <m:t>u</m:t>
            </m:r>
            <m:ctrlPr>
              <w:rPr>
                <w:rFonts w:ascii="Cambria Math" w:hAnsi="Cambria Math"/>
                <w:i/>
                <w:sz w:val="24"/>
              </w:rPr>
            </m:ctrlPr>
          </m:num>
          <m:den>
            <m:r>
              <m:rPr>
                <m:sty m:val="p"/>
              </m:rPr>
              <w:rPr>
                <w:rFonts w:ascii="Cambria Math" w:hAnsi="Cambria Math"/>
                <w:sz w:val="24"/>
              </w:rPr>
              <m:t>∂</m:t>
            </m:r>
            <m:r>
              <w:rPr>
                <w:rFonts w:ascii="Cambria Math" w:hAnsi="Cambria Math"/>
                <w:sz w:val="24"/>
              </w:rPr>
              <m:t>t</m:t>
            </m:r>
            <m:ctrlPr>
              <w:rPr>
                <w:rFonts w:ascii="Cambria Math" w:hAnsi="Cambria Math"/>
                <w:i/>
                <w:sz w:val="24"/>
              </w:rPr>
            </m:ctrlPr>
          </m:den>
        </m:f>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v</m:t>
            </m:r>
          </m:sub>
        </m:sSub>
        <m:d>
          <m:dPr>
            <m:ctrlPr>
              <w:rPr>
                <w:rFonts w:ascii="Cambria Math" w:hAnsi="Cambria Math"/>
                <w:sz w:val="24"/>
              </w:rPr>
            </m:ctrlPr>
          </m:dPr>
          <m:e>
            <m:f>
              <m:fPr>
                <m:ctrlPr>
                  <w:rPr>
                    <w:rFonts w:ascii="Cambria Math" w:hAnsi="Cambria Math"/>
                    <w:sz w:val="24"/>
                  </w:rPr>
                </m:ctrlPr>
              </m:fPr>
              <m:num>
                <m:sSup>
                  <m:sSupPr>
                    <m:ctrlPr>
                      <w:rPr>
                        <w:rFonts w:ascii="Cambria Math" w:hAnsi="Cambria Math"/>
                        <w:i/>
                        <w:sz w:val="24"/>
                      </w:rPr>
                    </m:ctrlPr>
                  </m:sSupPr>
                  <m:e>
                    <m:r>
                      <m:rPr>
                        <m:sty m:val="p"/>
                      </m:rPr>
                      <w:rPr>
                        <w:rFonts w:ascii="Cambria Math" w:hAnsi="Cambria Math"/>
                        <w:sz w:val="24"/>
                      </w:rPr>
                      <m:t>∂</m:t>
                    </m:r>
                  </m:e>
                  <m:sup>
                    <m:r>
                      <w:rPr>
                        <w:rFonts w:ascii="Cambria Math" w:hAnsi="Cambria Math"/>
                        <w:sz w:val="24"/>
                      </w:rPr>
                      <m:t>2</m:t>
                    </m:r>
                  </m:sup>
                </m:sSup>
                <m:r>
                  <w:rPr>
                    <w:rFonts w:ascii="Cambria Math" w:hAnsi="Cambria Math"/>
                    <w:sz w:val="24"/>
                  </w:rPr>
                  <m:t>u</m:t>
                </m:r>
                <m:ctrlPr>
                  <w:rPr>
                    <w:rFonts w:ascii="Cambria Math" w:hAnsi="Cambria Math"/>
                    <w:i/>
                    <w:sz w:val="24"/>
                  </w:rPr>
                </m:ctrlPr>
              </m:num>
              <m:den>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z</m:t>
                    </m:r>
                  </m:e>
                  <m:sup>
                    <m:r>
                      <w:rPr>
                        <w:rFonts w:ascii="Cambria Math" w:hAnsi="Cambria Math"/>
                        <w:sz w:val="24"/>
                      </w:rPr>
                      <m:t>2</m:t>
                    </m:r>
                  </m:sup>
                </m:sSup>
                <m:ctrlPr>
                  <w:rPr>
                    <w:rFonts w:ascii="Cambria Math" w:hAnsi="Cambria Math"/>
                    <w:i/>
                    <w:sz w:val="24"/>
                  </w:rPr>
                </m:ctrlPr>
              </m:den>
            </m:f>
            <m:ctrlPr>
              <w:rPr>
                <w:rFonts w:ascii="Cambria Math" w:hAnsi="Cambria Math"/>
                <w:i/>
                <w:sz w:val="24"/>
              </w:rPr>
            </m:ctrlPr>
          </m:e>
        </m:d>
        <m:r>
          <w:rPr>
            <w:rFonts w:ascii="Cambria Math" w:hAnsi="Cambria Math"/>
            <w:sz w:val="24"/>
          </w:rPr>
          <m:t>,  0</m:t>
        </m:r>
        <m:r>
          <w:rPr>
            <w:rFonts w:ascii="Cambria Math" w:hAnsi="Cambria Math"/>
            <w:sz w:val="28"/>
          </w:rPr>
          <m:t>&lt;z</m:t>
        </m:r>
        <m:r>
          <w:rPr>
            <w:rFonts w:ascii="Cambria Math" w:hAnsi="Cambria Math"/>
            <w:sz w:val="24"/>
          </w:rPr>
          <m:t>&lt;H,  0&lt;t</m:t>
        </m:r>
      </m:oMath>
      <w:r w:rsidR="00E2662C" w:rsidRPr="00E2662C">
        <w:t xml:space="preserve">                                                                       </w:t>
      </w:r>
      <w:r w:rsidR="00EC67F8">
        <w:t xml:space="preserve">    </w:t>
      </w:r>
      <w:r w:rsidR="00E2662C" w:rsidRPr="00E2662C">
        <w:t xml:space="preserve">                       (1)    </w:t>
      </w:r>
    </w:p>
    <w:p w14:paraId="27E7F790" w14:textId="77777777" w:rsidR="00F4572E" w:rsidRDefault="00E2662C" w:rsidP="00170389">
      <w:pPr>
        <w:pStyle w:val="BodyText0"/>
      </w:pPr>
      <w:r w:rsidRPr="00E2662C">
        <w:t>where u</w:t>
      </w:r>
      <w:r w:rsidR="00A055AC">
        <w:t xml:space="preserve"> </w:t>
      </w:r>
      <w:r w:rsidRPr="00E2662C">
        <w:t>(z,</w:t>
      </w:r>
      <w:r w:rsidR="00A055AC">
        <w:t xml:space="preserve"> </w:t>
      </w:r>
      <w:r w:rsidRPr="00E2662C">
        <w:t xml:space="preserve">t) is excess pore pressure, (z) is depth, (t) is the </w:t>
      </w:r>
      <w:r w:rsidR="00F4572E">
        <w:t>normalised</w:t>
      </w:r>
      <w:r w:rsidRPr="00E2662C">
        <w:t xml:space="preserve"> time coordinate reported as (Tᵥ) in the figures, and (cᵥ) is the coefficient of consolidation to be inferred. In the present study, the depth domain was fixed at (H = 2.0) m, the dimensionless time-factor range was (0 &lt; Tᵥ &lt; 1), and the initial excess pore pressure amplitude was (u₀ = 1.0). The synthetic reference field was generated from the analytical series solution for a double-drainage-type setting with zero excess pore pressure at the drainage boundaries:</w:t>
      </w:r>
    </w:p>
    <w:p w14:paraId="53B3F77D" w14:textId="4EE0FA1D" w:rsidR="00E2662C" w:rsidRPr="00E2662C" w:rsidRDefault="00D10E51" w:rsidP="00170389">
      <w:pPr>
        <w:pStyle w:val="BodyText0"/>
      </w:pPr>
      <m:oMath>
        <m:r>
          <w:rPr>
            <w:rFonts w:ascii="Cambria Math" w:hAnsi="Cambria Math"/>
            <w:sz w:val="24"/>
          </w:rPr>
          <m:t>u</m:t>
        </m:r>
        <m:d>
          <m:dPr>
            <m:ctrlPr>
              <w:rPr>
                <w:rFonts w:ascii="Cambria Math" w:hAnsi="Cambria Math"/>
                <w:sz w:val="24"/>
              </w:rPr>
            </m:ctrlPr>
          </m:dPr>
          <m:e>
            <m:r>
              <w:rPr>
                <w:rFonts w:ascii="Cambria Math" w:hAnsi="Cambria Math"/>
                <w:sz w:val="24"/>
              </w:rPr>
              <m:t>0,t</m:t>
            </m:r>
            <m:ctrlPr>
              <w:rPr>
                <w:rFonts w:ascii="Cambria Math" w:hAnsi="Cambria Math"/>
                <w:i/>
                <w:sz w:val="24"/>
              </w:rPr>
            </m:ctrlPr>
          </m:e>
        </m:d>
        <m:r>
          <w:rPr>
            <w:rFonts w:ascii="Cambria Math" w:hAnsi="Cambria Math"/>
            <w:sz w:val="24"/>
          </w:rPr>
          <m:t>=0,  u</m:t>
        </m:r>
        <m:d>
          <m:dPr>
            <m:ctrlPr>
              <w:rPr>
                <w:rFonts w:ascii="Cambria Math" w:hAnsi="Cambria Math"/>
                <w:sz w:val="24"/>
              </w:rPr>
            </m:ctrlPr>
          </m:dPr>
          <m:e>
            <m:r>
              <w:rPr>
                <w:rFonts w:ascii="Cambria Math" w:hAnsi="Cambria Math"/>
                <w:sz w:val="24"/>
              </w:rPr>
              <m:t>H,t</m:t>
            </m:r>
            <m:ctrlPr>
              <w:rPr>
                <w:rFonts w:ascii="Cambria Math" w:hAnsi="Cambria Math"/>
                <w:i/>
                <w:sz w:val="24"/>
              </w:rPr>
            </m:ctrlPr>
          </m:e>
        </m:d>
        <m:r>
          <w:rPr>
            <w:rFonts w:ascii="Cambria Math" w:hAnsi="Cambria Math"/>
            <w:sz w:val="24"/>
          </w:rPr>
          <m:t>=0,  u</m:t>
        </m:r>
        <m:d>
          <m:dPr>
            <m:ctrlPr>
              <w:rPr>
                <w:rFonts w:ascii="Cambria Math" w:hAnsi="Cambria Math"/>
                <w:sz w:val="24"/>
              </w:rPr>
            </m:ctrlPr>
          </m:dPr>
          <m:e>
            <m:r>
              <w:rPr>
                <w:rFonts w:ascii="Cambria Math" w:hAnsi="Cambria Math"/>
                <w:sz w:val="24"/>
              </w:rPr>
              <m:t>z,0</m:t>
            </m:r>
            <m:ctrlPr>
              <w:rPr>
                <w:rFonts w:ascii="Cambria Math" w:hAnsi="Cambria Math"/>
                <w:i/>
                <w:sz w:val="24"/>
              </w:rPr>
            </m:ctrlPr>
          </m:e>
        </m:d>
        <m:r>
          <w:rPr>
            <w:rFonts w:ascii="Cambria Math" w:hAnsi="Cambria Math"/>
            <w:sz w:val="24"/>
          </w:rPr>
          <m:t>=</m:t>
        </m:r>
        <m:sSub>
          <m:sSubPr>
            <m:ctrlPr>
              <w:rPr>
                <w:rFonts w:ascii="Cambria Math" w:hAnsi="Cambria Math"/>
                <w:i/>
                <w:sz w:val="24"/>
              </w:rPr>
            </m:ctrlPr>
          </m:sSubPr>
          <m:e>
            <m:r>
              <w:rPr>
                <w:rFonts w:ascii="Cambria Math" w:hAnsi="Cambria Math"/>
                <w:sz w:val="24"/>
              </w:rPr>
              <m:t>u</m:t>
            </m:r>
          </m:e>
          <m:sub>
            <m:r>
              <w:rPr>
                <w:rFonts w:ascii="Cambria Math" w:hAnsi="Cambria Math"/>
                <w:sz w:val="24"/>
              </w:rPr>
              <m:t>0</m:t>
            </m:r>
          </m:sub>
        </m:sSub>
      </m:oMath>
      <w:r w:rsidR="00E2662C" w:rsidRPr="00E2662C">
        <w:t xml:space="preserve">                                                                  </w:t>
      </w:r>
      <w:r w:rsidR="00EC67F8">
        <w:t xml:space="preserve">  </w:t>
      </w:r>
      <w:r w:rsidR="00E2662C" w:rsidRPr="00E2662C">
        <w:t xml:space="preserve">                     (2)</w:t>
      </w:r>
    </w:p>
    <w:p w14:paraId="3A2A6621" w14:textId="77777777" w:rsidR="00285AAC" w:rsidRPr="00E2662C" w:rsidRDefault="00E2662C" w:rsidP="00170389">
      <w:pPr>
        <w:pStyle w:val="BodyText0"/>
      </w:pPr>
      <w:r w:rsidRPr="00E2662C">
        <w:t>The analytical truth used throughout the study was adopted (cᵥ = 1.2).</w:t>
      </w:r>
    </w:p>
    <w:p w14:paraId="079CD32A" w14:textId="18D123F8" w:rsidR="00626152" w:rsidRPr="00317D10" w:rsidRDefault="00E2662C" w:rsidP="00320107">
      <w:pPr>
        <w:pStyle w:val="1stsub-heading"/>
      </w:pPr>
      <w:r w:rsidRPr="00317D10">
        <w:t>Synthetic data generation under sparse field-like conditions</w:t>
      </w:r>
    </w:p>
    <w:p w14:paraId="2C80CF76" w14:textId="63874D45" w:rsidR="003A0B0A" w:rsidRPr="003A0B0A" w:rsidRDefault="00E2662C" w:rsidP="003A0B0A">
      <w:pPr>
        <w:pStyle w:val="NormalWeb"/>
        <w:jc w:val="both"/>
        <w:rPr>
          <w:sz w:val="22"/>
          <w:szCs w:val="22"/>
          <w:lang w:val="en-US"/>
        </w:rPr>
      </w:pPr>
      <w:r w:rsidRPr="003A0B0A">
        <w:rPr>
          <w:sz w:val="22"/>
          <w:szCs w:val="22"/>
        </w:rPr>
        <w:t xml:space="preserve">To </w:t>
      </w:r>
      <w:r w:rsidR="00932BCB" w:rsidRPr="003A0B0A">
        <w:rPr>
          <w:sz w:val="22"/>
          <w:szCs w:val="22"/>
        </w:rPr>
        <w:t>simulate</w:t>
      </w:r>
      <w:r w:rsidRPr="003A0B0A">
        <w:rPr>
          <w:sz w:val="22"/>
          <w:szCs w:val="22"/>
        </w:rPr>
        <w:t xml:space="preserve"> </w:t>
      </w:r>
      <w:r w:rsidR="00932BCB" w:rsidRPr="003A0B0A">
        <w:rPr>
          <w:sz w:val="22"/>
          <w:szCs w:val="22"/>
        </w:rPr>
        <w:t>real-world</w:t>
      </w:r>
      <w:r w:rsidRPr="003A0B0A">
        <w:rPr>
          <w:sz w:val="22"/>
          <w:szCs w:val="22"/>
        </w:rPr>
        <w:t xml:space="preserve"> instrumentation constraints, the dense analytical field was not used directly for training. </w:t>
      </w:r>
      <w:r w:rsidR="003A0B0A" w:rsidRPr="003A0B0A">
        <w:rPr>
          <w:sz w:val="22"/>
          <w:szCs w:val="22"/>
          <w:lang w:val="en-US"/>
        </w:rPr>
        <w:t xml:space="preserve">You only sampled 50 spatiotemporal </w:t>
      </w:r>
      <w:r w:rsidR="00320107">
        <w:rPr>
          <w:sz w:val="22"/>
          <w:szCs w:val="22"/>
          <w:lang w:val="en-US"/>
        </w:rPr>
        <w:t>sensors</w:t>
      </w:r>
      <w:r w:rsidR="003A0B0A" w:rsidRPr="003A0B0A">
        <w:rPr>
          <w:sz w:val="22"/>
          <w:szCs w:val="22"/>
          <w:lang w:val="en-US"/>
        </w:rPr>
        <w:t xml:space="preserve">. Sensor depths followed the same uniform density across the soil layer, and time points were drawn from a beta distribution with a small left-hand </w:t>
      </w:r>
      <w:r w:rsidR="003A0B0A" w:rsidRPr="003A0B0A">
        <w:rPr>
          <w:sz w:val="22"/>
          <w:szCs w:val="22"/>
          <w:lang w:val="en-US"/>
        </w:rPr>
        <w:lastRenderedPageBreak/>
        <w:t xml:space="preserve">limit to </w:t>
      </w:r>
      <w:proofErr w:type="spellStart"/>
      <w:r w:rsidR="00320107">
        <w:rPr>
          <w:sz w:val="22"/>
          <w:szCs w:val="22"/>
          <w:lang w:val="en-US"/>
        </w:rPr>
        <w:t>favour</w:t>
      </w:r>
      <w:proofErr w:type="spellEnd"/>
      <w:r w:rsidR="00320107">
        <w:rPr>
          <w:sz w:val="22"/>
          <w:szCs w:val="22"/>
          <w:lang w:val="en-US"/>
        </w:rPr>
        <w:t xml:space="preserve"> early stages, following earlier statements, reflecting that data points from the early-time consolidation data appear more informative relative to later time points</w:t>
      </w:r>
      <w:r w:rsidR="003A0B0A" w:rsidRPr="003A0B0A">
        <w:rPr>
          <w:sz w:val="22"/>
          <w:szCs w:val="22"/>
          <w:lang w:val="en-US"/>
        </w:rPr>
        <w:t xml:space="preserve">. </w:t>
      </w:r>
      <w:r w:rsidR="00320107">
        <w:rPr>
          <w:sz w:val="22"/>
          <w:szCs w:val="22"/>
          <w:lang w:val="en-US"/>
        </w:rPr>
        <w:t>Orthogonal Gaussian noise with standard deviation 0.05 was</w:t>
      </w:r>
      <w:r w:rsidR="003A0B0A" w:rsidRPr="003A0B0A">
        <w:rPr>
          <w:sz w:val="22"/>
          <w:szCs w:val="22"/>
          <w:lang w:val="en-US"/>
        </w:rPr>
        <w:t xml:space="preserve"> introduced to mimic field conditions </w:t>
      </w:r>
      <w:r w:rsidR="003A0B0A">
        <w:rPr>
          <w:sz w:val="22"/>
          <w:szCs w:val="22"/>
          <w:lang w:val="en-US"/>
        </w:rPr>
        <w:fldChar w:fldCharType="begin"/>
      </w:r>
      <w:r w:rsidR="003A0B0A">
        <w:rPr>
          <w:sz w:val="22"/>
          <w:szCs w:val="22"/>
          <w:lang w:val="en-US"/>
        </w:rPr>
        <w:instrText xml:space="preserve"> ADDIN ZOTERO_ITEM CSL_CITATION {"citationID":"SpvLO3Ae","properties":{"unsorted":false,"formattedCitation":"(Cao et al., 2018)","plainCitation":"(Cao et al., 2018)","noteIndex":0},"citationItems":[{"id":42,"uris":["http://zotero.org/users/19870308/items/DVPYJ54R"],"itemData":{"id":42,"type":"article-journal","abstract":"The cone penetration test (CPT) has been widely used to determine the soil stratigraphy (including the number N and thicknesses H N of soil layers) during geotechnical site investigation because it is rapid, repeatable, and economical. For this purpose, several deterministic and probabilistic approaches have been developed in the literature, but these approaches generally only give the “best” estimates (e.g., the most probable values) of N and H N based on CPT data according to prescribed soil stratification criteria, providing no information on the identification uncertainty (degrees-of-belief) in these “best” estimates. This paper develops a Bayesian framework for probabilistic soil stratification based on the profile of soil behaviour type index I c calculated from CPT data. The proposed Bayesian framework not only provides the most probable values of N and H N , but also quantifies their associated identification uncertainty based on the I c profile and prior knowledge. Equations are derived for the proposed approach, and they are illustrated and validated using real and simulated I c profiles. Results show that the proposed approach properly identifies the most probable soil stratigraphy based on the I c profile and prior knowledge, and rationally quantifies the uncertainty in identified soil stratigraphy with consideration of inherent spatial variability of I c .","container-title":"Canadian Geotechnical Journal","DOI":"10.1139/cgj-2017-0714","ISSN":"0008-3674, 1208-6010","issue":"4","page":"570-586","publisher":"NRC Research Press","title":"Bayesian identification of soil stratigraphy based on soil behaviour type index","volume":"56","author":[{"family":"Cao","given":"Zi-Jun"},{"family":"Zheng","given":"Shuo"},{"family":"Li","given":"Dianqing"},{"family":"Phoon","given":"Kok-Kwang"}],"issued":{"date-parts":[["2018",7]]}}}],"schema":"https://github.com/citation-style-language/schema/raw/master/csl-citation.json"} </w:instrText>
      </w:r>
      <w:r w:rsidR="003A0B0A">
        <w:rPr>
          <w:sz w:val="22"/>
          <w:szCs w:val="22"/>
          <w:lang w:val="en-US"/>
        </w:rPr>
        <w:fldChar w:fldCharType="separate"/>
      </w:r>
      <w:r w:rsidR="003A0B0A" w:rsidRPr="003A0B0A">
        <w:rPr>
          <w:sz w:val="22"/>
        </w:rPr>
        <w:t>(Cao et al., 2018)</w:t>
      </w:r>
      <w:r w:rsidR="003A0B0A">
        <w:rPr>
          <w:sz w:val="22"/>
          <w:szCs w:val="22"/>
          <w:lang w:val="en-US"/>
        </w:rPr>
        <w:fldChar w:fldCharType="end"/>
      </w:r>
      <w:r w:rsidR="003A0B0A" w:rsidRPr="003A0B0A">
        <w:rPr>
          <w:sz w:val="22"/>
          <w:szCs w:val="22"/>
          <w:lang w:val="en-US"/>
        </w:rPr>
        <w:t xml:space="preserve">. We obtained a dataset that </w:t>
      </w:r>
      <w:r w:rsidR="00320107">
        <w:rPr>
          <w:sz w:val="22"/>
          <w:szCs w:val="22"/>
          <w:lang w:val="en-US"/>
        </w:rPr>
        <w:t>poses a very difficult inverse problem, with observations that are sparse, irregular,</w:t>
      </w:r>
      <w:r w:rsidR="003A0B0A" w:rsidRPr="003A0B0A">
        <w:rPr>
          <w:sz w:val="22"/>
          <w:szCs w:val="22"/>
          <w:lang w:val="en-US"/>
        </w:rPr>
        <w:t xml:space="preserve"> and noisy. The </w:t>
      </w:r>
      <w:proofErr w:type="spellStart"/>
      <w:r w:rsidR="003A0B0A" w:rsidRPr="003A0B0A">
        <w:rPr>
          <w:sz w:val="22"/>
          <w:szCs w:val="22"/>
          <w:lang w:val="en-US"/>
        </w:rPr>
        <w:t>realised</w:t>
      </w:r>
      <w:proofErr w:type="spellEnd"/>
      <w:r w:rsidR="003A0B0A" w:rsidRPr="003A0B0A">
        <w:rPr>
          <w:sz w:val="22"/>
          <w:szCs w:val="22"/>
          <w:lang w:val="en-US"/>
        </w:rPr>
        <w:t xml:space="preserve"> perturbations </w:t>
      </w:r>
      <w:r w:rsidR="00320107">
        <w:rPr>
          <w:sz w:val="22"/>
          <w:szCs w:val="22"/>
          <w:lang w:val="en-US"/>
        </w:rPr>
        <w:t>shown in Figure 1 had a mean of +0.003 and a standard deviation of 0.047, which closely matched the specified noise level</w:t>
      </w:r>
      <w:r w:rsidR="003A0B0A" w:rsidRPr="003A0B0A">
        <w:rPr>
          <w:sz w:val="22"/>
          <w:szCs w:val="22"/>
          <w:lang w:val="en-US"/>
        </w:rPr>
        <w:t>.</w:t>
      </w:r>
    </w:p>
    <w:p w14:paraId="5A9F3AB1" w14:textId="0E976A85" w:rsidR="00EC67F8" w:rsidRDefault="00C7609C" w:rsidP="003A0B0A">
      <w:pPr>
        <w:pStyle w:val="BodyText0"/>
        <w:jc w:val="center"/>
      </w:pPr>
      <w:r>
        <w:rPr>
          <w:noProof/>
        </w:rPr>
        <w:drawing>
          <wp:inline distT="0" distB="0" distL="0" distR="0" wp14:anchorId="7AE7BBDA" wp14:editId="08DD88C4">
            <wp:extent cx="4521200" cy="2366507"/>
            <wp:effectExtent l="19050" t="19050" r="12700" b="15240"/>
            <wp:docPr id="15509620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962091" name="Picture 15509620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22301" cy="2367083"/>
                    </a:xfrm>
                    <a:prstGeom prst="rect">
                      <a:avLst/>
                    </a:prstGeom>
                    <a:ln w="3175">
                      <a:solidFill>
                        <a:schemeClr val="tx1"/>
                      </a:solidFill>
                    </a:ln>
                  </pic:spPr>
                </pic:pic>
              </a:graphicData>
            </a:graphic>
          </wp:inline>
        </w:drawing>
      </w:r>
    </w:p>
    <w:p w14:paraId="299B9103" w14:textId="12BABC6D" w:rsidR="00EC67F8" w:rsidRPr="003672D1" w:rsidRDefault="00EC67F8" w:rsidP="00080F80">
      <w:pPr>
        <w:spacing w:after="160"/>
        <w:jc w:val="both"/>
        <w:rPr>
          <w:sz w:val="22"/>
          <w:szCs w:val="22"/>
        </w:rPr>
      </w:pPr>
      <w:r w:rsidRPr="003672D1">
        <w:rPr>
          <w:sz w:val="22"/>
          <w:szCs w:val="22"/>
        </w:rPr>
        <w:t xml:space="preserve">Figure </w:t>
      </w:r>
      <w:r w:rsidR="0008570F">
        <w:rPr>
          <w:sz w:val="22"/>
          <w:szCs w:val="22"/>
        </w:rPr>
        <w:t>2</w:t>
      </w:r>
      <w:r w:rsidR="003672D1">
        <w:rPr>
          <w:sz w:val="22"/>
          <w:szCs w:val="22"/>
        </w:rPr>
        <w:t>:</w:t>
      </w:r>
      <w:r w:rsidRPr="003672D1">
        <w:rPr>
          <w:sz w:val="22"/>
          <w:szCs w:val="22"/>
        </w:rPr>
        <w:t xml:space="preserve"> Sparse spatiotemporal sensor</w:t>
      </w:r>
      <w:r w:rsidR="00735FC1" w:rsidRPr="00735FC1">
        <w:t xml:space="preserve"> </w:t>
      </w:r>
      <w:r w:rsidR="00735FC1" w:rsidRPr="00735FC1">
        <w:rPr>
          <w:sz w:val="22"/>
          <w:szCs w:val="22"/>
        </w:rPr>
        <w:t>and Collocation Sampling in the Consolidation Domain.</w:t>
      </w:r>
    </w:p>
    <w:p w14:paraId="5016EB78" w14:textId="4AFEC3B0" w:rsidR="001509C2" w:rsidRPr="00FB4999" w:rsidRDefault="00EC67F8" w:rsidP="00FB4999">
      <w:pPr>
        <w:pStyle w:val="1stsub-heading"/>
      </w:pPr>
      <w:r w:rsidRPr="00FB4999">
        <w:t>Uncertainty-aware PINN architecture</w:t>
      </w:r>
    </w:p>
    <w:p w14:paraId="14531688" w14:textId="469BD641" w:rsidR="00043AF4" w:rsidRPr="00E42955" w:rsidRDefault="00F744AE" w:rsidP="00170389">
      <w:pPr>
        <w:pStyle w:val="BodyText0"/>
      </w:pPr>
      <w:r w:rsidRPr="00F744AE">
        <w:t xml:space="preserve">In this case, the inverse model is implemented in PyTorch in </w:t>
      </w:r>
      <w:r w:rsidR="001E5253">
        <w:t xml:space="preserve">the </w:t>
      </w:r>
      <w:r w:rsidRPr="00F744AE">
        <w:t>form of a fully connected multilayer perceptron with five hidden layers (50 neurons each) and hyperbolic tangent activations</w:t>
      </w:r>
      <w:r w:rsidR="00FB4999">
        <w:t>,</w:t>
      </w:r>
      <w:r w:rsidRPr="00F744AE">
        <w:t xml:space="preserve"> along with dropout (p = 0.1</w:t>
      </w:r>
      <w:r w:rsidR="004B1EAA">
        <w:t xml:space="preserve">) </w:t>
      </w:r>
      <w:r w:rsidR="004B1EAA">
        <w:fldChar w:fldCharType="begin"/>
      </w:r>
      <w:r w:rsidR="004B1EAA">
        <w:instrText xml:space="preserve"> ADDIN ZOTERO_ITEM CSL_CITATION {"citationID":"Q905bffc","properties":{"unsorted":false,"formattedCitation":"(Wu et al., 2023)","plainCitation":"(Wu et al., 2023)","noteIndex":0},"citationItems":[{"id":43,"uris":["http://zotero.org/users/19870308/items/DRJSYGRG"],"itemData":{"id":43,"type":"article-journal","abstract":"Material identification is critical for understanding the relationship between mechanical properties and the associated mechanical functions. However, material identification is a challenging task, especially when the characteristic of the material is highly nonlinear in nature, as is common in biological tissue. In this work, we identify unknown material properties in continuum solid mechanics via physics-informed neural networks (PINNs). To improve the accuracy and efficiency of PINNs, we develop efficient strategies to nonuniformly sample observational data. We also investigate different approaches to enforce Dirichlet-type boundary conditions (BCs) as soft or hard constraints. Finally, we apply the proposed methods to a diverse set of time-dependent and time-independent solid mechanic examples that span linear elastic and hyperelastic material space. The estimated material parameters achieve relative errors of less than 1%. As such, this work is relevant to diverse applications, including optimizing structural integrity and developing novel materials.","container-title":"Applied Mathematics and Mechanics","DOI":"10.1007/s10483-023-2995-8","ISSN":"0253-4827, 1573-2754","issue":"7","page":"1039-1068","PMID":"37501681","publisher":"Springer Science+Business Media","title":"Effective data sampling strategies and boundary condition constraints of physics-informed neural networks for identifying material properties in solid mechanics","volume":"44","author":[{"family":"Wu","given":"Wenzhao"},{"family":"Daneker","given":"Mitchell"},{"family":"Jolley","given":"Matthew A."},{"family":"Turner","given":"Kevin T."},{"family":"Lu","given":"Lu"}],"issued":{"date-parts":[["2023",7]]}}}],"schema":"https://github.com/citation-style-language/schema/raw/master/csl-citation.json"} </w:instrText>
      </w:r>
      <w:r w:rsidR="004B1EAA">
        <w:fldChar w:fldCharType="separate"/>
      </w:r>
      <w:r w:rsidR="004B1EAA" w:rsidRPr="004B1EAA">
        <w:t>(Wu et al., 2023)</w:t>
      </w:r>
      <w:r w:rsidR="004B1EAA">
        <w:fldChar w:fldCharType="end"/>
      </w:r>
      <w:r w:rsidRPr="00F744AE">
        <w:t>. The inputs</w:t>
      </w:r>
      <w:r w:rsidR="00FB4999">
        <w:t xml:space="preserve"> (z,t)</w:t>
      </w:r>
      <m:oMath>
        <m:r>
          <w:rPr>
            <w:rFonts w:ascii="Cambria Math" w:hAnsi="Cambria Math"/>
            <w:lang w:val="en-US"/>
          </w:rPr>
          <m:t xml:space="preserve"> </m:t>
        </m:r>
      </m:oMath>
      <w:r w:rsidRPr="00F744AE">
        <w:t xml:space="preserve">are scaled to the range of </w:t>
      </w:r>
      <m:oMath>
        <m:d>
          <m:dPr>
            <m:begChr m:val="["/>
            <m:endChr m:val="]"/>
            <m:ctrlPr>
              <w:rPr>
                <w:rFonts w:ascii="Cambria Math" w:hAnsi="Cambria Math"/>
                <w:lang w:val="en-US"/>
              </w:rPr>
            </m:ctrlPr>
          </m:dPr>
          <m:e>
            <m:r>
              <w:rPr>
                <w:rFonts w:ascii="Cambria Math" w:hAnsi="Cambria Math"/>
                <w:lang w:val="en-US"/>
              </w:rPr>
              <m:t>-1,1</m:t>
            </m:r>
          </m:e>
        </m:d>
      </m:oMath>
      <w:r w:rsidRPr="00F744AE">
        <w:t xml:space="preserve">, and </w:t>
      </w:r>
      <m:oMath>
        <m:r>
          <w:rPr>
            <w:rFonts w:ascii="Cambria Math" w:hAnsi="Cambria Math"/>
            <w:lang w:val="en-US"/>
          </w:rPr>
          <m:t>u(z,t)</m:t>
        </m:r>
      </m:oMath>
      <w:r>
        <w:rPr>
          <w:lang w:val="en-US"/>
        </w:rPr>
        <w:t xml:space="preserve"> </w:t>
      </w:r>
      <w:r w:rsidRPr="00F744AE">
        <w:t>is excess pore pressure. Then, the coefficient of consolidation is trained as a positive</w:t>
      </w:r>
      <w:r w:rsidR="00FB4999">
        <w:t>, regularised parameter (initial value set to 0.5), so that both the state field and the physics laws are learned simultaneously</w:t>
      </w:r>
      <w:r w:rsidRPr="00F744AE">
        <w:t xml:space="preserve"> from incomplete data. Monte Carlo dropout is also applied during inference</w:t>
      </w:r>
      <w:r w:rsidR="00FB4999">
        <w:t>,</w:t>
      </w:r>
      <w:r w:rsidRPr="00F744AE">
        <w:t xml:space="preserve"> performing 1,000 stochastic forward passes to build an empirical predictive distribution</w:t>
      </w:r>
      <w:r w:rsidR="004B1EAA">
        <w:t xml:space="preserve"> </w:t>
      </w:r>
      <w:r w:rsidR="004B1EAA">
        <w:fldChar w:fldCharType="begin"/>
      </w:r>
      <w:r w:rsidR="004B1EAA">
        <w:instrText xml:space="preserve"> ADDIN ZOTERO_ITEM CSL_CITATION {"citationID":"NzfXwcsZ","properties":{"unsorted":false,"formattedCitation":"(Zhu et al., 2019)","plainCitation":"(Zhu et al., 2019)","noteIndex":0},"citationItems":[{"id":44,"uris":["http://zotero.org/users/19870308/items/XA79JA9G"],"itemData":{"id":44,"type":"article-journal","container-title":"Journal of Computational Physics","DOI":"10.1016/j.jcp.2019.05.024","ISSN":"0021-9991, 1090-2716","page":"56-81","publisher":"Elsevier BV","title":"Physics-constrained deep learning for high-dimensional surrogate modeling and uncertainty quantification without labeled data","volume":"394","author":[{"family":"Zhu","given":"Yinhao"},{"family":"Zabaras","given":"Nicholas"},{"family":"Koutsourelakis","given":"Phaedon-Stelios"},{"family":"Perdikaris","given":"Paris"}],"issued":{"date-parts":[["2019",5]]}}}],"schema":"https://github.com/citation-style-language/schema/raw/master/csl-citation.json"} </w:instrText>
      </w:r>
      <w:r w:rsidR="004B1EAA">
        <w:fldChar w:fldCharType="separate"/>
      </w:r>
      <w:r w:rsidR="004B1EAA" w:rsidRPr="004B1EAA">
        <w:t>(Zhu et al., 2019)</w:t>
      </w:r>
      <w:r w:rsidR="004B1EAA">
        <w:fldChar w:fldCharType="end"/>
      </w:r>
      <w:r w:rsidRPr="00F744AE">
        <w:t xml:space="preserve">. The mean gives the final estimate and standard deviation </w:t>
      </w: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σ</m:t>
                </m:r>
              </m:e>
              <m:sub>
                <m:r>
                  <w:rPr>
                    <w:rFonts w:ascii="Cambria Math" w:hAnsi="Cambria Math"/>
                    <w:lang w:val="en-US"/>
                  </w:rPr>
                  <m:t>u</m:t>
                </m:r>
              </m:sub>
            </m:sSub>
          </m:e>
        </m:d>
      </m:oMath>
      <w:r w:rsidRPr="00F744AE">
        <w:t xml:space="preserve"> defines approximate 95% confidence bounds. This turns a deterministic PINN into a stochastic inference framework that can </w:t>
      </w:r>
      <w:r w:rsidR="00FB4999">
        <w:t xml:space="preserve">identify both regions with strong constraints and those </w:t>
      </w:r>
      <w:r w:rsidRPr="00F744AE">
        <w:t>where caution is warranted.</w:t>
      </w:r>
    </w:p>
    <w:p w14:paraId="1AD7AD66" w14:textId="77777777" w:rsidR="00EC67F8" w:rsidRPr="00EC67F8" w:rsidRDefault="00000000" w:rsidP="00170389">
      <w:pPr>
        <w:pStyle w:val="BodyText0"/>
      </w:pPr>
      <m:oMath>
        <m:acc>
          <m:accPr>
            <m:ctrlPr>
              <w:rPr>
                <w:rFonts w:ascii="Cambria Math" w:hAnsi="Cambria Math"/>
                <w:sz w:val="24"/>
              </w:rPr>
            </m:ctrlPr>
          </m:accPr>
          <m:e>
            <m:r>
              <w:rPr>
                <w:rFonts w:ascii="Cambria Math" w:hAnsi="Cambria Math"/>
                <w:sz w:val="24"/>
              </w:rPr>
              <m:t>u</m:t>
            </m:r>
          </m:e>
        </m:acc>
        <m:d>
          <m:dPr>
            <m:ctrlPr>
              <w:rPr>
                <w:rFonts w:ascii="Cambria Math" w:hAnsi="Cambria Math"/>
                <w:sz w:val="24"/>
              </w:rPr>
            </m:ctrlPr>
          </m:dPr>
          <m:e>
            <m:r>
              <w:rPr>
                <w:rFonts w:ascii="Cambria Math" w:hAnsi="Cambria Math"/>
                <w:sz w:val="24"/>
              </w:rPr>
              <m:t>z</m:t>
            </m:r>
            <m:r>
              <m:rPr>
                <m:sty m:val="p"/>
              </m:rPr>
              <w:rPr>
                <w:rFonts w:ascii="Cambria Math" w:hAnsi="Cambria Math"/>
                <w:sz w:val="24"/>
              </w:rPr>
              <m:t>,</m:t>
            </m:r>
            <m:r>
              <w:rPr>
                <w:rFonts w:ascii="Cambria Math" w:hAnsi="Cambria Math"/>
                <w:sz w:val="24"/>
              </w:rPr>
              <m:t>t</m:t>
            </m:r>
          </m:e>
        </m:d>
        <m:r>
          <m:rPr>
            <m:sty m:val="p"/>
          </m:rPr>
          <w:rPr>
            <w:rFonts w:ascii="Cambria Math" w:hAnsi="Cambria Math"/>
            <w:sz w:val="24"/>
          </w:rPr>
          <m:t>±1.96</m:t>
        </m:r>
        <m:sSub>
          <m:sSubPr>
            <m:ctrlPr>
              <w:rPr>
                <w:rFonts w:ascii="Cambria Math" w:hAnsi="Cambria Math"/>
                <w:sz w:val="24"/>
              </w:rPr>
            </m:ctrlPr>
          </m:sSubPr>
          <m:e>
            <m:r>
              <w:rPr>
                <w:rFonts w:ascii="Cambria Math" w:hAnsi="Cambria Math"/>
                <w:sz w:val="24"/>
              </w:rPr>
              <m:t>σ</m:t>
            </m:r>
          </m:e>
          <m:sub>
            <m:r>
              <w:rPr>
                <w:rFonts w:ascii="Cambria Math" w:hAnsi="Cambria Math"/>
                <w:sz w:val="24"/>
              </w:rPr>
              <m:t>u</m:t>
            </m:r>
          </m:sub>
        </m:sSub>
        <m:d>
          <m:dPr>
            <m:ctrlPr>
              <w:rPr>
                <w:rFonts w:ascii="Cambria Math" w:hAnsi="Cambria Math"/>
                <w:sz w:val="24"/>
              </w:rPr>
            </m:ctrlPr>
          </m:dPr>
          <m:e>
            <m:r>
              <w:rPr>
                <w:rFonts w:ascii="Cambria Math" w:hAnsi="Cambria Math"/>
                <w:sz w:val="24"/>
              </w:rPr>
              <m:t>z</m:t>
            </m:r>
            <m:r>
              <m:rPr>
                <m:sty m:val="p"/>
              </m:rPr>
              <w:rPr>
                <w:rFonts w:ascii="Cambria Math" w:hAnsi="Cambria Math"/>
                <w:sz w:val="24"/>
              </w:rPr>
              <m:t>,</m:t>
            </m:r>
            <m:r>
              <w:rPr>
                <w:rFonts w:ascii="Cambria Math" w:hAnsi="Cambria Math"/>
                <w:sz w:val="24"/>
              </w:rPr>
              <m:t>t</m:t>
            </m:r>
          </m:e>
        </m:d>
      </m:oMath>
      <w:r w:rsidR="00EC67F8" w:rsidRPr="00EC67F8">
        <w:t xml:space="preserve">                                                                                                                </w:t>
      </w:r>
      <w:r w:rsidR="00EC67F8">
        <w:t xml:space="preserve">    </w:t>
      </w:r>
      <w:r w:rsidR="00EC67F8" w:rsidRPr="00EC67F8">
        <w:t xml:space="preserve">    (3)                                                                                                                     </w:t>
      </w:r>
    </w:p>
    <w:p w14:paraId="12C08623" w14:textId="435756E7" w:rsidR="005E1C1A" w:rsidRPr="003A0B0A" w:rsidRDefault="005E1C1A" w:rsidP="00870F3D">
      <w:pPr>
        <w:pStyle w:val="Style3rdSub-headingArial"/>
        <w:numPr>
          <w:ilvl w:val="0"/>
          <w:numId w:val="0"/>
        </w:numPr>
        <w:rPr>
          <w:rFonts w:ascii="Times New Roman" w:hAnsi="Times New Roman"/>
          <w:i w:val="0"/>
        </w:rPr>
      </w:pPr>
      <w:r w:rsidRPr="003A0B0A">
        <w:rPr>
          <w:rFonts w:ascii="Times New Roman" w:hAnsi="Times New Roman"/>
          <w:i w:val="0"/>
        </w:rPr>
        <w:t>2.</w:t>
      </w:r>
      <w:r w:rsidR="003A0B0A">
        <w:rPr>
          <w:rFonts w:ascii="Times New Roman" w:hAnsi="Times New Roman"/>
          <w:i w:val="0"/>
        </w:rPr>
        <w:t xml:space="preserve">4 </w:t>
      </w:r>
      <w:r w:rsidRPr="003A0B0A">
        <w:rPr>
          <w:rFonts w:ascii="Times New Roman" w:hAnsi="Times New Roman"/>
          <w:i w:val="0"/>
        </w:rPr>
        <w:t xml:space="preserve">Inverse physics-informed loss and </w:t>
      </w:r>
      <w:r w:rsidR="00F4572E" w:rsidRPr="003A0B0A">
        <w:rPr>
          <w:rFonts w:ascii="Times New Roman" w:hAnsi="Times New Roman"/>
          <w:i w:val="0"/>
        </w:rPr>
        <w:t>optimisation</w:t>
      </w:r>
    </w:p>
    <w:p w14:paraId="71E56AA9" w14:textId="0E7DF64C" w:rsidR="003672D1" w:rsidRPr="003672D1" w:rsidRDefault="003672D1" w:rsidP="003672D1">
      <w:pPr>
        <w:spacing w:after="80"/>
        <w:jc w:val="both"/>
        <w:rPr>
          <w:sz w:val="22"/>
          <w:szCs w:val="22"/>
        </w:rPr>
      </w:pPr>
      <w:r w:rsidRPr="003672D1">
        <w:rPr>
          <w:sz w:val="22"/>
          <w:szCs w:val="22"/>
        </w:rPr>
        <w:t xml:space="preserve">The network was trained by </w:t>
      </w:r>
      <w:r w:rsidR="00F4572E">
        <w:rPr>
          <w:sz w:val="22"/>
          <w:szCs w:val="22"/>
        </w:rPr>
        <w:t>minimising</w:t>
      </w:r>
      <w:r w:rsidRPr="003672D1">
        <w:rPr>
          <w:sz w:val="22"/>
          <w:szCs w:val="22"/>
        </w:rPr>
        <w:t xml:space="preserve"> a composite objective made of a data-misfit term and a physics-residual term:</w:t>
      </w:r>
    </w:p>
    <w:p w14:paraId="0BDDD3A9" w14:textId="701E786B" w:rsidR="003672D1" w:rsidRPr="003672D1" w:rsidRDefault="00D10E51" w:rsidP="003672D1">
      <w:pPr>
        <w:spacing w:after="80"/>
        <w:jc w:val="both"/>
        <w:rPr>
          <w:sz w:val="22"/>
          <w:szCs w:val="22"/>
        </w:rPr>
      </w:pPr>
      <m:oMath>
        <m:r>
          <w:rPr>
            <w:rFonts w:ascii="Cambria Math" w:eastAsia="Cambria Math" w:hAnsi="Cambria Math"/>
            <w:sz w:val="24"/>
          </w:rPr>
          <m:t>L=</m:t>
        </m:r>
        <m:sSub>
          <m:sSubPr>
            <m:ctrlPr>
              <w:rPr>
                <w:rFonts w:ascii="Cambria Math" w:eastAsia="Cambria Math" w:hAnsi="Cambria Math"/>
                <w:i/>
                <w:sz w:val="24"/>
              </w:rPr>
            </m:ctrlPr>
          </m:sSubPr>
          <m:e>
            <m:r>
              <w:rPr>
                <w:rFonts w:ascii="Cambria Math" w:eastAsia="Cambria Math" w:hAnsi="Cambria Math"/>
                <w:sz w:val="24"/>
              </w:rPr>
              <m:t>L</m:t>
            </m:r>
          </m:e>
          <m:sub>
            <m:r>
              <w:rPr>
                <w:rFonts w:ascii="Cambria Math" w:eastAsia="Cambria Math" w:hAnsi="Cambria Math"/>
                <w:sz w:val="24"/>
              </w:rPr>
              <m:t>data</m:t>
            </m:r>
          </m:sub>
        </m:sSub>
        <m:r>
          <w:rPr>
            <w:rFonts w:ascii="Cambria Math" w:eastAsia="Cambria Math" w:hAnsi="Cambria Math"/>
            <w:sz w:val="24"/>
          </w:rPr>
          <m:t>+</m:t>
        </m:r>
        <m:sSub>
          <m:sSubPr>
            <m:ctrlPr>
              <w:rPr>
                <w:rFonts w:ascii="Cambria Math" w:eastAsia="Cambria Math" w:hAnsi="Cambria Math"/>
                <w:i/>
                <w:sz w:val="24"/>
              </w:rPr>
            </m:ctrlPr>
          </m:sSubPr>
          <m:e>
            <m:r>
              <w:rPr>
                <w:rFonts w:ascii="Cambria Math" w:eastAsia="Cambria Math" w:hAnsi="Cambria Math"/>
                <w:sz w:val="24"/>
              </w:rPr>
              <m:t>L</m:t>
            </m:r>
          </m:e>
          <m:sub>
            <m:r>
              <w:rPr>
                <w:rFonts w:ascii="Cambria Math" w:eastAsia="Cambria Math" w:hAnsi="Cambria Math"/>
                <w:sz w:val="24"/>
              </w:rPr>
              <m:t>phys</m:t>
            </m:r>
          </m:sub>
        </m:sSub>
      </m:oMath>
      <w:r w:rsidR="003672D1" w:rsidRPr="003672D1">
        <w:rPr>
          <w:i/>
          <w:sz w:val="22"/>
          <w:szCs w:val="22"/>
        </w:rPr>
        <w:t xml:space="preserve">           </w:t>
      </w:r>
      <w:r w:rsidR="003672D1" w:rsidRPr="003672D1">
        <w:rPr>
          <w:sz w:val="22"/>
          <w:szCs w:val="22"/>
        </w:rPr>
        <w:t xml:space="preserve">                                   </w:t>
      </w:r>
      <w:r w:rsidR="003672D1">
        <w:rPr>
          <w:sz w:val="22"/>
          <w:szCs w:val="22"/>
        </w:rPr>
        <w:t xml:space="preserve">    </w:t>
      </w:r>
      <w:r w:rsidR="003672D1" w:rsidRPr="003672D1">
        <w:rPr>
          <w:sz w:val="22"/>
          <w:szCs w:val="22"/>
        </w:rPr>
        <w:t xml:space="preserve">                                                                            (4)</w:t>
      </w:r>
    </w:p>
    <w:p w14:paraId="1DC60D5A" w14:textId="5BFE89EB" w:rsidR="003672D1" w:rsidRPr="003672D1" w:rsidRDefault="003672D1" w:rsidP="003672D1">
      <w:pPr>
        <w:spacing w:after="80"/>
        <w:jc w:val="both"/>
        <w:rPr>
          <w:sz w:val="22"/>
          <w:szCs w:val="22"/>
        </w:rPr>
      </w:pPr>
      <w:r w:rsidRPr="003672D1">
        <w:rPr>
          <w:sz w:val="22"/>
          <w:szCs w:val="22"/>
        </w:rPr>
        <w:t>The data component was the mean squared error between predictions and the 50 noisy sensor values:</w:t>
      </w:r>
    </w:p>
    <w:p w14:paraId="258783DA" w14:textId="4EFDEFAF" w:rsidR="003672D1" w:rsidRPr="003672D1" w:rsidRDefault="00000000" w:rsidP="00D05C82">
      <w:pPr>
        <w:spacing w:after="80"/>
        <w:jc w:val="both"/>
        <w:rPr>
          <w:sz w:val="22"/>
          <w:szCs w:val="22"/>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data</m:t>
            </m:r>
          </m:sub>
        </m:sSub>
        <m:r>
          <w:rPr>
            <w:rFonts w:ascii="Cambria Math" w:hAnsi="Cambria Math"/>
            <w:sz w:val="24"/>
          </w:rPr>
          <m:t>=</m:t>
        </m:r>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s</m:t>
                    </m:r>
                  </m:sub>
                </m:sSub>
                <m:ctrlPr>
                  <w:rPr>
                    <w:rFonts w:ascii="Cambria Math" w:hAnsi="Cambria Math"/>
                    <w:i/>
                    <w:sz w:val="24"/>
                  </w:rPr>
                </m:ctrlPr>
              </m:den>
            </m:f>
            <m:ctrlPr>
              <w:rPr>
                <w:rFonts w:ascii="Cambria Math" w:hAnsi="Cambria Math"/>
                <w:i/>
                <w:sz w:val="24"/>
              </w:rPr>
            </m:ctrlPr>
          </m:e>
        </m:d>
        <m:nary>
          <m:naryPr>
            <m:chr m:val="∑"/>
            <m:ctrlPr>
              <w:rPr>
                <w:rFonts w:ascii="Cambria Math" w:hAnsi="Cambria Math"/>
                <w:sz w:val="24"/>
              </w:rPr>
            </m:ctrlPr>
          </m:naryPr>
          <m:sub>
            <m:r>
              <w:rPr>
                <w:rFonts w:ascii="Cambria Math" w:hAnsi="Cambria Math"/>
                <w:sz w:val="24"/>
              </w:rPr>
              <m:t>i=1</m:t>
            </m:r>
            <m:ctrlPr>
              <w:rPr>
                <w:rFonts w:ascii="Cambria Math" w:hAnsi="Cambria Math"/>
                <w:i/>
                <w:sz w:val="24"/>
              </w:rPr>
            </m:ctrlP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s</m:t>
                </m:r>
              </m:sub>
            </m:sSub>
            <m:ctrlPr>
              <w:rPr>
                <w:rFonts w:ascii="Cambria Math" w:hAnsi="Cambria Math"/>
                <w:i/>
                <w:sz w:val="24"/>
              </w:rPr>
            </m:ctrlPr>
          </m:sup>
          <m:e>
            <m:sSup>
              <m:sSupPr>
                <m:ctrlPr>
                  <w:rPr>
                    <w:rFonts w:ascii="Cambria Math" w:hAnsi="Cambria Math"/>
                    <w:i/>
                    <w:sz w:val="24"/>
                  </w:rPr>
                </m:ctrlPr>
              </m:sSupPr>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r>
                      <w:rPr>
                        <w:rFonts w:ascii="Cambria Math" w:hAnsi="Cambria Math"/>
                        <w:sz w:val="24"/>
                      </w:rPr>
                      <m:t>-</m:t>
                    </m:r>
                    <m:acc>
                      <m:accPr>
                        <m:ctrlPr>
                          <w:rPr>
                            <w:rFonts w:ascii="Cambria Math" w:hAnsi="Cambria Math"/>
                            <w:sz w:val="24"/>
                          </w:rPr>
                        </m:ctrlPr>
                      </m:accPr>
                      <m:e>
                        <m:sSub>
                          <m:sSubPr>
                            <m:ctrlPr>
                              <w:rPr>
                                <w:rFonts w:ascii="Cambria Math" w:hAnsi="Cambria Math"/>
                                <w:i/>
                                <w:sz w:val="24"/>
                              </w:rPr>
                            </m:ctrlPr>
                          </m:sSubPr>
                          <m:e>
                            <m:r>
                              <w:rPr>
                                <w:rFonts w:ascii="Cambria Math" w:hAnsi="Cambria Math"/>
                                <w:sz w:val="24"/>
                              </w:rPr>
                              <m:t>u</m:t>
                            </m:r>
                          </m:e>
                          <m:sub>
                            <m:r>
                              <w:rPr>
                                <w:rFonts w:ascii="Cambria Math" w:hAnsi="Cambria Math"/>
                                <w:sz w:val="24"/>
                              </w:rPr>
                              <m:t>i</m:t>
                            </m:r>
                          </m:sub>
                        </m:sSub>
                      </m:e>
                    </m:acc>
                  </m:e>
                </m:d>
                <m:ctrlPr>
                  <w:rPr>
                    <w:rFonts w:ascii="Cambria Math" w:hAnsi="Cambria Math"/>
                    <w:sz w:val="24"/>
                  </w:rPr>
                </m:ctrlPr>
              </m:e>
              <m:sup>
                <m:r>
                  <w:rPr>
                    <w:rFonts w:ascii="Cambria Math" w:hAnsi="Cambria Math"/>
                    <w:sz w:val="24"/>
                  </w:rPr>
                  <m:t>2</m:t>
                </m:r>
              </m:sup>
            </m:sSup>
          </m:e>
        </m:nary>
      </m:oMath>
      <w:r w:rsidR="003672D1" w:rsidRPr="003672D1">
        <w:rPr>
          <w:sz w:val="22"/>
          <w:szCs w:val="22"/>
        </w:rPr>
        <w:t xml:space="preserve">                                </w:t>
      </w:r>
      <w:r w:rsidR="003672D1">
        <w:rPr>
          <w:sz w:val="22"/>
          <w:szCs w:val="22"/>
        </w:rPr>
        <w:t xml:space="preserve">    </w:t>
      </w:r>
      <w:r w:rsidR="003672D1" w:rsidRPr="003672D1">
        <w:rPr>
          <w:sz w:val="22"/>
          <w:szCs w:val="22"/>
        </w:rPr>
        <w:t xml:space="preserve">                                                                        (5)</w:t>
      </w:r>
    </w:p>
    <w:p w14:paraId="792DDC92" w14:textId="7EE0FB51" w:rsidR="003672D1" w:rsidRPr="003672D1" w:rsidRDefault="003672D1" w:rsidP="00D05C82">
      <w:pPr>
        <w:spacing w:after="40"/>
        <w:rPr>
          <w:sz w:val="22"/>
          <w:szCs w:val="22"/>
        </w:rPr>
      </w:pPr>
      <w:r w:rsidRPr="003672D1">
        <w:rPr>
          <w:sz w:val="22"/>
          <w:szCs w:val="22"/>
        </w:rPr>
        <w:t>The physics term enforced consistency with the governing PDE through the residual</w:t>
      </w:r>
    </w:p>
    <w:p w14:paraId="4A02A4EC" w14:textId="18163E1A" w:rsidR="003672D1" w:rsidRPr="003672D1" w:rsidRDefault="00D10E51" w:rsidP="00D05C82">
      <w:pPr>
        <w:spacing w:after="80"/>
        <w:jc w:val="both"/>
        <w:rPr>
          <w:sz w:val="22"/>
          <w:szCs w:val="22"/>
        </w:rPr>
      </w:pPr>
      <m:oMath>
        <m:r>
          <w:rPr>
            <w:rFonts w:ascii="Cambria Math" w:hAnsi="Cambria Math"/>
            <w:sz w:val="24"/>
          </w:rPr>
          <m:t>r</m:t>
        </m:r>
        <m:d>
          <m:dPr>
            <m:ctrlPr>
              <w:rPr>
                <w:rFonts w:ascii="Cambria Math" w:hAnsi="Cambria Math"/>
                <w:sz w:val="24"/>
              </w:rPr>
            </m:ctrlPr>
          </m:dPr>
          <m:e>
            <m:r>
              <w:rPr>
                <w:rFonts w:ascii="Cambria Math" w:hAnsi="Cambria Math"/>
                <w:sz w:val="24"/>
              </w:rPr>
              <m:t>z,t</m:t>
            </m:r>
            <m:ctrlPr>
              <w:rPr>
                <w:rFonts w:ascii="Cambria Math" w:hAnsi="Cambria Math"/>
                <w:i/>
                <w:sz w:val="24"/>
              </w:rPr>
            </m:ctrlPr>
          </m:e>
        </m:d>
        <m:r>
          <w:rPr>
            <w:rFonts w:ascii="Cambria Math" w:hAnsi="Cambria Math"/>
            <w:sz w:val="24"/>
          </w:rPr>
          <m:t>=</m:t>
        </m:r>
        <m:f>
          <m:fPr>
            <m:ctrlPr>
              <w:rPr>
                <w:rFonts w:ascii="Cambria Math" w:hAnsi="Cambria Math"/>
                <w:sz w:val="24"/>
              </w:rPr>
            </m:ctrlPr>
          </m:fPr>
          <m:num>
            <m:r>
              <m:rPr>
                <m:sty m:val="p"/>
              </m:rPr>
              <w:rPr>
                <w:rFonts w:ascii="Cambria Math" w:hAnsi="Cambria Math"/>
                <w:sz w:val="24"/>
              </w:rPr>
              <m:t>∂</m:t>
            </m:r>
            <m:r>
              <w:rPr>
                <w:rFonts w:ascii="Cambria Math" w:hAnsi="Cambria Math"/>
                <w:sz w:val="24"/>
              </w:rPr>
              <m:t>u</m:t>
            </m:r>
            <m:ctrlPr>
              <w:rPr>
                <w:rFonts w:ascii="Cambria Math" w:hAnsi="Cambria Math"/>
                <w:i/>
                <w:sz w:val="24"/>
              </w:rPr>
            </m:ctrlPr>
          </m:num>
          <m:den>
            <m:r>
              <m:rPr>
                <m:sty m:val="p"/>
              </m:rPr>
              <w:rPr>
                <w:rFonts w:ascii="Cambria Math" w:hAnsi="Cambria Math"/>
                <w:sz w:val="24"/>
              </w:rPr>
              <m:t>∂</m:t>
            </m:r>
            <m:r>
              <w:rPr>
                <w:rFonts w:ascii="Cambria Math" w:hAnsi="Cambria Math"/>
                <w:sz w:val="24"/>
              </w:rPr>
              <m:t>t</m:t>
            </m:r>
            <m:ctrlPr>
              <w:rPr>
                <w:rFonts w:ascii="Cambria Math" w:hAnsi="Cambria Math"/>
                <w:i/>
                <w:sz w:val="24"/>
              </w:rPr>
            </m:ctrlPr>
          </m:den>
        </m:f>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v</m:t>
            </m:r>
          </m:sub>
        </m:sSub>
        <m:f>
          <m:fPr>
            <m:ctrlPr>
              <w:rPr>
                <w:rFonts w:ascii="Cambria Math" w:hAnsi="Cambria Math"/>
                <w:sz w:val="24"/>
              </w:rPr>
            </m:ctrlPr>
          </m:fPr>
          <m:num>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u</m:t>
                </m:r>
              </m:e>
              <m:sup>
                <m:r>
                  <w:rPr>
                    <w:rFonts w:ascii="Cambria Math" w:hAnsi="Cambria Math"/>
                    <w:sz w:val="24"/>
                  </w:rPr>
                  <m:t>2</m:t>
                </m:r>
              </m:sup>
            </m:sSup>
            <m:ctrlPr>
              <w:rPr>
                <w:rFonts w:ascii="Cambria Math" w:hAnsi="Cambria Math"/>
                <w:i/>
                <w:sz w:val="24"/>
              </w:rPr>
            </m:ctrlPr>
          </m:num>
          <m:den>
            <m:r>
              <m:rPr>
                <m:sty m:val="p"/>
              </m:rPr>
              <w:rPr>
                <w:rFonts w:ascii="Cambria Math" w:hAnsi="Cambria Math"/>
                <w:sz w:val="24"/>
              </w:rPr>
              <m:t>∂</m:t>
            </m:r>
            <m:sSup>
              <m:sSupPr>
                <m:ctrlPr>
                  <w:rPr>
                    <w:rFonts w:ascii="Cambria Math" w:hAnsi="Cambria Math"/>
                    <w:i/>
                    <w:sz w:val="24"/>
                  </w:rPr>
                </m:ctrlPr>
              </m:sSupPr>
              <m:e>
                <m:r>
                  <w:rPr>
                    <w:rFonts w:ascii="Cambria Math" w:hAnsi="Cambria Math"/>
                    <w:sz w:val="24"/>
                  </w:rPr>
                  <m:t>z</m:t>
                </m:r>
              </m:e>
              <m:sup>
                <m:r>
                  <w:rPr>
                    <w:rFonts w:ascii="Cambria Math" w:hAnsi="Cambria Math"/>
                    <w:sz w:val="24"/>
                  </w:rPr>
                  <m:t>2</m:t>
                </m:r>
              </m:sup>
            </m:sSup>
            <m:ctrlPr>
              <w:rPr>
                <w:rFonts w:ascii="Cambria Math" w:hAnsi="Cambria Math"/>
                <w:i/>
                <w:sz w:val="24"/>
              </w:rPr>
            </m:ctrlPr>
          </m:den>
        </m:f>
      </m:oMath>
      <w:r w:rsidR="003672D1" w:rsidRPr="003672D1">
        <w:rPr>
          <w:sz w:val="22"/>
          <w:szCs w:val="22"/>
        </w:rPr>
        <w:t xml:space="preserve">                                                  </w:t>
      </w:r>
      <w:r w:rsidR="003672D1">
        <w:rPr>
          <w:sz w:val="22"/>
          <w:szCs w:val="22"/>
        </w:rPr>
        <w:t xml:space="preserve">     </w:t>
      </w:r>
      <w:r w:rsidR="003672D1" w:rsidRPr="003672D1">
        <w:rPr>
          <w:sz w:val="22"/>
          <w:szCs w:val="22"/>
        </w:rPr>
        <w:t xml:space="preserve">                                                                   (6)</w:t>
      </w:r>
    </w:p>
    <w:p w14:paraId="0D4E2B38" w14:textId="28591FAC" w:rsidR="003672D1" w:rsidRPr="003672D1" w:rsidRDefault="003672D1" w:rsidP="00D05C82">
      <w:pPr>
        <w:spacing w:after="40"/>
        <w:rPr>
          <w:sz w:val="22"/>
          <w:szCs w:val="22"/>
        </w:rPr>
      </w:pPr>
      <w:r w:rsidRPr="003672D1">
        <w:rPr>
          <w:sz w:val="22"/>
          <w:szCs w:val="22"/>
        </w:rPr>
        <w:t>evaluated at 2,000 randomly sampled interior collocation points per epoch:</w:t>
      </w:r>
    </w:p>
    <w:p w14:paraId="4FB7AF76" w14:textId="2EEBCD8A" w:rsidR="003672D1" w:rsidRPr="003672D1" w:rsidRDefault="00000000" w:rsidP="00D05C82">
      <w:pPr>
        <w:spacing w:after="80"/>
        <w:jc w:val="both"/>
        <w:rPr>
          <w:sz w:val="22"/>
          <w:szCs w:val="22"/>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phys</m:t>
            </m:r>
          </m:sub>
        </m:sSub>
        <m:r>
          <w:rPr>
            <w:rFonts w:ascii="Cambria Math" w:hAnsi="Cambria Math"/>
            <w:sz w:val="24"/>
          </w:rPr>
          <m:t>=</m:t>
        </m:r>
        <m:d>
          <m:dPr>
            <m:ctrlPr>
              <w:rPr>
                <w:rFonts w:ascii="Cambria Math" w:hAnsi="Cambria Math"/>
                <w:sz w:val="24"/>
              </w:rPr>
            </m:ctrlPr>
          </m:dPr>
          <m:e>
            <m:f>
              <m:fPr>
                <m:ctrlPr>
                  <w:rPr>
                    <w:rFonts w:ascii="Cambria Math" w:hAnsi="Cambria Math"/>
                    <w:sz w:val="24"/>
                  </w:rPr>
                </m:ctrlPr>
              </m:fPr>
              <m:num>
                <m:r>
                  <w:rPr>
                    <w:rFonts w:ascii="Cambria Math" w:hAnsi="Cambria Math"/>
                    <w:sz w:val="24"/>
                  </w:rPr>
                  <m:t>1</m:t>
                </m:r>
                <m:ctrlPr>
                  <w:rPr>
                    <w:rFonts w:ascii="Cambria Math" w:hAnsi="Cambria Math"/>
                    <w:i/>
                    <w:sz w:val="24"/>
                  </w:rPr>
                </m:ctrlPr>
              </m:num>
              <m:den>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ctrlPr>
                  <w:rPr>
                    <w:rFonts w:ascii="Cambria Math" w:hAnsi="Cambria Math"/>
                    <w:i/>
                    <w:sz w:val="24"/>
                  </w:rPr>
                </m:ctrlPr>
              </m:den>
            </m:f>
            <m:ctrlPr>
              <w:rPr>
                <w:rFonts w:ascii="Cambria Math" w:hAnsi="Cambria Math"/>
                <w:i/>
                <w:sz w:val="24"/>
              </w:rPr>
            </m:ctrlPr>
          </m:e>
        </m:d>
        <m:nary>
          <m:naryPr>
            <m:chr m:val="∑"/>
            <m:ctrlPr>
              <w:rPr>
                <w:rFonts w:ascii="Cambria Math" w:hAnsi="Cambria Math"/>
                <w:sz w:val="24"/>
              </w:rPr>
            </m:ctrlPr>
          </m:naryPr>
          <m:sub>
            <m:r>
              <w:rPr>
                <w:rFonts w:ascii="Cambria Math" w:hAnsi="Cambria Math"/>
                <w:sz w:val="24"/>
              </w:rPr>
              <m:t>j=1</m:t>
            </m:r>
            <m:ctrlPr>
              <w:rPr>
                <w:rFonts w:ascii="Cambria Math" w:hAnsi="Cambria Math"/>
                <w:i/>
                <w:sz w:val="24"/>
              </w:rPr>
            </m:ctrlPr>
          </m:sub>
          <m:sup>
            <m:sSub>
              <m:sSubPr>
                <m:ctrlPr>
                  <w:rPr>
                    <w:rFonts w:ascii="Cambria Math" w:hAnsi="Cambria Math"/>
                    <w:i/>
                    <w:sz w:val="24"/>
                  </w:rPr>
                </m:ctrlPr>
              </m:sSubPr>
              <m:e>
                <m:r>
                  <w:rPr>
                    <w:rFonts w:ascii="Cambria Math" w:hAnsi="Cambria Math"/>
                    <w:sz w:val="24"/>
                  </w:rPr>
                  <m:t>N</m:t>
                </m:r>
              </m:e>
              <m:sub>
                <m:r>
                  <w:rPr>
                    <w:rFonts w:ascii="Cambria Math" w:hAnsi="Cambria Math"/>
                    <w:sz w:val="24"/>
                  </w:rPr>
                  <m:t>r</m:t>
                </m:r>
              </m:sub>
            </m:sSub>
            <m:ctrlPr>
              <w:rPr>
                <w:rFonts w:ascii="Cambria Math" w:hAnsi="Cambria Math"/>
                <w:i/>
                <w:sz w:val="24"/>
              </w:rPr>
            </m:ctrlPr>
          </m:sup>
          <m:e>
            <m:r>
              <w:rPr>
                <w:rFonts w:ascii="Cambria Math" w:hAnsi="Cambria Math"/>
                <w:sz w:val="24"/>
              </w:rPr>
              <m:t>r</m:t>
            </m:r>
            <m:sSup>
              <m:sSupPr>
                <m:ctrlPr>
                  <w:rPr>
                    <w:rFonts w:ascii="Cambria Math" w:hAnsi="Cambria Math"/>
                    <w:i/>
                    <w:sz w:val="24"/>
                  </w:rPr>
                </m:ctrlPr>
              </m:sSupPr>
              <m:e>
                <m:d>
                  <m:dPr>
                    <m:ctrlPr>
                      <w:rPr>
                        <w:rFonts w:ascii="Cambria Math" w:hAnsi="Cambria Math"/>
                        <w:sz w:val="24"/>
                      </w:rPr>
                    </m:ctrlPr>
                  </m:dPr>
                  <m:e>
                    <m:sSub>
                      <m:sSubPr>
                        <m:ctrlPr>
                          <w:rPr>
                            <w:rFonts w:ascii="Cambria Math" w:hAnsi="Cambria Math"/>
                            <w:i/>
                            <w:sz w:val="24"/>
                          </w:rPr>
                        </m:ctrlPr>
                      </m:sSubPr>
                      <m:e>
                        <m:r>
                          <w:rPr>
                            <w:rFonts w:ascii="Cambria Math" w:hAnsi="Cambria Math"/>
                            <w:sz w:val="24"/>
                          </w:rPr>
                          <m:t>Z</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t</m:t>
                        </m:r>
                      </m:e>
                      <m:sub>
                        <m:r>
                          <w:rPr>
                            <w:rFonts w:ascii="Cambria Math" w:hAnsi="Cambria Math"/>
                            <w:sz w:val="24"/>
                          </w:rPr>
                          <m:t>j</m:t>
                        </m:r>
                      </m:sub>
                    </m:sSub>
                    <m:ctrlPr>
                      <w:rPr>
                        <w:rFonts w:ascii="Cambria Math" w:hAnsi="Cambria Math"/>
                        <w:i/>
                        <w:sz w:val="24"/>
                      </w:rPr>
                    </m:ctrlPr>
                  </m:e>
                </m:d>
              </m:e>
              <m:sup>
                <m:r>
                  <w:rPr>
                    <w:rFonts w:ascii="Cambria Math" w:hAnsi="Cambria Math"/>
                    <w:sz w:val="24"/>
                  </w:rPr>
                  <m:t>2</m:t>
                </m:r>
              </m:sup>
            </m:sSup>
            <m:ctrlPr>
              <w:rPr>
                <w:rFonts w:ascii="Cambria Math" w:hAnsi="Cambria Math"/>
                <w:i/>
                <w:sz w:val="24"/>
              </w:rPr>
            </m:ctrlPr>
          </m:e>
        </m:nary>
      </m:oMath>
      <w:r w:rsidR="003672D1" w:rsidRPr="003672D1">
        <w:rPr>
          <w:sz w:val="22"/>
          <w:szCs w:val="22"/>
        </w:rPr>
        <w:t xml:space="preserve">                                          </w:t>
      </w:r>
      <w:r w:rsidR="003672D1">
        <w:rPr>
          <w:sz w:val="22"/>
          <w:szCs w:val="22"/>
        </w:rPr>
        <w:t xml:space="preserve">    </w:t>
      </w:r>
      <w:r w:rsidR="003672D1" w:rsidRPr="003672D1">
        <w:rPr>
          <w:sz w:val="22"/>
          <w:szCs w:val="22"/>
        </w:rPr>
        <w:t xml:space="preserve">                                                               (7)</w:t>
      </w:r>
    </w:p>
    <w:p w14:paraId="54D32419" w14:textId="67B6319D" w:rsidR="005E1C1A" w:rsidRPr="003672D1" w:rsidRDefault="00AC55DF" w:rsidP="00170389">
      <w:pPr>
        <w:pStyle w:val="BodyText0"/>
      </w:pPr>
      <w:r w:rsidRPr="00AC55DF">
        <w:lastRenderedPageBreak/>
        <w:t>Automatic differentiation provided exact first</w:t>
      </w:r>
      <w:r w:rsidR="00F4572E">
        <w:t xml:space="preserve">- and second-order derivatives via the computational graph, eliminating the need for </w:t>
      </w:r>
      <w:r w:rsidRPr="00AC55DF">
        <w:t xml:space="preserve">manual PDE </w:t>
      </w:r>
      <w:r w:rsidR="00F4572E">
        <w:t>discretisation</w:t>
      </w:r>
      <w:r w:rsidRPr="00AC55DF">
        <w:t>.</w:t>
      </w:r>
      <w:r>
        <w:t xml:space="preserve"> </w:t>
      </w:r>
      <w:r w:rsidR="00F4572E">
        <w:t>Optimisation</w:t>
      </w:r>
      <w:r w:rsidR="003672D1" w:rsidRPr="003672D1">
        <w:t xml:space="preserve"> was performed with Adam for 5,000 epochs, starting from a learning rate of (10⁻³) with stepwise decay. To </w:t>
      </w:r>
      <w:r w:rsidR="00F4572E">
        <w:t>contextualise</w:t>
      </w:r>
      <w:r w:rsidR="003672D1" w:rsidRPr="003672D1">
        <w:t xml:space="preserve"> the value of the physics prior, a degree-8 polynomial regression model trained only on the noisy sensor data was also evaluated as a non-physics baseline</w:t>
      </w:r>
      <w:r w:rsidR="00EB1821">
        <w:t xml:space="preserve"> </w:t>
      </w:r>
      <w:r w:rsidR="00EB1821">
        <w:fldChar w:fldCharType="begin"/>
      </w:r>
      <w:r w:rsidR="00EB1821">
        <w:instrText xml:space="preserve"> ADDIN ZOTERO_ITEM CSL_CITATION {"citationID":"eJriS3ge","properties":{"unsorted":false,"formattedCitation":"(Rao et al., 2023)","plainCitation":"(Rao et al., 2023)","noteIndex":0},"citationItems":[{"id":45,"uris":["http://zotero.org/users/19870308/items/7VVXWT8G"],"itemData":{"id":45,"type":"article-journal","container-title":"Nature Machine Intelligence","DOI":"10.1038/s42256-023-00685-7","ISSN":"2522-5839","issue":"7","page":"765-779","publisher":"Nature Portfolio","title":"Encoding physics to learn reaction–diffusion processes","volume":"5","author":[{"family":"Rao","given":"Chengping"},{"family":"Ren","given":"Pu"},{"family":"Wang","given":"Qi"},{"family":"Büyüköztürk","given":"Oral"},{"family":"Sun","given":"Hao"},{"family":"Liu","given":"Yang"}],"issued":{"date-parts":[["2023",7]]}}}],"schema":"https://github.com/citation-style-language/schema/raw/master/csl-citation.json"} </w:instrText>
      </w:r>
      <w:r w:rsidR="00EB1821">
        <w:fldChar w:fldCharType="separate"/>
      </w:r>
      <w:r w:rsidR="00EB1821" w:rsidRPr="00EB1821">
        <w:t>(Rao et al., 2023)</w:t>
      </w:r>
      <w:r w:rsidR="00EB1821">
        <w:fldChar w:fldCharType="end"/>
      </w:r>
      <w:r w:rsidR="003672D1" w:rsidRPr="003672D1">
        <w:t>.</w:t>
      </w:r>
    </w:p>
    <w:p w14:paraId="431CB1F1" w14:textId="77777777" w:rsidR="001509C2" w:rsidRPr="00EB1821" w:rsidRDefault="003672D1" w:rsidP="00AC55DF">
      <w:pPr>
        <w:pStyle w:val="SECTIONHEADING"/>
        <w:spacing w:before="240"/>
        <w:rPr>
          <w:rFonts w:ascii="Times New Roman" w:hAnsi="Times New Roman"/>
        </w:rPr>
      </w:pPr>
      <w:r w:rsidRPr="00EB1821">
        <w:rPr>
          <w:rFonts w:ascii="Times New Roman" w:hAnsi="Times New Roman"/>
        </w:rPr>
        <w:t>results and discussion</w:t>
      </w:r>
    </w:p>
    <w:p w14:paraId="3EE342BE" w14:textId="77777777" w:rsidR="001509C2" w:rsidRPr="007B29C8" w:rsidRDefault="003672D1" w:rsidP="00870F3D">
      <w:pPr>
        <w:pStyle w:val="Style1stsub-headingArial"/>
        <w:spacing w:before="0"/>
        <w:rPr>
          <w:rFonts w:ascii="Times New Roman" w:hAnsi="Times New Roman"/>
        </w:rPr>
      </w:pPr>
      <w:r>
        <w:rPr>
          <w:rFonts w:ascii="Times New Roman" w:hAnsi="Times New Roman"/>
        </w:rPr>
        <w:t>Convergence and inverse parameter discovery</w:t>
      </w:r>
    </w:p>
    <w:p w14:paraId="500FE565" w14:textId="159779BB" w:rsidR="00FE7D73" w:rsidRPr="00134F6C" w:rsidRDefault="00FE7D73" w:rsidP="00134F6C">
      <w:pPr>
        <w:pStyle w:val="NormalWeb"/>
        <w:jc w:val="both"/>
        <w:rPr>
          <w:sz w:val="22"/>
          <w:szCs w:val="22"/>
          <w:lang w:val="en-US"/>
        </w:rPr>
      </w:pPr>
      <w:r w:rsidRPr="00134F6C">
        <w:rPr>
          <w:sz w:val="22"/>
          <w:szCs w:val="22"/>
          <w:lang w:val="en-US"/>
        </w:rPr>
        <w:t xml:space="preserve">The inverse PINN estimated </w:t>
      </w:r>
      <m:oMath>
        <m:sSub>
          <m:sSubPr>
            <m:ctrlPr>
              <w:rPr>
                <w:rFonts w:ascii="Cambria Math" w:hAnsi="Cambria Math"/>
                <w:sz w:val="22"/>
                <w:szCs w:val="22"/>
                <w:lang w:val="en-US"/>
              </w:rPr>
            </m:ctrlPr>
          </m:sSubPr>
          <m:e>
            <m:r>
              <w:rPr>
                <w:rFonts w:ascii="Cambria Math" w:hAnsi="Cambria Math"/>
                <w:sz w:val="22"/>
                <w:szCs w:val="22"/>
                <w:lang w:val="en-US"/>
              </w:rPr>
              <m:t>c</m:t>
            </m:r>
          </m:e>
          <m:sub>
            <m:r>
              <w:rPr>
                <w:rFonts w:ascii="Cambria Math" w:hAnsi="Cambria Math"/>
                <w:sz w:val="22"/>
                <w:szCs w:val="22"/>
                <w:lang w:val="en-US"/>
              </w:rPr>
              <m:t>v</m:t>
            </m:r>
          </m:sub>
        </m:sSub>
        <m:r>
          <w:rPr>
            <w:rFonts w:ascii="Cambria Math" w:hAnsi="Cambria Math"/>
            <w:sz w:val="22"/>
            <w:szCs w:val="22"/>
            <w:lang w:val="en-US"/>
          </w:rPr>
          <m:t>=1.2093</m:t>
        </m:r>
      </m:oMath>
      <w:r w:rsidRPr="00134F6C">
        <w:rPr>
          <w:sz w:val="22"/>
          <w:szCs w:val="22"/>
          <w:lang w:val="en-US"/>
        </w:rPr>
        <w:t xml:space="preserve">, with a small absolute error of 0.0093 and </w:t>
      </w:r>
      <w:r w:rsidR="0038533F" w:rsidRPr="00134F6C">
        <w:rPr>
          <w:sz w:val="22"/>
          <w:szCs w:val="22"/>
          <w:lang w:val="en-US"/>
        </w:rPr>
        <w:t xml:space="preserve">a </w:t>
      </w:r>
      <w:r w:rsidRPr="00134F6C">
        <w:rPr>
          <w:sz w:val="22"/>
          <w:szCs w:val="22"/>
          <w:lang w:val="en-US"/>
        </w:rPr>
        <w:t xml:space="preserve">relative error of 0.78% compared to the true value (1.2). </w:t>
      </w:r>
      <w:r w:rsidR="00E461EC" w:rsidRPr="00134F6C">
        <w:rPr>
          <w:sz w:val="22"/>
          <w:szCs w:val="22"/>
          <w:lang w:val="en-US"/>
        </w:rPr>
        <w:t xml:space="preserve">Training remained stable </w:t>
      </w:r>
      <w:r w:rsidR="00FB4999">
        <w:rPr>
          <w:sz w:val="22"/>
          <w:szCs w:val="22"/>
          <w:lang w:val="en-US"/>
        </w:rPr>
        <w:t>over the 5,000 epochs we trained for, with data loss consistently decreasing from 0.299 to 0.020</w:t>
      </w:r>
      <w:r w:rsidR="001E5253">
        <w:rPr>
          <w:sz w:val="22"/>
          <w:szCs w:val="22"/>
          <w:lang w:val="en-US"/>
        </w:rPr>
        <w:t>,</w:t>
      </w:r>
      <w:r w:rsidR="00E461EC" w:rsidRPr="00134F6C">
        <w:rPr>
          <w:sz w:val="22"/>
          <w:szCs w:val="22"/>
          <w:lang w:val="en-US"/>
        </w:rPr>
        <w:t xml:space="preserve"> while physics loss stayed near that value at ≤ 0.010. The PDE residual initially dropped rapidly, before </w:t>
      </w:r>
      <w:r w:rsidR="001E5253">
        <w:rPr>
          <w:sz w:val="22"/>
          <w:szCs w:val="22"/>
          <w:lang w:val="en-US"/>
        </w:rPr>
        <w:t>levelling</w:t>
      </w:r>
      <w:r w:rsidR="00E461EC" w:rsidRPr="00134F6C">
        <w:rPr>
          <w:sz w:val="22"/>
          <w:szCs w:val="22"/>
          <w:lang w:val="en-US"/>
        </w:rPr>
        <w:t xml:space="preserve"> out at around</w:t>
      </w:r>
      <m:oMath>
        <m:r>
          <w:rPr>
            <w:rFonts w:ascii="Cambria Math" w:hAnsi="Cambria Math"/>
            <w:sz w:val="22"/>
            <w:szCs w:val="22"/>
            <w:lang w:val="en-US"/>
          </w:rPr>
          <m:t xml:space="preserve"> </m:t>
        </m:r>
        <m:sSup>
          <m:sSupPr>
            <m:ctrlPr>
              <w:rPr>
                <w:rFonts w:ascii="Cambria Math" w:hAnsi="Cambria Math"/>
                <w:sz w:val="22"/>
                <w:szCs w:val="22"/>
                <w:lang w:val="en-US"/>
              </w:rPr>
            </m:ctrlPr>
          </m:sSupPr>
          <m:e>
            <m:r>
              <w:rPr>
                <w:rFonts w:ascii="Cambria Math" w:hAnsi="Cambria Math"/>
                <w:sz w:val="22"/>
                <w:szCs w:val="22"/>
                <w:lang w:val="en-US"/>
              </w:rPr>
              <m:t>10</m:t>
            </m:r>
          </m:e>
          <m:sup>
            <m:r>
              <w:rPr>
                <w:rFonts w:ascii="Cambria Math" w:hAnsi="Cambria Math"/>
                <w:sz w:val="22"/>
                <w:szCs w:val="22"/>
                <w:lang w:val="en-US"/>
              </w:rPr>
              <m:t>-2</m:t>
            </m:r>
          </m:sup>
        </m:sSup>
      </m:oMath>
      <w:r w:rsidR="00134F6C" w:rsidRPr="00134F6C">
        <w:rPr>
          <w:sz w:val="22"/>
          <w:szCs w:val="22"/>
          <w:lang w:val="en-US"/>
        </w:rPr>
        <w:t xml:space="preserve"> </w:t>
      </w:r>
      <w:r w:rsidR="00E461EC" w:rsidRPr="00134F6C">
        <w:rPr>
          <w:sz w:val="22"/>
          <w:szCs w:val="22"/>
          <w:lang w:val="en-US"/>
        </w:rPr>
        <w:t xml:space="preserve">demonstrating that the model learned from noisy data, returning the underlying physics. The estimated </w:t>
      </w:r>
      <m:oMath>
        <m:sSub>
          <m:sSubPr>
            <m:ctrlPr>
              <w:rPr>
                <w:rFonts w:ascii="Cambria Math" w:hAnsi="Cambria Math"/>
                <w:sz w:val="22"/>
                <w:lang w:val="en-US"/>
              </w:rPr>
            </m:ctrlPr>
          </m:sSubPr>
          <m:e>
            <m:r>
              <w:rPr>
                <w:rFonts w:ascii="Cambria Math" w:hAnsi="Cambria Math"/>
                <w:sz w:val="22"/>
                <w:lang w:val="en-US"/>
              </w:rPr>
              <m:t>c</m:t>
            </m:r>
          </m:e>
          <m:sub>
            <m:r>
              <w:rPr>
                <w:rFonts w:ascii="Cambria Math" w:hAnsi="Cambria Math"/>
                <w:sz w:val="22"/>
                <w:lang w:val="en-US"/>
              </w:rPr>
              <m:t>v</m:t>
            </m:r>
          </m:sub>
        </m:sSub>
      </m:oMath>
      <w:r w:rsidR="00E461EC" w:rsidRPr="00134F6C">
        <w:rPr>
          <w:sz w:val="22"/>
          <w:szCs w:val="22"/>
          <w:lang w:val="en-US"/>
        </w:rPr>
        <w:t xml:space="preserve"> rose </w:t>
      </w:r>
      <w:r w:rsidR="004536FA">
        <w:rPr>
          <w:sz w:val="22"/>
          <w:szCs w:val="22"/>
          <w:lang w:val="en-US"/>
        </w:rPr>
        <w:t>non-linearly from 0.5 and approached the true value by the last time point</w:t>
      </w:r>
      <w:r w:rsidR="00E461EC" w:rsidRPr="00134F6C">
        <w:rPr>
          <w:sz w:val="22"/>
          <w:szCs w:val="22"/>
          <w:lang w:val="en-US"/>
        </w:rPr>
        <w:t xml:space="preserve">. With just 50 noisy samples, the model </w:t>
      </w:r>
      <w:r w:rsidR="004536FA">
        <w:rPr>
          <w:sz w:val="22"/>
          <w:szCs w:val="22"/>
          <w:lang w:val="en-US"/>
        </w:rPr>
        <w:t>still predicted accurately thanks</w:t>
      </w:r>
      <w:r w:rsidR="00E461EC" w:rsidRPr="00134F6C">
        <w:rPr>
          <w:sz w:val="22"/>
          <w:szCs w:val="22"/>
          <w:lang w:val="en-US"/>
        </w:rPr>
        <w:t xml:space="preserve"> to the helpful smearing provided by physics-based </w:t>
      </w:r>
      <w:proofErr w:type="spellStart"/>
      <w:r w:rsidR="00E461EC" w:rsidRPr="00134F6C">
        <w:rPr>
          <w:sz w:val="22"/>
          <w:szCs w:val="22"/>
          <w:lang w:val="en-US"/>
        </w:rPr>
        <w:t>regularisation</w:t>
      </w:r>
      <w:proofErr w:type="spellEnd"/>
      <w:r w:rsidR="001E5253">
        <w:rPr>
          <w:sz w:val="22"/>
          <w:szCs w:val="22"/>
          <w:lang w:val="en-US"/>
        </w:rPr>
        <w:t xml:space="preserve">, </w:t>
      </w:r>
      <w:r w:rsidR="00E461EC" w:rsidRPr="00134F6C">
        <w:rPr>
          <w:sz w:val="22"/>
          <w:szCs w:val="22"/>
          <w:lang w:val="en-US"/>
        </w:rPr>
        <w:t>an example of it working well. The model focused on the full domain yielded (MSE = 0.0088, RMSE = 0.0938 and MAE = 0.0679). The training sensor error (MSE = 0.0165) suggests the model generalizes well and balanced data fitting with physical fidelity without overfitting.</w:t>
      </w:r>
    </w:p>
    <w:p w14:paraId="63E8CD17" w14:textId="0CE0322E" w:rsidR="003672D1" w:rsidRDefault="00D10E51" w:rsidP="00FE7D73">
      <w:pPr>
        <w:pStyle w:val="BodyText0"/>
        <w:jc w:val="center"/>
      </w:pPr>
      <w:r w:rsidRPr="0075071E">
        <w:rPr>
          <w:noProof/>
        </w:rPr>
        <w:drawing>
          <wp:inline distT="0" distB="0" distL="0" distR="0" wp14:anchorId="09460A20" wp14:editId="31C0AA08">
            <wp:extent cx="4551907" cy="1881554"/>
            <wp:effectExtent l="0" t="0" r="1270" b="44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51907" cy="1881554"/>
                    </a:xfrm>
                    <a:prstGeom prst="rect">
                      <a:avLst/>
                    </a:prstGeom>
                    <a:noFill/>
                    <a:ln>
                      <a:noFill/>
                    </a:ln>
                  </pic:spPr>
                </pic:pic>
              </a:graphicData>
            </a:graphic>
          </wp:inline>
        </w:drawing>
      </w:r>
    </w:p>
    <w:p w14:paraId="4B719CB3" w14:textId="6445AB19" w:rsidR="00043AF4" w:rsidRDefault="003672D1" w:rsidP="00170389">
      <w:pPr>
        <w:pStyle w:val="BodyText0"/>
      </w:pPr>
      <w:r w:rsidRPr="003672D1">
        <w:t xml:space="preserve">Figure </w:t>
      </w:r>
      <w:r w:rsidR="0008570F">
        <w:t>3</w:t>
      </w:r>
      <w:r>
        <w:t>:</w:t>
      </w:r>
      <w:r w:rsidRPr="003672D1">
        <w:t xml:space="preserve"> </w:t>
      </w:r>
      <w:r w:rsidR="00080F80" w:rsidRPr="00080F80">
        <w:t xml:space="preserve">Training history for data loss, physics loss, and learned </w:t>
      </w:r>
      <m:oMath>
        <m:sSub>
          <m:sSubPr>
            <m:ctrlPr>
              <w:rPr>
                <w:rFonts w:ascii="Cambria Math" w:hAnsi="Cambria Math"/>
              </w:rPr>
            </m:ctrlPr>
          </m:sSubPr>
          <m:e>
            <m:r>
              <w:rPr>
                <w:rFonts w:ascii="Cambria Math" w:hAnsi="Cambria Math"/>
              </w:rPr>
              <m:t>c</m:t>
            </m:r>
          </m:e>
          <m:sub>
            <m:r>
              <w:rPr>
                <w:rFonts w:ascii="Cambria Math" w:hAnsi="Cambria Math"/>
              </w:rPr>
              <m:t>v</m:t>
            </m:r>
          </m:sub>
        </m:sSub>
      </m:oMath>
      <w:r w:rsidR="00080F80" w:rsidRPr="00080F80">
        <w:t>, showing stable convergence toward the true value of 1.2.</w:t>
      </w:r>
    </w:p>
    <w:p w14:paraId="75A5DDAC" w14:textId="7B1ED8D9" w:rsidR="00043AF4" w:rsidRDefault="00AC55DF" w:rsidP="004904F2">
      <w:pPr>
        <w:spacing w:before="120" w:after="120"/>
        <w:jc w:val="center"/>
        <w:rPr>
          <w:szCs w:val="22"/>
        </w:rPr>
      </w:pPr>
      <w:bookmarkStart w:id="0" w:name="_Toc370571639"/>
      <w:bookmarkStart w:id="1" w:name="_Toc371507090"/>
      <w:r w:rsidRPr="007F6AC8">
        <w:rPr>
          <w:noProof/>
          <w:sz w:val="22"/>
          <w:szCs w:val="22"/>
        </w:rPr>
        <w:drawing>
          <wp:inline distT="0" distB="0" distL="0" distR="0" wp14:anchorId="19CE0C5A" wp14:editId="49B0247F">
            <wp:extent cx="3305908" cy="2362250"/>
            <wp:effectExtent l="0" t="0" r="889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05908" cy="2362250"/>
                    </a:xfrm>
                    <a:prstGeom prst="rect">
                      <a:avLst/>
                    </a:prstGeom>
                    <a:noFill/>
                    <a:ln>
                      <a:noFill/>
                    </a:ln>
                  </pic:spPr>
                </pic:pic>
              </a:graphicData>
            </a:graphic>
          </wp:inline>
        </w:drawing>
      </w:r>
    </w:p>
    <w:p w14:paraId="53839C93" w14:textId="6549849B" w:rsidR="00B133F0" w:rsidRPr="00B133F0" w:rsidRDefault="007F6AC8" w:rsidP="00427DE2">
      <w:pPr>
        <w:spacing w:before="120" w:after="120"/>
        <w:jc w:val="both"/>
        <w:rPr>
          <w:szCs w:val="22"/>
        </w:rPr>
      </w:pPr>
      <w:r w:rsidRPr="007F6AC8">
        <w:rPr>
          <w:szCs w:val="22"/>
        </w:rPr>
        <w:t xml:space="preserve">Figure </w:t>
      </w:r>
      <w:r w:rsidR="003A0B0A">
        <w:rPr>
          <w:szCs w:val="22"/>
        </w:rPr>
        <w:t>4</w:t>
      </w:r>
      <w:r w:rsidRPr="007F6AC8">
        <w:rPr>
          <w:szCs w:val="22"/>
        </w:rPr>
        <w:t xml:space="preserve">: </w:t>
      </w:r>
      <w:r w:rsidR="00080F80" w:rsidRPr="00080F80">
        <w:rPr>
          <w:szCs w:val="22"/>
        </w:rPr>
        <w:t xml:space="preserve">Depth profile at </w:t>
      </w:r>
      <m:oMath>
        <m:sSub>
          <m:sSubPr>
            <m:ctrlPr>
              <w:rPr>
                <w:rFonts w:ascii="Cambria Math" w:hAnsi="Cambria Math"/>
                <w:szCs w:val="22"/>
              </w:rPr>
            </m:ctrlPr>
          </m:sSubPr>
          <m:e>
            <m:r>
              <w:rPr>
                <w:rFonts w:ascii="Cambria Math" w:hAnsi="Cambria Math"/>
                <w:szCs w:val="22"/>
              </w:rPr>
              <m:t>T</m:t>
            </m:r>
          </m:e>
          <m:sub>
            <m:r>
              <w:rPr>
                <w:rFonts w:ascii="Cambria Math" w:hAnsi="Cambria Math"/>
                <w:szCs w:val="22"/>
              </w:rPr>
              <m:t>v</m:t>
            </m:r>
          </m:sub>
        </m:sSub>
        <m:r>
          <w:rPr>
            <w:rFonts w:ascii="Cambria Math" w:hAnsi="Cambria Math"/>
            <w:szCs w:val="22"/>
          </w:rPr>
          <m:t>=0.2</m:t>
        </m:r>
      </m:oMath>
      <w:r w:rsidR="00080F80" w:rsidRPr="00080F80">
        <w:rPr>
          <w:szCs w:val="22"/>
        </w:rPr>
        <w:t>comparing analytical solution, PINN mean, polynomial baseline, and PINN 95% confidence interval, showing the PINN stays close to the physics-based reference while the baseline deviates outside well-constrained regions.</w:t>
      </w:r>
    </w:p>
    <w:p w14:paraId="006CF342" w14:textId="6EBCDF80" w:rsidR="00170389" w:rsidRPr="003A0B0A" w:rsidRDefault="0008570F" w:rsidP="001E5253">
      <w:pPr>
        <w:pStyle w:val="1stsub-heading"/>
        <w:rPr>
          <w:sz w:val="28"/>
          <w:szCs w:val="22"/>
        </w:rPr>
      </w:pPr>
      <w:r w:rsidRPr="003A0B0A">
        <w:lastRenderedPageBreak/>
        <w:t>Uncertainty structure and confidence calibration</w:t>
      </w:r>
    </w:p>
    <w:p w14:paraId="76EBF67C" w14:textId="233CDF50" w:rsidR="00D639DE" w:rsidRPr="00D639DE" w:rsidRDefault="00D639DE" w:rsidP="00D639DE">
      <w:pPr>
        <w:pStyle w:val="BodyText0"/>
      </w:pPr>
      <w:r w:rsidRPr="00D639DE">
        <w:t>The average prediction uncertainty (standard deviation with MC dropout) was 0.085. The maximum uncertainty of 0.118 occurred at depth z = 0.667 m, which was the initial time (Tᵥ = 0). Even with the limited data available</w:t>
      </w:r>
      <w:r w:rsidR="004536FA">
        <w:t>, the model's uncertainty estimates are fairly trustworthy, as approximately 94.67% of true values fell within the 95% confidence intervals</w:t>
      </w:r>
      <w:r w:rsidRPr="00D639DE">
        <w:t xml:space="preserve">. The uncertainty is not isotropic: it is lowest in the interior zone, where data and the PDE are informative for the model, while </w:t>
      </w:r>
      <w:r w:rsidR="004536FA">
        <w:t>it grows near boundaries and in early-time zones, where less information is available</w:t>
      </w:r>
      <w:r w:rsidRPr="00D639DE">
        <w:t xml:space="preserve">. This pattern can also assist </w:t>
      </w:r>
      <w:r w:rsidR="004536FA">
        <w:t>engineers in determining whether they need to install additional</w:t>
      </w:r>
      <w:r w:rsidRPr="00D639DE">
        <w:t xml:space="preserve"> sensors (piezometers) at a few specific locations.</w:t>
      </w:r>
    </w:p>
    <w:p w14:paraId="1E62C2F5" w14:textId="77777777" w:rsidR="00427DE2" w:rsidRPr="00427DE2" w:rsidRDefault="00427DE2" w:rsidP="00427DE2">
      <w:pPr>
        <w:pStyle w:val="BodyText0"/>
        <w:rPr>
          <w:sz w:val="24"/>
          <w:lang w:val="en-US"/>
        </w:rPr>
      </w:pPr>
    </w:p>
    <w:p w14:paraId="479F38E5" w14:textId="4933ADED" w:rsidR="00043AF4" w:rsidRPr="00051C7D" w:rsidRDefault="00043AF4" w:rsidP="00043AF4">
      <w:pPr>
        <w:pStyle w:val="Heading3"/>
        <w:spacing w:before="0" w:after="60"/>
        <w:ind w:firstLine="0"/>
        <w:rPr>
          <w:sz w:val="22"/>
          <w:szCs w:val="22"/>
        </w:rPr>
      </w:pPr>
      <w:r w:rsidRPr="00051C7D">
        <w:rPr>
          <w:sz w:val="22"/>
          <w:szCs w:val="22"/>
        </w:rPr>
        <w:t>3.</w:t>
      </w:r>
      <w:r>
        <w:rPr>
          <w:sz w:val="22"/>
          <w:szCs w:val="22"/>
        </w:rPr>
        <w:t>3</w:t>
      </w:r>
      <w:r w:rsidRPr="00051C7D">
        <w:rPr>
          <w:sz w:val="22"/>
          <w:szCs w:val="22"/>
        </w:rPr>
        <w:t xml:space="preserve"> Error </w:t>
      </w:r>
      <w:proofErr w:type="spellStart"/>
      <w:r w:rsidRPr="00051C7D">
        <w:rPr>
          <w:sz w:val="22"/>
          <w:szCs w:val="22"/>
        </w:rPr>
        <w:t>localisation</w:t>
      </w:r>
      <w:proofErr w:type="spellEnd"/>
      <w:r w:rsidRPr="00051C7D">
        <w:rPr>
          <w:sz w:val="22"/>
          <w:szCs w:val="22"/>
        </w:rPr>
        <w:t xml:space="preserve"> and engineering interpretation</w:t>
      </w:r>
    </w:p>
    <w:p w14:paraId="77518203" w14:textId="40CB3F99" w:rsidR="0014326E" w:rsidRDefault="00765BA1" w:rsidP="00765BA1">
      <w:pPr>
        <w:spacing w:before="100" w:beforeAutospacing="1" w:after="100" w:afterAutospacing="1"/>
        <w:jc w:val="both"/>
        <w:rPr>
          <w:sz w:val="22"/>
          <w:szCs w:val="24"/>
          <w:lang w:val="en-US"/>
        </w:rPr>
      </w:pPr>
      <w:r w:rsidRPr="00765BA1">
        <w:rPr>
          <w:sz w:val="22"/>
          <w:szCs w:val="24"/>
          <w:lang w:val="en-US"/>
        </w:rPr>
        <w:t xml:space="preserve">The stochastic PINN is useful in practice as it yields low predictive error in the main region of interest (i.e., where most engineering decisions are performed). Yet </w:t>
      </w:r>
      <w:r w:rsidR="004536FA">
        <w:rPr>
          <w:sz w:val="22"/>
          <w:szCs w:val="24"/>
          <w:lang w:val="en-US"/>
        </w:rPr>
        <w:t xml:space="preserve">it </w:t>
      </w:r>
      <w:r w:rsidRPr="00765BA1">
        <w:rPr>
          <w:sz w:val="22"/>
          <w:szCs w:val="24"/>
          <w:lang w:val="en-US"/>
        </w:rPr>
        <w:t xml:space="preserve">also very much reveals its own limitations in fast-changing areas. It is important to understand the distinction between uncertainty and error: uncertainty </w:t>
      </w:r>
      <w:r w:rsidR="004536FA">
        <w:rPr>
          <w:sz w:val="22"/>
          <w:szCs w:val="24"/>
          <w:lang w:val="en-US"/>
        </w:rPr>
        <w:t>provides a conservative overall indication of risk, while error indicates a mistake at</w:t>
      </w:r>
      <w:r w:rsidRPr="00765BA1">
        <w:rPr>
          <w:sz w:val="22"/>
          <w:szCs w:val="24"/>
          <w:lang w:val="en-US"/>
        </w:rPr>
        <w:t xml:space="preserve"> a local scale. The two work in tandem to help engineers make better choices about where to locate sensors and how to observe the system. Moreover, it is a mesh-free method that </w:t>
      </w:r>
      <w:r w:rsidR="004536FA">
        <w:rPr>
          <w:sz w:val="22"/>
          <w:szCs w:val="24"/>
          <w:lang w:val="en-US"/>
        </w:rPr>
        <w:t>runs quickly on a CPU and thus provides an efficient implementation for real-time applications critical to</w:t>
      </w:r>
      <w:r w:rsidRPr="00765BA1">
        <w:rPr>
          <w:sz w:val="22"/>
          <w:szCs w:val="24"/>
          <w:lang w:val="en-US"/>
        </w:rPr>
        <w:t xml:space="preserve"> large infrastructure systems.</w:t>
      </w:r>
    </w:p>
    <w:p w14:paraId="33A12FB6" w14:textId="77777777" w:rsidR="004536FA" w:rsidRPr="00765BA1" w:rsidRDefault="004536FA" w:rsidP="00765BA1">
      <w:pPr>
        <w:spacing w:before="100" w:beforeAutospacing="1" w:after="100" w:afterAutospacing="1"/>
        <w:jc w:val="both"/>
        <w:rPr>
          <w:sz w:val="22"/>
          <w:szCs w:val="24"/>
          <w:lang w:val="en-US"/>
        </w:rPr>
      </w:pPr>
    </w:p>
    <w:p w14:paraId="0D71AA1F" w14:textId="77777777" w:rsidR="00043AF4" w:rsidRPr="00051C7D" w:rsidRDefault="00043AF4" w:rsidP="00043AF4">
      <w:pPr>
        <w:pStyle w:val="Heading3"/>
        <w:spacing w:before="0" w:after="60"/>
        <w:ind w:firstLine="0"/>
        <w:rPr>
          <w:sz w:val="22"/>
          <w:szCs w:val="22"/>
        </w:rPr>
      </w:pPr>
      <w:r w:rsidRPr="00051C7D">
        <w:rPr>
          <w:sz w:val="22"/>
          <w:szCs w:val="22"/>
        </w:rPr>
        <w:t>3.</w:t>
      </w:r>
      <w:r>
        <w:rPr>
          <w:sz w:val="22"/>
          <w:szCs w:val="22"/>
        </w:rPr>
        <w:t>4</w:t>
      </w:r>
      <w:r w:rsidRPr="00051C7D">
        <w:rPr>
          <w:sz w:val="22"/>
          <w:szCs w:val="22"/>
        </w:rPr>
        <w:t xml:space="preserve"> Scope and limitations</w:t>
      </w:r>
    </w:p>
    <w:p w14:paraId="1D6BB22D" w14:textId="537794B9" w:rsidR="00043AF4" w:rsidRPr="00765BA1" w:rsidRDefault="00765BA1" w:rsidP="00765BA1">
      <w:pPr>
        <w:spacing w:before="100" w:beforeAutospacing="1" w:after="100" w:afterAutospacing="1"/>
        <w:jc w:val="both"/>
        <w:rPr>
          <w:sz w:val="22"/>
          <w:szCs w:val="24"/>
          <w:lang w:val="en-US"/>
        </w:rPr>
      </w:pPr>
      <w:r w:rsidRPr="00765BA1">
        <w:rPr>
          <w:sz w:val="22"/>
          <w:szCs w:val="24"/>
          <w:lang w:val="en-US"/>
        </w:rPr>
        <w:t>We demonstrate a proof of concept that the stochastic PINN can indeed faithfully recover consolidation parameters from sparse, noisy data whilst adhering to the governing physics. The results reaffirm that the core method is validated, with simplified assumptions limiting its field applications</w:t>
      </w:r>
      <w:r w:rsidR="00B023B6">
        <w:rPr>
          <w:sz w:val="22"/>
          <w:szCs w:val="24"/>
          <w:lang w:val="en-US"/>
        </w:rPr>
        <w:t>. This study is limited to a simplified one-dimensional consolidation problem and validated with synthetic data. The methodology assumes homogeneous soil conditions and ideal boundary conditions. That may not describe field complexity. For uncertainty quantification, we use approximate Bayesian inference. Future research will be conducted with complete probabilistic methods. Additionally, validation will be with real field data.</w:t>
      </w: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87"/>
        <w:gridCol w:w="4678"/>
      </w:tblGrid>
      <w:tr w:rsidR="007F6AC8" w:rsidRPr="005003FE" w14:paraId="061AA357" w14:textId="77777777" w:rsidTr="00043AF4">
        <w:trPr>
          <w:trHeight w:val="4388"/>
        </w:trPr>
        <w:tc>
          <w:tcPr>
            <w:tcW w:w="4791" w:type="dxa"/>
            <w:tcBorders>
              <w:top w:val="nil"/>
              <w:left w:val="nil"/>
              <w:bottom w:val="nil"/>
              <w:right w:val="nil"/>
            </w:tcBorders>
          </w:tcPr>
          <w:p w14:paraId="5C3BEC99" w14:textId="552630BD" w:rsidR="007F6AC8" w:rsidRPr="005003FE" w:rsidRDefault="00D10E51" w:rsidP="0038533F">
            <w:pPr>
              <w:spacing w:after="160"/>
              <w:jc w:val="both"/>
              <w:rPr>
                <w:sz w:val="22"/>
              </w:rPr>
            </w:pPr>
            <w:r w:rsidRPr="005003FE">
              <w:rPr>
                <w:noProof/>
                <w:sz w:val="22"/>
              </w:rPr>
              <w:drawing>
                <wp:anchor distT="0" distB="0" distL="114300" distR="114300" simplePos="0" relativeHeight="251657216" behindDoc="0" locked="0" layoutInCell="1" allowOverlap="1" wp14:anchorId="4609AD12" wp14:editId="7C416DB1">
                  <wp:simplePos x="0" y="0"/>
                  <wp:positionH relativeFrom="margin">
                    <wp:posOffset>-11430</wp:posOffset>
                  </wp:positionH>
                  <wp:positionV relativeFrom="margin">
                    <wp:posOffset>67310</wp:posOffset>
                  </wp:positionV>
                  <wp:extent cx="3029585" cy="2460625"/>
                  <wp:effectExtent l="0" t="0" r="0" b="0"/>
                  <wp:wrapSquare wrapText="bothSides"/>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29585" cy="2460625"/>
                          </a:xfrm>
                          <a:prstGeom prst="rect">
                            <a:avLst/>
                          </a:prstGeom>
                          <a:noFill/>
                          <a:ln>
                            <a:noFill/>
                          </a:ln>
                        </pic:spPr>
                      </pic:pic>
                    </a:graphicData>
                  </a:graphic>
                  <wp14:sizeRelH relativeFrom="page">
                    <wp14:pctWidth>0</wp14:pctWidth>
                  </wp14:sizeRelH>
                  <wp14:sizeRelV relativeFrom="page">
                    <wp14:pctHeight>0</wp14:pctHeight>
                  </wp14:sizeRelV>
                </wp:anchor>
              </w:drawing>
            </w:r>
            <w:r w:rsidR="007B1610" w:rsidRPr="005003FE">
              <w:rPr>
                <w:sz w:val="22"/>
              </w:rPr>
              <w:t xml:space="preserve">Figure </w:t>
            </w:r>
            <w:r w:rsidR="0008570F" w:rsidRPr="005003FE">
              <w:rPr>
                <w:sz w:val="22"/>
              </w:rPr>
              <w:t>5</w:t>
            </w:r>
            <w:r w:rsidR="007B1610" w:rsidRPr="005003FE">
              <w:rPr>
                <w:sz w:val="22"/>
              </w:rPr>
              <w:t xml:space="preserve">: </w:t>
            </w:r>
            <w:r w:rsidR="0038533F" w:rsidRPr="0038533F">
              <w:rPr>
                <w:sz w:val="22"/>
              </w:rPr>
              <w:t>MC-dropout uncertainty map over depth and time, highlighting regions where more data is needed to improve confidence.</w:t>
            </w:r>
          </w:p>
        </w:tc>
        <w:tc>
          <w:tcPr>
            <w:tcW w:w="4494" w:type="dxa"/>
            <w:tcBorders>
              <w:top w:val="nil"/>
              <w:left w:val="nil"/>
              <w:bottom w:val="nil"/>
              <w:right w:val="nil"/>
            </w:tcBorders>
          </w:tcPr>
          <w:p w14:paraId="01F09898" w14:textId="5F3E45EF" w:rsidR="007F6AC8" w:rsidRPr="007B1610" w:rsidRDefault="00D10E51" w:rsidP="0038533F">
            <w:pPr>
              <w:spacing w:after="160"/>
              <w:jc w:val="both"/>
            </w:pPr>
            <w:r w:rsidRPr="007B1610">
              <w:rPr>
                <w:noProof/>
              </w:rPr>
              <w:drawing>
                <wp:anchor distT="0" distB="0" distL="114300" distR="114300" simplePos="0" relativeHeight="251658240" behindDoc="0" locked="0" layoutInCell="1" allowOverlap="1" wp14:anchorId="751A1D8D" wp14:editId="05ECACFA">
                  <wp:simplePos x="0" y="0"/>
                  <wp:positionH relativeFrom="margin">
                    <wp:posOffset>-38100</wp:posOffset>
                  </wp:positionH>
                  <wp:positionV relativeFrom="margin">
                    <wp:posOffset>40005</wp:posOffset>
                  </wp:positionV>
                  <wp:extent cx="2833370" cy="2486025"/>
                  <wp:effectExtent l="0" t="0" r="0" b="0"/>
                  <wp:wrapSquare wrapText="bothSides"/>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3370" cy="2486025"/>
                          </a:xfrm>
                          <a:prstGeom prst="rect">
                            <a:avLst/>
                          </a:prstGeom>
                          <a:noFill/>
                          <a:ln>
                            <a:noFill/>
                          </a:ln>
                        </pic:spPr>
                      </pic:pic>
                    </a:graphicData>
                  </a:graphic>
                  <wp14:sizeRelH relativeFrom="page">
                    <wp14:pctWidth>0</wp14:pctWidth>
                  </wp14:sizeRelH>
                  <wp14:sizeRelV relativeFrom="page">
                    <wp14:pctHeight>0</wp14:pctHeight>
                  </wp14:sizeRelV>
                </wp:anchor>
              </w:drawing>
            </w:r>
            <w:r w:rsidR="007B1610" w:rsidRPr="007B1610">
              <w:t xml:space="preserve">Figure </w:t>
            </w:r>
            <w:r w:rsidR="0008570F">
              <w:t>6</w:t>
            </w:r>
            <w:r w:rsidR="007B1610" w:rsidRPr="007B1610">
              <w:t xml:space="preserve">: </w:t>
            </w:r>
            <w:r w:rsidR="0038533F" w:rsidRPr="0038533F">
              <w:t>Absolute error map of the PINN compared to the analytical solution, showing higher errors near early-time and boundary regions, and lower error across most of the interior.</w:t>
            </w:r>
          </w:p>
        </w:tc>
      </w:tr>
    </w:tbl>
    <w:p w14:paraId="06D01B05" w14:textId="77777777" w:rsidR="00EF07BA" w:rsidRDefault="00EF07BA" w:rsidP="00EF07BA">
      <w:pPr>
        <w:pStyle w:val="StilHeadingMajor12pct"/>
        <w:numPr>
          <w:ilvl w:val="0"/>
          <w:numId w:val="0"/>
        </w:numPr>
        <w:spacing w:before="0"/>
        <w:rPr>
          <w:sz w:val="22"/>
          <w:szCs w:val="22"/>
        </w:rPr>
      </w:pPr>
    </w:p>
    <w:p w14:paraId="3013E8BB" w14:textId="77777777" w:rsidR="001E5253" w:rsidRPr="001E5253" w:rsidRDefault="001E5253" w:rsidP="001E5253">
      <w:pPr>
        <w:pStyle w:val="Textbloc"/>
      </w:pPr>
    </w:p>
    <w:p w14:paraId="338A00D6" w14:textId="6ACE48EA" w:rsidR="00AC55DF" w:rsidRPr="00CF7CB8" w:rsidRDefault="00051C7D" w:rsidP="00C07329">
      <w:pPr>
        <w:pStyle w:val="StilHeadingMajor12pct"/>
        <w:spacing w:before="0"/>
        <w:rPr>
          <w:sz w:val="22"/>
          <w:szCs w:val="22"/>
        </w:rPr>
      </w:pPr>
      <w:r w:rsidRPr="00CF7CB8">
        <w:rPr>
          <w:sz w:val="22"/>
          <w:szCs w:val="22"/>
        </w:rPr>
        <w:t>Conclusion</w:t>
      </w:r>
    </w:p>
    <w:p w14:paraId="026E68FA" w14:textId="18B4B8F8" w:rsidR="0053038A" w:rsidRPr="0053038A" w:rsidRDefault="001E5253" w:rsidP="0053038A">
      <w:pPr>
        <w:pStyle w:val="BodyText0"/>
      </w:pPr>
      <w:r>
        <w:t>In this research, we</w:t>
      </w:r>
      <w:r w:rsidR="0053038A" w:rsidRPr="0053038A">
        <w:t xml:space="preserve"> have shown that an uncertainty-aware PINN can effectively extract consolidation parameters from only a few noisy sensor readings</w:t>
      </w:r>
      <w:r>
        <w:t xml:space="preserve"> while remaining</w:t>
      </w:r>
      <w:r w:rsidR="0053038A" w:rsidRPr="0053038A">
        <w:t xml:space="preserve"> consistent with the underlying governing physics. Despite limited data, the model recovered the crucial parameter almost exactly at the true value and generated excellent predictive power throughout (most of) its range. More importantly, it </w:t>
      </w:r>
      <w:r>
        <w:t>not only provided a single answer but also</w:t>
      </w:r>
      <w:r w:rsidR="0053038A" w:rsidRPr="0053038A">
        <w:t xml:space="preserve"> indicated where the predictions are more or less reliable. Together, these results indicate that </w:t>
      </w:r>
      <w:r>
        <w:t xml:space="preserve">this type of physics-informed machine learning may be a feasible and pragmatic </w:t>
      </w:r>
      <w:r w:rsidR="008F0D1F">
        <w:t xml:space="preserve">tool for geotechnical interpretation </w:t>
      </w:r>
      <w:r w:rsidR="0053038A" w:rsidRPr="0053038A">
        <w:t>when full-field testing is out of reach. This framework could enable systems for monitoring and digital twins in working locations like Chittagong</w:t>
      </w:r>
      <w:r>
        <w:t>, where smart, high-speed yet low-data decision-making is of</w:t>
      </w:r>
      <w:r w:rsidR="0053038A" w:rsidRPr="0053038A">
        <w:t xml:space="preserve"> supreme importance. That would be the next step</w:t>
      </w:r>
      <w:r>
        <w:t>:</w:t>
      </w:r>
      <w:r w:rsidR="0053038A" w:rsidRPr="0053038A">
        <w:t xml:space="preserve"> to test it first </w:t>
      </w:r>
      <w:r>
        <w:t>under complex soil conditions</w:t>
      </w:r>
      <w:r w:rsidR="008F0D1F">
        <w:t xml:space="preserve"> and, ideally, with field data as well. This</w:t>
      </w:r>
      <w:r w:rsidR="0053038A" w:rsidRPr="0053038A">
        <w:t xml:space="preserve"> application is a </w:t>
      </w:r>
      <w:r>
        <w:t>significant</w:t>
      </w:r>
      <w:r w:rsidR="0053038A" w:rsidRPr="0053038A">
        <w:t xml:space="preserve"> first demonstration of the approach</w:t>
      </w:r>
      <w:r>
        <w:t xml:space="preserve"> to the paradigm</w:t>
      </w:r>
      <w:r w:rsidR="0053038A" w:rsidRPr="0053038A">
        <w:t>.</w:t>
      </w:r>
    </w:p>
    <w:bookmarkEnd w:id="0"/>
    <w:bookmarkEnd w:id="1"/>
    <w:p w14:paraId="6AD3364E" w14:textId="77777777" w:rsidR="00C07329" w:rsidRDefault="00C07329" w:rsidP="00DA3C5C">
      <w:pPr>
        <w:pStyle w:val="SECTIONWITHOUTNUMBER"/>
      </w:pPr>
    </w:p>
    <w:p w14:paraId="746355AC" w14:textId="564D3410" w:rsidR="001509C2" w:rsidRPr="00DA3C5C" w:rsidRDefault="001509C2" w:rsidP="00DA3C5C">
      <w:pPr>
        <w:pStyle w:val="SECTIONWITHOUTNUMBER"/>
      </w:pPr>
      <w:r w:rsidRPr="00DA3C5C">
        <w:t>REFERENCES</w:t>
      </w:r>
    </w:p>
    <w:p w14:paraId="45D32332" w14:textId="77777777" w:rsidR="004B1EAA" w:rsidRPr="000B0EF8" w:rsidRDefault="00214B6A" w:rsidP="001E5253">
      <w:pPr>
        <w:pStyle w:val="Bibliography"/>
        <w:spacing w:line="240" w:lineRule="auto"/>
        <w:jc w:val="both"/>
        <w:rPr>
          <w:sz w:val="22"/>
          <w:szCs w:val="22"/>
        </w:rPr>
      </w:pPr>
      <w:r w:rsidRPr="000B0EF8">
        <w:rPr>
          <w:sz w:val="22"/>
          <w:szCs w:val="22"/>
        </w:rPr>
        <w:fldChar w:fldCharType="begin"/>
      </w:r>
      <w:r w:rsidRPr="000B0EF8">
        <w:rPr>
          <w:sz w:val="22"/>
          <w:szCs w:val="22"/>
        </w:rPr>
        <w:instrText xml:space="preserve"> ADDIN ZOTERO_BIBL {"uncited":[],"omitted":[],"custom":[]} CSL_BIBLIOGRAPHY </w:instrText>
      </w:r>
      <w:r w:rsidRPr="000B0EF8">
        <w:rPr>
          <w:sz w:val="22"/>
          <w:szCs w:val="22"/>
        </w:rPr>
        <w:fldChar w:fldCharType="separate"/>
      </w:r>
      <w:r w:rsidR="004B1EAA" w:rsidRPr="000B0EF8">
        <w:rPr>
          <w:sz w:val="22"/>
          <w:szCs w:val="22"/>
        </w:rPr>
        <w:t xml:space="preserve">C, Y. U., Prasanna, H. S., &amp; Anil, U. (2026). A physics-informed neural network framework for consolidation parameter prediction using controlled clay-sand mixtures. </w:t>
      </w:r>
      <w:r w:rsidR="004B1EAA" w:rsidRPr="000B0EF8">
        <w:rPr>
          <w:i/>
          <w:iCs/>
          <w:sz w:val="22"/>
          <w:szCs w:val="22"/>
        </w:rPr>
        <w:t>Results in Engineering</w:t>
      </w:r>
      <w:r w:rsidR="004B1EAA" w:rsidRPr="000B0EF8">
        <w:rPr>
          <w:sz w:val="22"/>
          <w:szCs w:val="22"/>
        </w:rPr>
        <w:t xml:space="preserve">, </w:t>
      </w:r>
      <w:r w:rsidR="004B1EAA" w:rsidRPr="000B0EF8">
        <w:rPr>
          <w:i/>
          <w:iCs/>
          <w:sz w:val="22"/>
          <w:szCs w:val="22"/>
        </w:rPr>
        <w:t>29</w:t>
      </w:r>
      <w:r w:rsidR="004B1EAA" w:rsidRPr="000B0EF8">
        <w:rPr>
          <w:sz w:val="22"/>
          <w:szCs w:val="22"/>
        </w:rPr>
        <w:t>, 109255–109255. https://doi.org/10.1016/j.rineng.2026.109255</w:t>
      </w:r>
    </w:p>
    <w:p w14:paraId="4FFA14D9" w14:textId="77777777" w:rsidR="004B1EAA" w:rsidRPr="000B0EF8" w:rsidRDefault="004B1EAA" w:rsidP="001E5253">
      <w:pPr>
        <w:pStyle w:val="Bibliography"/>
        <w:spacing w:line="240" w:lineRule="auto"/>
        <w:jc w:val="both"/>
        <w:rPr>
          <w:sz w:val="22"/>
          <w:szCs w:val="22"/>
        </w:rPr>
      </w:pPr>
      <w:r w:rsidRPr="000B0EF8">
        <w:rPr>
          <w:sz w:val="22"/>
          <w:szCs w:val="22"/>
        </w:rPr>
        <w:t xml:space="preserve">Cao, Z.-J., Zheng, S., Li, D., &amp; Phoon, K.-K. (2018). Bayesian identification of soil stratigraphy based on soil behaviour type index. </w:t>
      </w:r>
      <w:r w:rsidRPr="000B0EF8">
        <w:rPr>
          <w:i/>
          <w:iCs/>
          <w:sz w:val="22"/>
          <w:szCs w:val="22"/>
        </w:rPr>
        <w:t>Canadian Geotechnical Journal</w:t>
      </w:r>
      <w:r w:rsidRPr="000B0EF8">
        <w:rPr>
          <w:sz w:val="22"/>
          <w:szCs w:val="22"/>
        </w:rPr>
        <w:t xml:space="preserve">, </w:t>
      </w:r>
      <w:r w:rsidRPr="000B0EF8">
        <w:rPr>
          <w:i/>
          <w:iCs/>
          <w:sz w:val="22"/>
          <w:szCs w:val="22"/>
        </w:rPr>
        <w:t>56</w:t>
      </w:r>
      <w:r w:rsidRPr="000B0EF8">
        <w:rPr>
          <w:sz w:val="22"/>
          <w:szCs w:val="22"/>
        </w:rPr>
        <w:t>(4), 570–586. https://doi.org/10.1139/cgj-2017-0714</w:t>
      </w:r>
    </w:p>
    <w:p w14:paraId="47FEA0F3" w14:textId="77777777" w:rsidR="004B1EAA" w:rsidRPr="000B0EF8" w:rsidRDefault="004B1EAA" w:rsidP="001E5253">
      <w:pPr>
        <w:pStyle w:val="Bibliography"/>
        <w:spacing w:line="240" w:lineRule="auto"/>
        <w:jc w:val="both"/>
        <w:rPr>
          <w:sz w:val="22"/>
          <w:szCs w:val="22"/>
        </w:rPr>
      </w:pPr>
      <w:r w:rsidRPr="000B0EF8">
        <w:rPr>
          <w:sz w:val="22"/>
          <w:szCs w:val="22"/>
        </w:rPr>
        <w:t xml:space="preserve">Gal, Y., &amp; Ghahramani, Z. (2015). Dropout as a Bayesian Approximation: Representing Model Uncertainty in Deep Learning. </w:t>
      </w:r>
      <w:r w:rsidRPr="000B0EF8">
        <w:rPr>
          <w:i/>
          <w:iCs/>
          <w:sz w:val="22"/>
          <w:szCs w:val="22"/>
        </w:rPr>
        <w:t>arXiv (Cornell University)</w:t>
      </w:r>
      <w:r w:rsidRPr="000B0EF8">
        <w:rPr>
          <w:sz w:val="22"/>
          <w:szCs w:val="22"/>
        </w:rPr>
        <w:t>. https://doi.org/10.48550/arxiv.1506.02142</w:t>
      </w:r>
    </w:p>
    <w:p w14:paraId="0E715522" w14:textId="77777777" w:rsidR="004B1EAA" w:rsidRPr="000B0EF8" w:rsidRDefault="004B1EAA" w:rsidP="001E5253">
      <w:pPr>
        <w:pStyle w:val="Bibliography"/>
        <w:spacing w:line="240" w:lineRule="auto"/>
        <w:jc w:val="both"/>
        <w:rPr>
          <w:sz w:val="22"/>
          <w:szCs w:val="22"/>
        </w:rPr>
      </w:pPr>
      <w:r w:rsidRPr="000B0EF8">
        <w:rPr>
          <w:sz w:val="22"/>
          <w:szCs w:val="22"/>
        </w:rPr>
        <w:t xml:space="preserve">Murad, G., Rahman, M. A., Srabony, S., &amp; Mahmud, S. (2026). </w:t>
      </w:r>
      <w:r w:rsidRPr="000B0EF8">
        <w:rPr>
          <w:i/>
          <w:iCs/>
          <w:sz w:val="22"/>
          <w:szCs w:val="22"/>
        </w:rPr>
        <w:t>Uncertainty-Aware Bayesian Machine Learning for Landslide Susceptibility Mapping: In the Chattogram Metropolitan Hill System, Bangladesh</w:t>
      </w:r>
      <w:r w:rsidRPr="000B0EF8">
        <w:rPr>
          <w:sz w:val="22"/>
          <w:szCs w:val="22"/>
        </w:rPr>
        <w:t>. https://doi.org/10.31223/x55j40</w:t>
      </w:r>
    </w:p>
    <w:p w14:paraId="2CDBBE70" w14:textId="77777777" w:rsidR="004B1EAA" w:rsidRPr="000B0EF8" w:rsidRDefault="004B1EAA" w:rsidP="001E5253">
      <w:pPr>
        <w:pStyle w:val="Bibliography"/>
        <w:spacing w:line="240" w:lineRule="auto"/>
        <w:jc w:val="both"/>
        <w:rPr>
          <w:sz w:val="22"/>
          <w:szCs w:val="22"/>
        </w:rPr>
      </w:pPr>
      <w:r w:rsidRPr="000B0EF8">
        <w:rPr>
          <w:sz w:val="22"/>
          <w:szCs w:val="22"/>
        </w:rPr>
        <w:t xml:space="preserve">Rao, C., Ren, P., Wang, Q., Büyüköztürk, O., Sun, H., &amp; Liu, Y. (2023). Encoding physics to learn reaction–diffusion processes. </w:t>
      </w:r>
      <w:r w:rsidRPr="000B0EF8">
        <w:rPr>
          <w:i/>
          <w:iCs/>
          <w:sz w:val="22"/>
          <w:szCs w:val="22"/>
        </w:rPr>
        <w:t>Nature Machine Intelligence</w:t>
      </w:r>
      <w:r w:rsidRPr="000B0EF8">
        <w:rPr>
          <w:sz w:val="22"/>
          <w:szCs w:val="22"/>
        </w:rPr>
        <w:t xml:space="preserve">, </w:t>
      </w:r>
      <w:r w:rsidRPr="000B0EF8">
        <w:rPr>
          <w:i/>
          <w:iCs/>
          <w:sz w:val="22"/>
          <w:szCs w:val="22"/>
        </w:rPr>
        <w:t>5</w:t>
      </w:r>
      <w:r w:rsidRPr="000B0EF8">
        <w:rPr>
          <w:sz w:val="22"/>
          <w:szCs w:val="22"/>
        </w:rPr>
        <w:t>(7), 765–779. https://doi.org/10.1038/s42256-023-00685-7</w:t>
      </w:r>
    </w:p>
    <w:p w14:paraId="0525944D" w14:textId="77777777" w:rsidR="004B1EAA" w:rsidRPr="000B0EF8" w:rsidRDefault="004B1EAA" w:rsidP="001E5253">
      <w:pPr>
        <w:pStyle w:val="Bibliography"/>
        <w:spacing w:line="240" w:lineRule="auto"/>
        <w:jc w:val="both"/>
        <w:rPr>
          <w:sz w:val="22"/>
          <w:szCs w:val="22"/>
        </w:rPr>
      </w:pPr>
      <w:r w:rsidRPr="000B0EF8">
        <w:rPr>
          <w:sz w:val="22"/>
          <w:szCs w:val="22"/>
        </w:rPr>
        <w:t xml:space="preserve">Singh, G., Moncrieff, G. R., Venter, Z. S., Cawse‐Nicholson, K., Slingsby, J. A., &amp; Robinson, T. B. (2024). Uncertainty quantification for probabilistic machine learning in earth observation using conformal prediction. </w:t>
      </w:r>
      <w:r w:rsidRPr="000B0EF8">
        <w:rPr>
          <w:i/>
          <w:iCs/>
          <w:sz w:val="22"/>
          <w:szCs w:val="22"/>
        </w:rPr>
        <w:t>Scientific Reports</w:t>
      </w:r>
      <w:r w:rsidRPr="000B0EF8">
        <w:rPr>
          <w:sz w:val="22"/>
          <w:szCs w:val="22"/>
        </w:rPr>
        <w:t xml:space="preserve">, </w:t>
      </w:r>
      <w:r w:rsidRPr="000B0EF8">
        <w:rPr>
          <w:i/>
          <w:iCs/>
          <w:sz w:val="22"/>
          <w:szCs w:val="22"/>
        </w:rPr>
        <w:t>14</w:t>
      </w:r>
      <w:r w:rsidRPr="000B0EF8">
        <w:rPr>
          <w:sz w:val="22"/>
          <w:szCs w:val="22"/>
        </w:rPr>
        <w:t>(1). https://doi.org/10.1038/s41598-024-65954-w</w:t>
      </w:r>
    </w:p>
    <w:p w14:paraId="0DB6F7A3" w14:textId="77777777" w:rsidR="004B1EAA" w:rsidRPr="000B0EF8" w:rsidRDefault="004B1EAA" w:rsidP="001E5253">
      <w:pPr>
        <w:pStyle w:val="Bibliography"/>
        <w:spacing w:line="240" w:lineRule="auto"/>
        <w:jc w:val="both"/>
        <w:rPr>
          <w:sz w:val="22"/>
          <w:szCs w:val="22"/>
        </w:rPr>
      </w:pPr>
      <w:r w:rsidRPr="000B0EF8">
        <w:rPr>
          <w:sz w:val="22"/>
          <w:szCs w:val="22"/>
        </w:rPr>
        <w:t xml:space="preserve">Slater, L., Arnal, L., Boucher, M.-A., Chang, A. Y.-Y., Moulds, S., Murphy, C., Nearing, G., Shalev, G., Shen, C., Speight, L., Villarini, G., Wilby, R. L., Wood, A. W., &amp; Zappa, M. (2023). Hybrid forecasting: Blending climate predictions with AI models. </w:t>
      </w:r>
      <w:r w:rsidRPr="000B0EF8">
        <w:rPr>
          <w:i/>
          <w:iCs/>
          <w:sz w:val="22"/>
          <w:szCs w:val="22"/>
        </w:rPr>
        <w:t>Hydrology and Earth System Sciences</w:t>
      </w:r>
      <w:r w:rsidRPr="000B0EF8">
        <w:rPr>
          <w:sz w:val="22"/>
          <w:szCs w:val="22"/>
        </w:rPr>
        <w:t xml:space="preserve">, </w:t>
      </w:r>
      <w:r w:rsidRPr="000B0EF8">
        <w:rPr>
          <w:i/>
          <w:iCs/>
          <w:sz w:val="22"/>
          <w:szCs w:val="22"/>
        </w:rPr>
        <w:t>27</w:t>
      </w:r>
      <w:r w:rsidRPr="000B0EF8">
        <w:rPr>
          <w:sz w:val="22"/>
          <w:szCs w:val="22"/>
        </w:rPr>
        <w:t>(9), 1865–1889. https://doi.org/10.5194/hess-27-1865-2023</w:t>
      </w:r>
    </w:p>
    <w:p w14:paraId="3F46DB64" w14:textId="77777777" w:rsidR="004B1EAA" w:rsidRPr="000B0EF8" w:rsidRDefault="004B1EAA" w:rsidP="001E5253">
      <w:pPr>
        <w:pStyle w:val="Bibliography"/>
        <w:spacing w:line="240" w:lineRule="auto"/>
        <w:jc w:val="both"/>
        <w:rPr>
          <w:sz w:val="22"/>
          <w:szCs w:val="22"/>
        </w:rPr>
      </w:pPr>
      <w:r w:rsidRPr="000B0EF8">
        <w:rPr>
          <w:sz w:val="22"/>
          <w:szCs w:val="22"/>
        </w:rPr>
        <w:t xml:space="preserve">Sun, L., Hu, Z., &amp; Todd, M. D. (2025). Normalizing Flow Enhanced Global and Local Sampler for Bayesian Parameter Updating and State Estimation in Finite Element Models. </w:t>
      </w:r>
      <w:r w:rsidRPr="000B0EF8">
        <w:rPr>
          <w:i/>
          <w:iCs/>
          <w:sz w:val="22"/>
          <w:szCs w:val="22"/>
        </w:rPr>
        <w:t>Journal of Mechanical Design</w:t>
      </w:r>
      <w:r w:rsidRPr="000B0EF8">
        <w:rPr>
          <w:sz w:val="22"/>
          <w:szCs w:val="22"/>
        </w:rPr>
        <w:t xml:space="preserve">, </w:t>
      </w:r>
      <w:r w:rsidRPr="000B0EF8">
        <w:rPr>
          <w:i/>
          <w:iCs/>
          <w:sz w:val="22"/>
          <w:szCs w:val="22"/>
        </w:rPr>
        <w:t>148</w:t>
      </w:r>
      <w:r w:rsidRPr="000B0EF8">
        <w:rPr>
          <w:sz w:val="22"/>
          <w:szCs w:val="22"/>
        </w:rPr>
        <w:t>(2). https://doi.org/10.1115/1.4070208</w:t>
      </w:r>
    </w:p>
    <w:p w14:paraId="1C5B677E" w14:textId="77777777" w:rsidR="004B1EAA" w:rsidRPr="000B0EF8" w:rsidRDefault="004B1EAA" w:rsidP="001E5253">
      <w:pPr>
        <w:pStyle w:val="Bibliography"/>
        <w:spacing w:line="240" w:lineRule="auto"/>
        <w:jc w:val="both"/>
        <w:rPr>
          <w:sz w:val="22"/>
          <w:szCs w:val="22"/>
        </w:rPr>
      </w:pPr>
      <w:r w:rsidRPr="000B0EF8">
        <w:rPr>
          <w:sz w:val="22"/>
          <w:szCs w:val="22"/>
        </w:rPr>
        <w:t xml:space="preserve">Terzaghi, K. (1943). </w:t>
      </w:r>
      <w:r w:rsidRPr="000B0EF8">
        <w:rPr>
          <w:i/>
          <w:iCs/>
          <w:sz w:val="22"/>
          <w:szCs w:val="22"/>
        </w:rPr>
        <w:t>Theoretical Soil Mechanics</w:t>
      </w:r>
      <w:r w:rsidRPr="000B0EF8">
        <w:rPr>
          <w:sz w:val="22"/>
          <w:szCs w:val="22"/>
        </w:rPr>
        <w:t>. https://doi.org/10.1002/9780470172766</w:t>
      </w:r>
    </w:p>
    <w:p w14:paraId="799E1048" w14:textId="77777777" w:rsidR="004B1EAA" w:rsidRPr="000B0EF8" w:rsidRDefault="004B1EAA" w:rsidP="001E5253">
      <w:pPr>
        <w:pStyle w:val="Bibliography"/>
        <w:spacing w:line="240" w:lineRule="auto"/>
        <w:jc w:val="both"/>
        <w:rPr>
          <w:sz w:val="22"/>
          <w:szCs w:val="22"/>
        </w:rPr>
      </w:pPr>
      <w:r w:rsidRPr="000B0EF8">
        <w:rPr>
          <w:sz w:val="22"/>
          <w:szCs w:val="22"/>
        </w:rPr>
        <w:t xml:space="preserve">Wu, W., Daneker, M., Jolley, M. A., Turner, K. T., &amp; Lu, L. (2023). Effective data sampling strategies and boundary condition constraints of physics-informed neural networks for identifying material properties in solid mechanics. </w:t>
      </w:r>
      <w:r w:rsidRPr="000B0EF8">
        <w:rPr>
          <w:i/>
          <w:iCs/>
          <w:sz w:val="22"/>
          <w:szCs w:val="22"/>
        </w:rPr>
        <w:t>Applied Mathematics and Mechanics</w:t>
      </w:r>
      <w:r w:rsidRPr="000B0EF8">
        <w:rPr>
          <w:sz w:val="22"/>
          <w:szCs w:val="22"/>
        </w:rPr>
        <w:t xml:space="preserve">, </w:t>
      </w:r>
      <w:r w:rsidRPr="000B0EF8">
        <w:rPr>
          <w:i/>
          <w:iCs/>
          <w:sz w:val="22"/>
          <w:szCs w:val="22"/>
        </w:rPr>
        <w:t>44</w:t>
      </w:r>
      <w:r w:rsidRPr="000B0EF8">
        <w:rPr>
          <w:sz w:val="22"/>
          <w:szCs w:val="22"/>
        </w:rPr>
        <w:t>(7), 1039–1068. https://doi.org/10.1007/s10483-023-2995-8</w:t>
      </w:r>
    </w:p>
    <w:p w14:paraId="3FE38D3F" w14:textId="77777777" w:rsidR="004B1EAA" w:rsidRPr="000B0EF8" w:rsidRDefault="004B1EAA" w:rsidP="001E5253">
      <w:pPr>
        <w:pStyle w:val="Bibliography"/>
        <w:spacing w:line="240" w:lineRule="auto"/>
        <w:jc w:val="both"/>
        <w:rPr>
          <w:sz w:val="22"/>
          <w:szCs w:val="22"/>
        </w:rPr>
      </w:pPr>
      <w:r w:rsidRPr="000B0EF8">
        <w:rPr>
          <w:sz w:val="22"/>
          <w:szCs w:val="22"/>
        </w:rPr>
        <w:t xml:space="preserve">Zhu, Y., Zabaras, N., Koutsourelakis, P.-S., &amp; Perdikaris, P. (2019). Physics-constrained deep learning for high-dimensional surrogate modeling and uncertainty quantification without labeled data. </w:t>
      </w:r>
      <w:r w:rsidRPr="000B0EF8">
        <w:rPr>
          <w:i/>
          <w:iCs/>
          <w:sz w:val="22"/>
          <w:szCs w:val="22"/>
        </w:rPr>
        <w:t>Journal of Computational Physics</w:t>
      </w:r>
      <w:r w:rsidRPr="000B0EF8">
        <w:rPr>
          <w:sz w:val="22"/>
          <w:szCs w:val="22"/>
        </w:rPr>
        <w:t xml:space="preserve">, </w:t>
      </w:r>
      <w:r w:rsidRPr="000B0EF8">
        <w:rPr>
          <w:i/>
          <w:iCs/>
          <w:sz w:val="22"/>
          <w:szCs w:val="22"/>
        </w:rPr>
        <w:t>394</w:t>
      </w:r>
      <w:r w:rsidRPr="000B0EF8">
        <w:rPr>
          <w:sz w:val="22"/>
          <w:szCs w:val="22"/>
        </w:rPr>
        <w:t>, 56–81. https://doi.org/10.1016/j.jcp.2019.05.024</w:t>
      </w:r>
    </w:p>
    <w:p w14:paraId="48771446" w14:textId="1D00483F" w:rsidR="00051C7D" w:rsidRPr="000B0EF8" w:rsidRDefault="00214B6A" w:rsidP="001E5253">
      <w:pPr>
        <w:pStyle w:val="biblio"/>
        <w:ind w:left="0" w:firstLine="0"/>
        <w:rPr>
          <w:sz w:val="22"/>
          <w:szCs w:val="22"/>
        </w:rPr>
      </w:pPr>
      <w:r w:rsidRPr="000B0EF8">
        <w:rPr>
          <w:sz w:val="22"/>
          <w:szCs w:val="22"/>
        </w:rPr>
        <w:fldChar w:fldCharType="end"/>
      </w:r>
    </w:p>
    <w:sectPr w:rsidR="00051C7D" w:rsidRPr="000B0EF8" w:rsidSect="000B0EF8">
      <w:headerReference w:type="default" r:id="rId14"/>
      <w:footerReference w:type="even" r:id="rId15"/>
      <w:footerReference w:type="default" r:id="rId16"/>
      <w:headerReference w:type="first" r:id="rId17"/>
      <w:pgSz w:w="11909" w:h="16834" w:code="9"/>
      <w:pgMar w:top="1440" w:right="144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C149" w14:textId="77777777" w:rsidR="0072125D" w:rsidRDefault="0072125D">
      <w:r>
        <w:separator/>
      </w:r>
    </w:p>
  </w:endnote>
  <w:endnote w:type="continuationSeparator" w:id="0">
    <w:p w14:paraId="27E11864" w14:textId="77777777" w:rsidR="0072125D" w:rsidRDefault="007212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52E7B" w14:textId="77777777" w:rsidR="002E426C" w:rsidRDefault="002E426C" w:rsidP="00E0022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18</w:t>
    </w:r>
    <w:r>
      <w:rPr>
        <w:rStyle w:val="PageNumber"/>
        <w:noProof/>
      </w:rPr>
      <w:t>8</w:t>
    </w:r>
    <w:r>
      <w:rPr>
        <w:rStyle w:val="PageNumber"/>
      </w:rPr>
      <w:fldChar w:fldCharType="end"/>
    </w:r>
  </w:p>
  <w:p w14:paraId="4624F083" w14:textId="77777777" w:rsidR="002E426C" w:rsidRDefault="002E42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3F888" w14:textId="77777777" w:rsidR="002E426C" w:rsidRPr="001B5329" w:rsidRDefault="002E426C" w:rsidP="00A126F8">
    <w:pPr>
      <w:pStyle w:val="Footer"/>
      <w:framePr w:wrap="around" w:vAnchor="text" w:hAnchor="margin" w:xAlign="center" w:y="1"/>
      <w:rPr>
        <w:rStyle w:val="PageNumber"/>
      </w:rPr>
    </w:pPr>
    <w:r w:rsidRPr="001B5329">
      <w:rPr>
        <w:rStyle w:val="PageNumber"/>
      </w:rPr>
      <w:fldChar w:fldCharType="begin"/>
    </w:r>
    <w:r w:rsidRPr="001B5329">
      <w:rPr>
        <w:rStyle w:val="PageNumber"/>
      </w:rPr>
      <w:instrText xml:space="preserve">PAGE  </w:instrText>
    </w:r>
    <w:r w:rsidRPr="001B5329">
      <w:rPr>
        <w:rStyle w:val="PageNumber"/>
      </w:rPr>
      <w:fldChar w:fldCharType="separate"/>
    </w:r>
    <w:r w:rsidR="00FC5097">
      <w:rPr>
        <w:rStyle w:val="PageNumber"/>
        <w:noProof/>
      </w:rPr>
      <w:t>3</w:t>
    </w:r>
    <w:r w:rsidRPr="001B5329">
      <w:rPr>
        <w:rStyle w:val="PageNumber"/>
      </w:rPr>
      <w:fldChar w:fldCharType="end"/>
    </w:r>
  </w:p>
  <w:p w14:paraId="43724E4D" w14:textId="77777777" w:rsidR="002E426C" w:rsidRDefault="002E426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E62AF" w14:textId="77777777" w:rsidR="0072125D" w:rsidRDefault="0072125D">
      <w:r>
        <w:separator/>
      </w:r>
    </w:p>
  </w:footnote>
  <w:footnote w:type="continuationSeparator" w:id="0">
    <w:p w14:paraId="6667D5B7" w14:textId="77777777" w:rsidR="0072125D" w:rsidRDefault="007212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606F8" w14:textId="77777777" w:rsidR="002E426C" w:rsidRDefault="002E426C" w:rsidP="002B4D26">
    <w:pPr>
      <w:pStyle w:val="Heading4"/>
      <w:jc w:val="right"/>
      <w:rPr>
        <w:b w:val="0"/>
      </w:rPr>
    </w:pPr>
  </w:p>
  <w:p w14:paraId="67A635AD" w14:textId="77777777" w:rsidR="007F75DE" w:rsidRPr="0045190F" w:rsidRDefault="007F75DE" w:rsidP="007F75DE">
    <w:pPr>
      <w:pStyle w:val="Heading4"/>
      <w:jc w:val="right"/>
      <w:rPr>
        <w:b w:val="0"/>
      </w:rPr>
    </w:pPr>
    <w:r w:rsidRPr="0045190F">
      <w:rPr>
        <w:b w:val="0"/>
      </w:rPr>
      <w:t xml:space="preserve">Proceedings of the </w:t>
    </w:r>
    <w:r>
      <w:rPr>
        <w:b w:val="0"/>
      </w:rPr>
      <w:t>6</w:t>
    </w:r>
    <w:r w:rsidRPr="007F75DE">
      <w:rPr>
        <w:b w:val="0"/>
        <w:vertAlign w:val="superscript"/>
      </w:rPr>
      <w:t>th</w:t>
    </w:r>
    <w:r>
      <w:rPr>
        <w:b w:val="0"/>
      </w:rPr>
      <w:t xml:space="preserve"> Annual Paper Meet of Civil Engineering Division of Institutions of Engineers, Bangladesh (APMCE2026)</w:t>
    </w:r>
  </w:p>
  <w:p w14:paraId="6E662907" w14:textId="77777777" w:rsidR="007F75DE" w:rsidRPr="0045190F" w:rsidRDefault="007F75DE" w:rsidP="007F75DE">
    <w:pPr>
      <w:pStyle w:val="Heading4"/>
      <w:jc w:val="right"/>
      <w:rPr>
        <w:b w:val="0"/>
      </w:rPr>
    </w:pPr>
    <w:r>
      <w:rPr>
        <w:b w:val="0"/>
      </w:rPr>
      <w:t>1</w:t>
    </w:r>
    <w:r w:rsidR="00071772">
      <w:rPr>
        <w:b w:val="0"/>
      </w:rPr>
      <w:t>8</w:t>
    </w:r>
    <w:r>
      <w:rPr>
        <w:b w:val="0"/>
      </w:rPr>
      <w:t>-1</w:t>
    </w:r>
    <w:r w:rsidR="00071772">
      <w:rPr>
        <w:b w:val="0"/>
      </w:rPr>
      <w:t>9</w:t>
    </w:r>
    <w:r>
      <w:rPr>
        <w:b w:val="0"/>
      </w:rPr>
      <w:t xml:space="preserve"> June 2026</w:t>
    </w:r>
    <w:r w:rsidRPr="0045190F">
      <w:rPr>
        <w:b w:val="0"/>
      </w:rPr>
      <w:t xml:space="preserve">, </w:t>
    </w:r>
    <w:r>
      <w:rPr>
        <w:b w:val="0"/>
      </w:rPr>
      <w:t>IEB Headquarters, Ramna, Dhaka</w:t>
    </w:r>
    <w:r w:rsidRPr="0045190F">
      <w:rPr>
        <w:b w:val="0"/>
      </w:rPr>
      <w:t>, Bangladesh</w:t>
    </w:r>
  </w:p>
  <w:p w14:paraId="6040E30F" w14:textId="77777777" w:rsidR="007F75DE" w:rsidRPr="0045190F" w:rsidRDefault="007F75DE" w:rsidP="007F75DE">
    <w:pPr>
      <w:pStyle w:val="Heading4"/>
      <w:jc w:val="right"/>
    </w:pPr>
  </w:p>
  <w:p w14:paraId="3453977B" w14:textId="77777777" w:rsidR="002E426C" w:rsidRPr="00BF6259" w:rsidRDefault="002E426C" w:rsidP="00F14616">
    <w:pPr>
      <w:pStyle w:val="Heading4"/>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71F8F" w14:textId="77777777" w:rsidR="002E426C" w:rsidRPr="0045190F" w:rsidRDefault="002E426C" w:rsidP="00291D65">
    <w:pPr>
      <w:pStyle w:val="Heading4"/>
      <w:jc w:val="right"/>
      <w:rPr>
        <w:b w:val="0"/>
      </w:rPr>
    </w:pPr>
    <w:r w:rsidRPr="0045190F">
      <w:rPr>
        <w:b w:val="0"/>
      </w:rPr>
      <w:t xml:space="preserve">Proceedings of the </w:t>
    </w:r>
    <w:r w:rsidR="007F75DE">
      <w:rPr>
        <w:b w:val="0"/>
      </w:rPr>
      <w:t>6</w:t>
    </w:r>
    <w:r w:rsidR="007F75DE" w:rsidRPr="007F75DE">
      <w:rPr>
        <w:b w:val="0"/>
        <w:vertAlign w:val="superscript"/>
      </w:rPr>
      <w:t>th</w:t>
    </w:r>
    <w:r w:rsidR="007F75DE">
      <w:rPr>
        <w:b w:val="0"/>
      </w:rPr>
      <w:t xml:space="preserve"> Annual Paper Meet of Civil Engineering Division of Institutions of Engineers, Bangladesh (APMCE2026)</w:t>
    </w:r>
  </w:p>
  <w:p w14:paraId="2FB26673" w14:textId="77777777" w:rsidR="002E426C" w:rsidRPr="0045190F" w:rsidRDefault="00071772" w:rsidP="00964FB8">
    <w:pPr>
      <w:pStyle w:val="Heading4"/>
      <w:jc w:val="right"/>
      <w:rPr>
        <w:b w:val="0"/>
      </w:rPr>
    </w:pPr>
    <w:r>
      <w:rPr>
        <w:b w:val="0"/>
      </w:rPr>
      <w:t>18</w:t>
    </w:r>
    <w:r w:rsidR="007F75DE">
      <w:rPr>
        <w:b w:val="0"/>
      </w:rPr>
      <w:t>-</w:t>
    </w:r>
    <w:r>
      <w:rPr>
        <w:b w:val="0"/>
      </w:rPr>
      <w:t>19</w:t>
    </w:r>
    <w:r w:rsidR="007F75DE">
      <w:rPr>
        <w:b w:val="0"/>
      </w:rPr>
      <w:t xml:space="preserve"> June</w:t>
    </w:r>
    <w:r w:rsidR="0045190F">
      <w:rPr>
        <w:b w:val="0"/>
      </w:rPr>
      <w:t xml:space="preserve"> 202</w:t>
    </w:r>
    <w:r w:rsidR="007F75DE">
      <w:rPr>
        <w:b w:val="0"/>
      </w:rPr>
      <w:t>6</w:t>
    </w:r>
    <w:r w:rsidR="002E426C" w:rsidRPr="0045190F">
      <w:rPr>
        <w:b w:val="0"/>
      </w:rPr>
      <w:t xml:space="preserve">, </w:t>
    </w:r>
    <w:r w:rsidR="007F75DE">
      <w:rPr>
        <w:b w:val="0"/>
      </w:rPr>
      <w:t>IEB Headquarters, Ramna, Dhaka</w:t>
    </w:r>
    <w:r w:rsidR="002E426C" w:rsidRPr="0045190F">
      <w:rPr>
        <w:b w:val="0"/>
      </w:rPr>
      <w:t>, Bangladesh</w:t>
    </w:r>
  </w:p>
  <w:p w14:paraId="6A1117C7" w14:textId="77777777" w:rsidR="002E426C" w:rsidRPr="0045190F" w:rsidRDefault="002E426C" w:rsidP="00291D65">
    <w:pPr>
      <w:pStyle w:val="Heading4"/>
      <w:jc w:val="right"/>
    </w:pPr>
  </w:p>
  <w:p w14:paraId="2CCA0A81" w14:textId="77777777" w:rsidR="002E426C" w:rsidRPr="0045190F" w:rsidRDefault="002E42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57444C"/>
    <w:multiLevelType w:val="multilevel"/>
    <w:tmpl w:val="900698F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0"/>
        <w:szCs w:val="20"/>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08B64BC"/>
    <w:multiLevelType w:val="singleLevel"/>
    <w:tmpl w:val="A50069DA"/>
    <w:lvl w:ilvl="0">
      <w:start w:val="1"/>
      <w:numFmt w:val="bullet"/>
      <w:pStyle w:val="bulina"/>
      <w:lvlText w:val=""/>
      <w:lvlJc w:val="left"/>
      <w:pPr>
        <w:tabs>
          <w:tab w:val="num" w:pos="360"/>
        </w:tabs>
        <w:ind w:left="340" w:hanging="340"/>
      </w:pPr>
      <w:rPr>
        <w:rFonts w:ascii="Symbol" w:hAnsi="Symbol" w:hint="default"/>
      </w:rPr>
    </w:lvl>
  </w:abstractNum>
  <w:abstractNum w:abstractNumId="3" w15:restartNumberingAfterBreak="0">
    <w:nsid w:val="159F1C66"/>
    <w:multiLevelType w:val="multilevel"/>
    <w:tmpl w:val="431CD60A"/>
    <w:lvl w:ilvl="0">
      <w:start w:val="1"/>
      <w:numFmt w:val="decimal"/>
      <w:pStyle w:val="StilHeadingMajor12pct"/>
      <w:lvlText w:val="%1."/>
      <w:lvlJc w:val="left"/>
      <w:pPr>
        <w:tabs>
          <w:tab w:val="num" w:pos="431"/>
        </w:tabs>
        <w:ind w:left="431" w:hanging="431"/>
      </w:pPr>
      <w:rPr>
        <w:rFonts w:ascii="Times New Roman" w:hAnsi="Times New Roman" w:cs="Times New Roman" w:hint="default"/>
        <w:b/>
        <w:i w:val="0"/>
        <w:caps/>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Sub1"/>
      <w:lvlText w:val="%1.%2"/>
      <w:lvlJc w:val="left"/>
      <w:pPr>
        <w:tabs>
          <w:tab w:val="num" w:pos="576"/>
        </w:tabs>
        <w:ind w:left="576" w:hanging="576"/>
      </w:pPr>
      <w:rPr>
        <w:rFonts w:ascii="Times New Roman" w:hAnsi="Times New Roman" w:cs="Times New Roman" w:hint="default"/>
        <w:b/>
        <w:i w:val="0"/>
        <w:caps w:val="0"/>
        <w:strike w:val="0"/>
        <w:dstrike w:val="0"/>
        <w:vanish w:val="0"/>
        <w:color w:val="000000"/>
        <w:sz w:val="22"/>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Sub2"/>
      <w:lvlText w:val="%1.%2.%3"/>
      <w:lvlJc w:val="left"/>
      <w:pPr>
        <w:tabs>
          <w:tab w:val="num" w:pos="720"/>
        </w:tabs>
        <w:ind w:left="720" w:hanging="720"/>
      </w:pPr>
      <w:rPr>
        <w:rFonts w:hint="default"/>
        <w:sz w:val="22"/>
        <w:szCs w:val="20"/>
      </w:rPr>
    </w:lvl>
    <w:lvl w:ilvl="3">
      <w:start w:val="1"/>
      <w:numFmt w:val="decimal"/>
      <w:pStyle w:val="3rdSub-heading"/>
      <w:lvlText w:val="%1.%2.%3.%4"/>
      <w:lvlJc w:val="left"/>
      <w:pPr>
        <w:tabs>
          <w:tab w:val="num" w:pos="864"/>
        </w:tabs>
        <w:ind w:left="864" w:hanging="864"/>
      </w:pPr>
      <w:rPr>
        <w:rFonts w:hint="default"/>
        <w:sz w:val="22"/>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166269D2"/>
    <w:multiLevelType w:val="hybridMultilevel"/>
    <w:tmpl w:val="D5303F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E55D14"/>
    <w:multiLevelType w:val="singleLevel"/>
    <w:tmpl w:val="38A69104"/>
    <w:lvl w:ilvl="0">
      <w:start w:val="1"/>
      <w:numFmt w:val="decimal"/>
      <w:pStyle w:val="Numerotare"/>
      <w:lvlText w:val="%1."/>
      <w:lvlJc w:val="left"/>
      <w:pPr>
        <w:tabs>
          <w:tab w:val="num" w:pos="473"/>
        </w:tabs>
        <w:ind w:left="360" w:hanging="247"/>
      </w:pPr>
    </w:lvl>
  </w:abstractNum>
  <w:abstractNum w:abstractNumId="6" w15:restartNumberingAfterBreak="0">
    <w:nsid w:val="24603E5D"/>
    <w:multiLevelType w:val="multilevel"/>
    <w:tmpl w:val="EACE853A"/>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54E05E32"/>
    <w:multiLevelType w:val="multilevel"/>
    <w:tmpl w:val="4F664B4E"/>
    <w:lvl w:ilvl="0">
      <w:start w:val="1"/>
      <w:numFmt w:val="decimal"/>
      <w:lvlText w:val="%1."/>
      <w:lvlJc w:val="left"/>
      <w:pPr>
        <w:tabs>
          <w:tab w:val="num" w:pos="431"/>
        </w:tabs>
        <w:ind w:left="431" w:hanging="431"/>
      </w:pPr>
      <w:rPr>
        <w:rFonts w:ascii="Times New Roman" w:hAnsi="Times New Roman" w:hint="default"/>
        <w:b/>
        <w:i w:val="0"/>
        <w:caps/>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576"/>
        </w:tabs>
        <w:ind w:left="576" w:hanging="576"/>
      </w:pPr>
      <w:rPr>
        <w:rFonts w:ascii="Times New Roman" w:hAnsi="Times New Roman" w:hint="default"/>
        <w:b/>
        <w:i w:val="0"/>
        <w:caps w:val="0"/>
        <w:strike w:val="0"/>
        <w:dstrike w:val="0"/>
        <w:vanish w:val="0"/>
        <w:color w:val="000000"/>
        <w:sz w:val="24"/>
        <w:szCs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720"/>
        </w:tabs>
        <w:ind w:left="720" w:hanging="720"/>
      </w:pPr>
      <w:rPr>
        <w:rFonts w:hint="default"/>
        <w:sz w:val="24"/>
        <w:szCs w:val="24"/>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63255DE5"/>
    <w:multiLevelType w:val="singleLevel"/>
    <w:tmpl w:val="21AE9AF2"/>
    <w:lvl w:ilvl="0">
      <w:start w:val="1"/>
      <w:numFmt w:val="bullet"/>
      <w:pStyle w:val="Flash"/>
      <w:lvlText w:val=""/>
      <w:lvlJc w:val="left"/>
      <w:pPr>
        <w:tabs>
          <w:tab w:val="num" w:pos="502"/>
        </w:tabs>
        <w:ind w:left="454" w:hanging="312"/>
      </w:pPr>
      <w:rPr>
        <w:rFonts w:ascii="Wingdings" w:hAnsi="Wingdings" w:hint="default"/>
      </w:rPr>
    </w:lvl>
  </w:abstractNum>
  <w:abstractNum w:abstractNumId="9" w15:restartNumberingAfterBreak="0">
    <w:nsid w:val="6B0A1EBA"/>
    <w:multiLevelType w:val="singleLevel"/>
    <w:tmpl w:val="7E609DFC"/>
    <w:lvl w:ilvl="0">
      <w:start w:val="1"/>
      <w:numFmt w:val="decimal"/>
      <w:lvlText w:val="[%1]"/>
      <w:lvlJc w:val="left"/>
      <w:pPr>
        <w:tabs>
          <w:tab w:val="num" w:pos="397"/>
        </w:tabs>
        <w:ind w:left="397" w:hanging="397"/>
      </w:pPr>
    </w:lvl>
  </w:abstractNum>
  <w:num w:numId="1" w16cid:durableId="1545407462">
    <w:abstractNumId w:val="2"/>
  </w:num>
  <w:num w:numId="2" w16cid:durableId="1660499064">
    <w:abstractNumId w:val="5"/>
    <w:lvlOverride w:ilvl="0">
      <w:startOverride w:val="1"/>
    </w:lvlOverride>
  </w:num>
  <w:num w:numId="3" w16cid:durableId="1344477473">
    <w:abstractNumId w:val="9"/>
  </w:num>
  <w:num w:numId="4" w16cid:durableId="1581910011">
    <w:abstractNumId w:val="3"/>
  </w:num>
  <w:num w:numId="5" w16cid:durableId="593903898">
    <w:abstractNumId w:val="8"/>
  </w:num>
  <w:num w:numId="6" w16cid:durableId="2053116728">
    <w:abstractNumId w:val="7"/>
  </w:num>
  <w:num w:numId="7" w16cid:durableId="735475443">
    <w:abstractNumId w:val="6"/>
  </w:num>
  <w:num w:numId="8" w16cid:durableId="600795634">
    <w:abstractNumId w:val="1"/>
  </w:num>
  <w:num w:numId="9" w16cid:durableId="1246382822">
    <w:abstractNumId w:val="0"/>
  </w:num>
  <w:num w:numId="10" w16cid:durableId="947084201">
    <w:abstractNumId w:val="4"/>
  </w:num>
  <w:num w:numId="11" w16cid:durableId="3586230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562"/>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384"/>
    <w:rsid w:val="00001933"/>
    <w:rsid w:val="000061CC"/>
    <w:rsid w:val="0001199F"/>
    <w:rsid w:val="00012591"/>
    <w:rsid w:val="00016423"/>
    <w:rsid w:val="00036D24"/>
    <w:rsid w:val="00037D37"/>
    <w:rsid w:val="00042ED5"/>
    <w:rsid w:val="00043AF4"/>
    <w:rsid w:val="00051C7D"/>
    <w:rsid w:val="00063379"/>
    <w:rsid w:val="000645C6"/>
    <w:rsid w:val="00066C6B"/>
    <w:rsid w:val="00071772"/>
    <w:rsid w:val="00073270"/>
    <w:rsid w:val="00080F80"/>
    <w:rsid w:val="0008449E"/>
    <w:rsid w:val="0008570F"/>
    <w:rsid w:val="00085BE9"/>
    <w:rsid w:val="000A2495"/>
    <w:rsid w:val="000A5797"/>
    <w:rsid w:val="000B0EF8"/>
    <w:rsid w:val="000C217D"/>
    <w:rsid w:val="000D3792"/>
    <w:rsid w:val="000D4F0C"/>
    <w:rsid w:val="000E3DEC"/>
    <w:rsid w:val="000E4024"/>
    <w:rsid w:val="00104F5D"/>
    <w:rsid w:val="00107A6D"/>
    <w:rsid w:val="00113F7C"/>
    <w:rsid w:val="001143A7"/>
    <w:rsid w:val="0011625D"/>
    <w:rsid w:val="00133F2B"/>
    <w:rsid w:val="00134F6C"/>
    <w:rsid w:val="00135C59"/>
    <w:rsid w:val="0014326E"/>
    <w:rsid w:val="001509C2"/>
    <w:rsid w:val="00150CAF"/>
    <w:rsid w:val="00170389"/>
    <w:rsid w:val="001712E0"/>
    <w:rsid w:val="0017262B"/>
    <w:rsid w:val="00180D8F"/>
    <w:rsid w:val="00184845"/>
    <w:rsid w:val="001868CA"/>
    <w:rsid w:val="001A45B2"/>
    <w:rsid w:val="001B3AF7"/>
    <w:rsid w:val="001B4A74"/>
    <w:rsid w:val="001B5329"/>
    <w:rsid w:val="001B6B32"/>
    <w:rsid w:val="001C1A14"/>
    <w:rsid w:val="001C4334"/>
    <w:rsid w:val="001D0C8B"/>
    <w:rsid w:val="001D426F"/>
    <w:rsid w:val="001E132C"/>
    <w:rsid w:val="001E5253"/>
    <w:rsid w:val="001F47F6"/>
    <w:rsid w:val="001F58E8"/>
    <w:rsid w:val="001F5A60"/>
    <w:rsid w:val="00205EA8"/>
    <w:rsid w:val="00214B6A"/>
    <w:rsid w:val="00220D8F"/>
    <w:rsid w:val="00224ADC"/>
    <w:rsid w:val="002424F1"/>
    <w:rsid w:val="00252933"/>
    <w:rsid w:val="002549FE"/>
    <w:rsid w:val="00274B4C"/>
    <w:rsid w:val="0028186A"/>
    <w:rsid w:val="00285AAC"/>
    <w:rsid w:val="00291D65"/>
    <w:rsid w:val="002A245E"/>
    <w:rsid w:val="002A24AD"/>
    <w:rsid w:val="002A75D8"/>
    <w:rsid w:val="002B1326"/>
    <w:rsid w:val="002B4D26"/>
    <w:rsid w:val="002D0482"/>
    <w:rsid w:val="002D426A"/>
    <w:rsid w:val="002D4B08"/>
    <w:rsid w:val="002E426C"/>
    <w:rsid w:val="002E6436"/>
    <w:rsid w:val="00301670"/>
    <w:rsid w:val="00313358"/>
    <w:rsid w:val="0031633C"/>
    <w:rsid w:val="00317D10"/>
    <w:rsid w:val="00320107"/>
    <w:rsid w:val="003204B6"/>
    <w:rsid w:val="00321339"/>
    <w:rsid w:val="00325F0C"/>
    <w:rsid w:val="00332117"/>
    <w:rsid w:val="00332E4F"/>
    <w:rsid w:val="003507EC"/>
    <w:rsid w:val="0036137B"/>
    <w:rsid w:val="00363DEE"/>
    <w:rsid w:val="003672D1"/>
    <w:rsid w:val="0038533F"/>
    <w:rsid w:val="0038624C"/>
    <w:rsid w:val="003914CF"/>
    <w:rsid w:val="003A0B0A"/>
    <w:rsid w:val="003A4AC4"/>
    <w:rsid w:val="003B2184"/>
    <w:rsid w:val="003B64E0"/>
    <w:rsid w:val="003D757B"/>
    <w:rsid w:val="003E6DBD"/>
    <w:rsid w:val="003F69D9"/>
    <w:rsid w:val="004117DF"/>
    <w:rsid w:val="00414A1C"/>
    <w:rsid w:val="00423C7A"/>
    <w:rsid w:val="00427DE2"/>
    <w:rsid w:val="00432E5C"/>
    <w:rsid w:val="004437F3"/>
    <w:rsid w:val="004473AD"/>
    <w:rsid w:val="0045190F"/>
    <w:rsid w:val="004536FA"/>
    <w:rsid w:val="004603DB"/>
    <w:rsid w:val="004644C0"/>
    <w:rsid w:val="00467D76"/>
    <w:rsid w:val="00472422"/>
    <w:rsid w:val="004737F5"/>
    <w:rsid w:val="004763E5"/>
    <w:rsid w:val="004904F2"/>
    <w:rsid w:val="004A6E11"/>
    <w:rsid w:val="004A7997"/>
    <w:rsid w:val="004B1EAA"/>
    <w:rsid w:val="004C33DB"/>
    <w:rsid w:val="004D1C25"/>
    <w:rsid w:val="004D4C53"/>
    <w:rsid w:val="004E7BBE"/>
    <w:rsid w:val="005003FE"/>
    <w:rsid w:val="00504F45"/>
    <w:rsid w:val="00506101"/>
    <w:rsid w:val="005063DA"/>
    <w:rsid w:val="00506661"/>
    <w:rsid w:val="0053038A"/>
    <w:rsid w:val="00537052"/>
    <w:rsid w:val="00537C18"/>
    <w:rsid w:val="00540891"/>
    <w:rsid w:val="0055423B"/>
    <w:rsid w:val="00555AA0"/>
    <w:rsid w:val="00561C2E"/>
    <w:rsid w:val="00561F77"/>
    <w:rsid w:val="00566BF4"/>
    <w:rsid w:val="00582A2D"/>
    <w:rsid w:val="00583AEA"/>
    <w:rsid w:val="005932D3"/>
    <w:rsid w:val="005A0A12"/>
    <w:rsid w:val="005A44BC"/>
    <w:rsid w:val="005B050B"/>
    <w:rsid w:val="005B6BF5"/>
    <w:rsid w:val="005B753D"/>
    <w:rsid w:val="005D04E7"/>
    <w:rsid w:val="005E045F"/>
    <w:rsid w:val="005E194A"/>
    <w:rsid w:val="005E1C1A"/>
    <w:rsid w:val="005E70BF"/>
    <w:rsid w:val="005F745F"/>
    <w:rsid w:val="006229A4"/>
    <w:rsid w:val="00626152"/>
    <w:rsid w:val="00632DD0"/>
    <w:rsid w:val="00640E13"/>
    <w:rsid w:val="00642A02"/>
    <w:rsid w:val="00654613"/>
    <w:rsid w:val="006579F7"/>
    <w:rsid w:val="00670304"/>
    <w:rsid w:val="00670344"/>
    <w:rsid w:val="00673728"/>
    <w:rsid w:val="00680DF2"/>
    <w:rsid w:val="00680FF0"/>
    <w:rsid w:val="006856F8"/>
    <w:rsid w:val="00695295"/>
    <w:rsid w:val="006A2EC8"/>
    <w:rsid w:val="006B06DA"/>
    <w:rsid w:val="006B141E"/>
    <w:rsid w:val="006B35AA"/>
    <w:rsid w:val="006C0276"/>
    <w:rsid w:val="006F238F"/>
    <w:rsid w:val="0071174E"/>
    <w:rsid w:val="0072125D"/>
    <w:rsid w:val="00722C1E"/>
    <w:rsid w:val="00727DD5"/>
    <w:rsid w:val="00735FC1"/>
    <w:rsid w:val="0075208D"/>
    <w:rsid w:val="00760248"/>
    <w:rsid w:val="00763E7B"/>
    <w:rsid w:val="007640B0"/>
    <w:rsid w:val="00765BA1"/>
    <w:rsid w:val="00766FF2"/>
    <w:rsid w:val="00770B2B"/>
    <w:rsid w:val="007725A3"/>
    <w:rsid w:val="00781A40"/>
    <w:rsid w:val="00791AD6"/>
    <w:rsid w:val="0079518A"/>
    <w:rsid w:val="007A4B8D"/>
    <w:rsid w:val="007A5016"/>
    <w:rsid w:val="007A5379"/>
    <w:rsid w:val="007A6608"/>
    <w:rsid w:val="007B1610"/>
    <w:rsid w:val="007B29C8"/>
    <w:rsid w:val="007C0DA7"/>
    <w:rsid w:val="007C34A4"/>
    <w:rsid w:val="007C717B"/>
    <w:rsid w:val="007C7CAD"/>
    <w:rsid w:val="007D247C"/>
    <w:rsid w:val="007D2F45"/>
    <w:rsid w:val="007D3FF6"/>
    <w:rsid w:val="007D5DD1"/>
    <w:rsid w:val="007E3F98"/>
    <w:rsid w:val="007F2354"/>
    <w:rsid w:val="007F37EB"/>
    <w:rsid w:val="007F6AC8"/>
    <w:rsid w:val="007F75DE"/>
    <w:rsid w:val="0080009D"/>
    <w:rsid w:val="00813E4B"/>
    <w:rsid w:val="00826427"/>
    <w:rsid w:val="0083093C"/>
    <w:rsid w:val="00831D46"/>
    <w:rsid w:val="0083786D"/>
    <w:rsid w:val="00844429"/>
    <w:rsid w:val="00844898"/>
    <w:rsid w:val="00845552"/>
    <w:rsid w:val="0084695D"/>
    <w:rsid w:val="00861076"/>
    <w:rsid w:val="008616A7"/>
    <w:rsid w:val="00870F3D"/>
    <w:rsid w:val="00892108"/>
    <w:rsid w:val="00895F99"/>
    <w:rsid w:val="00897738"/>
    <w:rsid w:val="008B2F9D"/>
    <w:rsid w:val="008C0509"/>
    <w:rsid w:val="008D25E9"/>
    <w:rsid w:val="008E3093"/>
    <w:rsid w:val="008F0D1F"/>
    <w:rsid w:val="008F2B27"/>
    <w:rsid w:val="008F3499"/>
    <w:rsid w:val="0091181A"/>
    <w:rsid w:val="009315CC"/>
    <w:rsid w:val="00932BCB"/>
    <w:rsid w:val="00945FD8"/>
    <w:rsid w:val="0094762A"/>
    <w:rsid w:val="009528F1"/>
    <w:rsid w:val="00953CB7"/>
    <w:rsid w:val="0096244D"/>
    <w:rsid w:val="00964FB8"/>
    <w:rsid w:val="009671C9"/>
    <w:rsid w:val="00974A18"/>
    <w:rsid w:val="00983148"/>
    <w:rsid w:val="00987310"/>
    <w:rsid w:val="009A01AA"/>
    <w:rsid w:val="009C276F"/>
    <w:rsid w:val="009C3128"/>
    <w:rsid w:val="009E536E"/>
    <w:rsid w:val="009E61F8"/>
    <w:rsid w:val="009F6923"/>
    <w:rsid w:val="00A00E51"/>
    <w:rsid w:val="00A055AC"/>
    <w:rsid w:val="00A06DA6"/>
    <w:rsid w:val="00A126F8"/>
    <w:rsid w:val="00A1725B"/>
    <w:rsid w:val="00A3384F"/>
    <w:rsid w:val="00A4445F"/>
    <w:rsid w:val="00A5074C"/>
    <w:rsid w:val="00A50BA9"/>
    <w:rsid w:val="00A56B4A"/>
    <w:rsid w:val="00A639E0"/>
    <w:rsid w:val="00A844F4"/>
    <w:rsid w:val="00A9497F"/>
    <w:rsid w:val="00AB13A3"/>
    <w:rsid w:val="00AB2374"/>
    <w:rsid w:val="00AB655B"/>
    <w:rsid w:val="00AC44C7"/>
    <w:rsid w:val="00AC55DF"/>
    <w:rsid w:val="00AD74EE"/>
    <w:rsid w:val="00AD7BCA"/>
    <w:rsid w:val="00AE1EDA"/>
    <w:rsid w:val="00AF06F5"/>
    <w:rsid w:val="00B023B6"/>
    <w:rsid w:val="00B06E33"/>
    <w:rsid w:val="00B07ED4"/>
    <w:rsid w:val="00B12E80"/>
    <w:rsid w:val="00B133F0"/>
    <w:rsid w:val="00B30302"/>
    <w:rsid w:val="00B434AC"/>
    <w:rsid w:val="00B52C8D"/>
    <w:rsid w:val="00B55AF7"/>
    <w:rsid w:val="00B87BEC"/>
    <w:rsid w:val="00B92251"/>
    <w:rsid w:val="00BA67E4"/>
    <w:rsid w:val="00BB6597"/>
    <w:rsid w:val="00BC0D23"/>
    <w:rsid w:val="00BD0C39"/>
    <w:rsid w:val="00BD109A"/>
    <w:rsid w:val="00BF099E"/>
    <w:rsid w:val="00BF6259"/>
    <w:rsid w:val="00C05F6B"/>
    <w:rsid w:val="00C07329"/>
    <w:rsid w:val="00C246C4"/>
    <w:rsid w:val="00C26891"/>
    <w:rsid w:val="00C40628"/>
    <w:rsid w:val="00C52DF2"/>
    <w:rsid w:val="00C5448B"/>
    <w:rsid w:val="00C642D8"/>
    <w:rsid w:val="00C75B01"/>
    <w:rsid w:val="00C7609C"/>
    <w:rsid w:val="00C80C55"/>
    <w:rsid w:val="00C844F8"/>
    <w:rsid w:val="00C97AEE"/>
    <w:rsid w:val="00CA187D"/>
    <w:rsid w:val="00CA453B"/>
    <w:rsid w:val="00CB68A4"/>
    <w:rsid w:val="00CD4C37"/>
    <w:rsid w:val="00CE3840"/>
    <w:rsid w:val="00CF51D5"/>
    <w:rsid w:val="00CF7CB8"/>
    <w:rsid w:val="00D04238"/>
    <w:rsid w:val="00D05C82"/>
    <w:rsid w:val="00D10E51"/>
    <w:rsid w:val="00D132BF"/>
    <w:rsid w:val="00D13711"/>
    <w:rsid w:val="00D2309A"/>
    <w:rsid w:val="00D27A2F"/>
    <w:rsid w:val="00D31DFA"/>
    <w:rsid w:val="00D4357E"/>
    <w:rsid w:val="00D46A03"/>
    <w:rsid w:val="00D639DE"/>
    <w:rsid w:val="00D65688"/>
    <w:rsid w:val="00D65984"/>
    <w:rsid w:val="00D65AB1"/>
    <w:rsid w:val="00D7653A"/>
    <w:rsid w:val="00D83FE8"/>
    <w:rsid w:val="00DA3C5C"/>
    <w:rsid w:val="00DA6ACD"/>
    <w:rsid w:val="00DB1BB6"/>
    <w:rsid w:val="00DC19D5"/>
    <w:rsid w:val="00DC7563"/>
    <w:rsid w:val="00DD3249"/>
    <w:rsid w:val="00E0022B"/>
    <w:rsid w:val="00E02AD8"/>
    <w:rsid w:val="00E17D94"/>
    <w:rsid w:val="00E249F8"/>
    <w:rsid w:val="00E2662C"/>
    <w:rsid w:val="00E31D31"/>
    <w:rsid w:val="00E32B9D"/>
    <w:rsid w:val="00E33918"/>
    <w:rsid w:val="00E42955"/>
    <w:rsid w:val="00E44D98"/>
    <w:rsid w:val="00E45384"/>
    <w:rsid w:val="00E461EC"/>
    <w:rsid w:val="00E51C99"/>
    <w:rsid w:val="00E5426F"/>
    <w:rsid w:val="00E656A5"/>
    <w:rsid w:val="00E704A2"/>
    <w:rsid w:val="00E705BF"/>
    <w:rsid w:val="00E86922"/>
    <w:rsid w:val="00E87E76"/>
    <w:rsid w:val="00EA016A"/>
    <w:rsid w:val="00EB1821"/>
    <w:rsid w:val="00EB4B96"/>
    <w:rsid w:val="00EC67F8"/>
    <w:rsid w:val="00ED4702"/>
    <w:rsid w:val="00EE273A"/>
    <w:rsid w:val="00EE33E9"/>
    <w:rsid w:val="00EE34BA"/>
    <w:rsid w:val="00EE4A81"/>
    <w:rsid w:val="00EF07BA"/>
    <w:rsid w:val="00EF12A4"/>
    <w:rsid w:val="00F03ADF"/>
    <w:rsid w:val="00F1420A"/>
    <w:rsid w:val="00F14616"/>
    <w:rsid w:val="00F17C9D"/>
    <w:rsid w:val="00F21178"/>
    <w:rsid w:val="00F242B6"/>
    <w:rsid w:val="00F249C2"/>
    <w:rsid w:val="00F36E76"/>
    <w:rsid w:val="00F43040"/>
    <w:rsid w:val="00F4572E"/>
    <w:rsid w:val="00F64800"/>
    <w:rsid w:val="00F675B3"/>
    <w:rsid w:val="00F74177"/>
    <w:rsid w:val="00F744AE"/>
    <w:rsid w:val="00F97C44"/>
    <w:rsid w:val="00FB0076"/>
    <w:rsid w:val="00FB4999"/>
    <w:rsid w:val="00FC0E07"/>
    <w:rsid w:val="00FC5097"/>
    <w:rsid w:val="00FC5137"/>
    <w:rsid w:val="00FE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A8AB0F"/>
  <w15:chartTrackingRefBased/>
  <w15:docId w15:val="{454FCE2B-D73C-4C0D-AB2D-C5D87732D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lsdException w:name="heading 4" w:uiPriority="9"/>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B655B"/>
    <w:rPr>
      <w:lang w:val="ro-RO"/>
    </w:rPr>
  </w:style>
  <w:style w:type="paragraph" w:styleId="Heading1">
    <w:name w:val="heading 1"/>
    <w:basedOn w:val="Normal"/>
    <w:next w:val="Normal"/>
    <w:pPr>
      <w:keepNext/>
      <w:jc w:val="both"/>
      <w:outlineLvl w:val="0"/>
    </w:pPr>
    <w:rPr>
      <w:b/>
      <w:lang w:val="en-GB"/>
    </w:rPr>
  </w:style>
  <w:style w:type="paragraph" w:styleId="Heading2">
    <w:name w:val="heading 2"/>
    <w:basedOn w:val="Normal"/>
    <w:next w:val="Normal"/>
    <w:pPr>
      <w:keepNext/>
      <w:keepLines/>
      <w:jc w:val="center"/>
      <w:outlineLvl w:val="1"/>
    </w:pPr>
    <w:rPr>
      <w:b/>
      <w:sz w:val="28"/>
      <w:lang w:val="en-US"/>
    </w:rPr>
  </w:style>
  <w:style w:type="paragraph" w:styleId="Heading3">
    <w:name w:val="heading 3"/>
    <w:basedOn w:val="Normal"/>
    <w:next w:val="Normal"/>
    <w:link w:val="Heading3Char"/>
    <w:pPr>
      <w:keepNext/>
      <w:spacing w:before="360" w:after="120"/>
      <w:ind w:firstLine="720"/>
      <w:outlineLvl w:val="2"/>
    </w:pPr>
    <w:rPr>
      <w:b/>
      <w:lang w:val="en-US"/>
    </w:rPr>
  </w:style>
  <w:style w:type="paragraph" w:styleId="Heading4">
    <w:name w:val="heading 4"/>
    <w:basedOn w:val="Normal"/>
    <w:next w:val="Normal"/>
    <w:pPr>
      <w:keepNext/>
      <w:jc w:val="both"/>
      <w:outlineLvl w:val="3"/>
    </w:pPr>
    <w:rPr>
      <w:b/>
      <w:i/>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rmalcont">
    <w:name w:val="normal_cont"/>
    <w:next w:val="Normal"/>
    <w:pPr>
      <w:widowControl w:val="0"/>
      <w:tabs>
        <w:tab w:val="left" w:pos="851"/>
      </w:tabs>
      <w:spacing w:before="60" w:line="288" w:lineRule="auto"/>
      <w:jc w:val="both"/>
    </w:pPr>
    <w:rPr>
      <w:sz w:val="24"/>
    </w:rPr>
  </w:style>
  <w:style w:type="paragraph" w:styleId="BodyText">
    <w:name w:val="Body Text"/>
    <w:basedOn w:val="Normal"/>
    <w:pPr>
      <w:jc w:val="center"/>
    </w:pPr>
    <w:rPr>
      <w:b/>
      <w:sz w:val="28"/>
    </w:rPr>
  </w:style>
  <w:style w:type="paragraph" w:styleId="BodyTextIndent">
    <w:name w:val="Body Text Indent"/>
    <w:aliases w:val="TextBloc"/>
    <w:basedOn w:val="Normal"/>
    <w:link w:val="BodyTextIndentChar"/>
    <w:pPr>
      <w:ind w:firstLine="567"/>
      <w:jc w:val="both"/>
    </w:pPr>
    <w:rPr>
      <w:lang w:eastAsia="x-none"/>
    </w:rPr>
  </w:style>
  <w:style w:type="paragraph" w:customStyle="1" w:styleId="bulina">
    <w:name w:val="bulina"/>
    <w:basedOn w:val="Normal"/>
    <w:pPr>
      <w:numPr>
        <w:numId w:val="1"/>
      </w:numPr>
      <w:tabs>
        <w:tab w:val="clear" w:pos="360"/>
        <w:tab w:val="num" w:pos="993"/>
      </w:tabs>
      <w:spacing w:before="60"/>
      <w:ind w:left="992" w:hanging="425"/>
      <w:jc w:val="both"/>
    </w:pPr>
    <w:rPr>
      <w:lang w:val="en-US"/>
    </w:rPr>
  </w:style>
  <w:style w:type="paragraph" w:customStyle="1" w:styleId="ecuatie">
    <w:name w:val="ecuatie"/>
    <w:pPr>
      <w:tabs>
        <w:tab w:val="center" w:pos="3686"/>
        <w:tab w:val="right" w:pos="8647"/>
      </w:tabs>
      <w:spacing w:before="60" w:after="60" w:line="288" w:lineRule="auto"/>
    </w:pPr>
    <w:rPr>
      <w:sz w:val="24"/>
    </w:rPr>
  </w:style>
  <w:style w:type="paragraph" w:styleId="BodyTextIndent2">
    <w:name w:val="Body Text Indent 2"/>
    <w:basedOn w:val="Normal"/>
    <w:pPr>
      <w:spacing w:before="120"/>
      <w:ind w:firstLine="720"/>
      <w:jc w:val="both"/>
    </w:pPr>
    <w:rPr>
      <w:lang w:val="en-US"/>
    </w:rPr>
  </w:style>
  <w:style w:type="paragraph" w:customStyle="1" w:styleId="CapFig">
    <w:name w:val="Cap_Fig"/>
    <w:basedOn w:val="normalcont"/>
    <w:pPr>
      <w:keepLines/>
      <w:widowControl/>
      <w:tabs>
        <w:tab w:val="clear" w:pos="851"/>
      </w:tabs>
      <w:spacing w:before="120" w:after="120" w:line="240" w:lineRule="auto"/>
      <w:jc w:val="center"/>
    </w:pPr>
    <w:rPr>
      <w:b/>
    </w:rPr>
  </w:style>
  <w:style w:type="paragraph" w:customStyle="1" w:styleId="Figura">
    <w:name w:val="Figura"/>
    <w:pPr>
      <w:keepNext/>
      <w:keepLines/>
      <w:tabs>
        <w:tab w:val="right" w:pos="7938"/>
      </w:tabs>
      <w:suppressAutoHyphens/>
      <w:spacing w:before="120"/>
      <w:jc w:val="center"/>
    </w:pPr>
    <w:rPr>
      <w:b/>
      <w:noProof/>
      <w:sz w:val="24"/>
    </w:rPr>
  </w:style>
  <w:style w:type="paragraph" w:customStyle="1" w:styleId="Numerotare">
    <w:name w:val="Numerotare"/>
    <w:basedOn w:val="Normal"/>
    <w:pPr>
      <w:numPr>
        <w:numId w:val="2"/>
      </w:numPr>
      <w:tabs>
        <w:tab w:val="clear" w:pos="473"/>
        <w:tab w:val="num" w:pos="567"/>
      </w:tabs>
      <w:spacing w:before="120"/>
      <w:ind w:left="568" w:hanging="284"/>
      <w:jc w:val="both"/>
    </w:pPr>
    <w:rPr>
      <w:lang w:val="en-US"/>
    </w:rPr>
  </w:style>
  <w:style w:type="paragraph" w:customStyle="1" w:styleId="biblio">
    <w:name w:val="biblio"/>
    <w:basedOn w:val="Normal"/>
    <w:pPr>
      <w:keepLines/>
      <w:ind w:left="288" w:hanging="288"/>
      <w:jc w:val="both"/>
    </w:pPr>
    <w:rPr>
      <w:snapToGrid w:val="0"/>
      <w:color w:val="000000"/>
      <w:lang w:val="en-US"/>
    </w:rPr>
  </w:style>
  <w:style w:type="paragraph" w:styleId="Header">
    <w:name w:val="header"/>
    <w:basedOn w:val="Normal"/>
    <w:pPr>
      <w:tabs>
        <w:tab w:val="center" w:pos="4153"/>
        <w:tab w:val="right" w:pos="8306"/>
      </w:tabs>
      <w:spacing w:before="120" w:line="288" w:lineRule="auto"/>
      <w:ind w:firstLine="720"/>
      <w:jc w:val="both"/>
    </w:pPr>
    <w:rPr>
      <w:lang w:val="en-GB"/>
    </w:rPr>
  </w:style>
  <w:style w:type="character" w:styleId="PageNumber">
    <w:name w:val="page number"/>
    <w:basedOn w:val="DefaultParagraphFont"/>
  </w:style>
  <w:style w:type="paragraph" w:customStyle="1" w:styleId="Textbloc">
    <w:name w:val="Textbloc"/>
    <w:basedOn w:val="Normal"/>
    <w:link w:val="TextblocChar"/>
    <w:rsid w:val="0079518A"/>
    <w:pPr>
      <w:jc w:val="both"/>
    </w:pPr>
    <w:rPr>
      <w:rFonts w:ascii="Arial" w:hAnsi="Arial"/>
      <w:sz w:val="22"/>
      <w:szCs w:val="24"/>
      <w:lang w:val="en-GB" w:eastAsia="x-none"/>
    </w:rPr>
  </w:style>
  <w:style w:type="character" w:styleId="Hyperlink">
    <w:name w:val="Hyperlink"/>
    <w:rPr>
      <w:color w:val="0000FF"/>
      <w:u w:val="single"/>
    </w:rPr>
  </w:style>
  <w:style w:type="paragraph" w:customStyle="1" w:styleId="Keywords">
    <w:name w:val="Keywords"/>
    <w:basedOn w:val="Normal"/>
    <w:rsid w:val="0079518A"/>
    <w:rPr>
      <w:rFonts w:ascii="Arial" w:hAnsi="Arial"/>
      <w:lang w:val="en-GB"/>
    </w:rPr>
  </w:style>
  <w:style w:type="paragraph" w:customStyle="1" w:styleId="HeadingMajor">
    <w:name w:val="HeadingMajor"/>
    <w:basedOn w:val="Normal"/>
    <w:next w:val="Normal"/>
    <w:link w:val="HeadingMajorChar"/>
    <w:pPr>
      <w:tabs>
        <w:tab w:val="left" w:pos="284"/>
      </w:tabs>
      <w:spacing w:after="100"/>
    </w:pPr>
    <w:rPr>
      <w:b/>
      <w:caps/>
      <w:lang w:val="en-GB" w:eastAsia="x-none"/>
    </w:rPr>
  </w:style>
  <w:style w:type="paragraph" w:customStyle="1" w:styleId="HeadingSub1">
    <w:name w:val="HeadingSub1"/>
    <w:basedOn w:val="HeadingMajor"/>
    <w:next w:val="Normal"/>
    <w:link w:val="HeadingSub1Char"/>
    <w:pPr>
      <w:numPr>
        <w:ilvl w:val="1"/>
        <w:numId w:val="4"/>
      </w:numPr>
      <w:tabs>
        <w:tab w:val="clear" w:pos="284"/>
      </w:tabs>
      <w:spacing w:before="100"/>
    </w:pPr>
    <w:rPr>
      <w:caps w:val="0"/>
    </w:rPr>
  </w:style>
  <w:style w:type="paragraph" w:customStyle="1" w:styleId="HeadingSub2">
    <w:name w:val="HeadingSub2"/>
    <w:basedOn w:val="HeadingSub1"/>
    <w:next w:val="Textbloc"/>
    <w:link w:val="HeadingSub2Char"/>
    <w:pPr>
      <w:numPr>
        <w:ilvl w:val="2"/>
      </w:numPr>
    </w:pPr>
    <w:rPr>
      <w:i/>
    </w:rPr>
  </w:style>
  <w:style w:type="paragraph" w:customStyle="1" w:styleId="Flash">
    <w:name w:val="Flash"/>
    <w:basedOn w:val="Normal"/>
    <w:next w:val="Normal"/>
    <w:pPr>
      <w:keepNext/>
      <w:numPr>
        <w:numId w:val="5"/>
      </w:numPr>
      <w:tabs>
        <w:tab w:val="clear" w:pos="502"/>
        <w:tab w:val="num" w:pos="426"/>
      </w:tabs>
    </w:pPr>
    <w:rPr>
      <w:lang w:val="en-GB"/>
    </w:rPr>
  </w:style>
  <w:style w:type="paragraph" w:customStyle="1" w:styleId="StilHeadingSub112pct">
    <w:name w:val="Stil HeadingSub1 + 12 pct."/>
    <w:basedOn w:val="HeadingSub1"/>
    <w:link w:val="StilHeadingSub112pctChar"/>
    <w:rsid w:val="005E045F"/>
    <w:pPr>
      <w:spacing w:before="200"/>
      <w:ind w:left="0" w:firstLine="0"/>
    </w:pPr>
    <w:rPr>
      <w:bCs/>
    </w:rPr>
  </w:style>
  <w:style w:type="paragraph" w:customStyle="1" w:styleId="11HeadingSub1">
    <w:name w:val="1.1 HeadingSub1"/>
    <w:basedOn w:val="HeadingSub1"/>
  </w:style>
  <w:style w:type="paragraph" w:customStyle="1" w:styleId="HeadingSub10">
    <w:name w:val="Heading Sub1"/>
    <w:basedOn w:val="HeadingSub1"/>
  </w:style>
  <w:style w:type="paragraph" w:customStyle="1" w:styleId="HeadingSub20">
    <w:name w:val="Heading Sub2"/>
    <w:basedOn w:val="HeadingSub2"/>
    <w:rPr>
      <w:sz w:val="24"/>
      <w:szCs w:val="24"/>
    </w:rPr>
  </w:style>
  <w:style w:type="paragraph" w:customStyle="1" w:styleId="Blank10pt">
    <w:name w:val="Blank10pt"/>
    <w:basedOn w:val="Normal"/>
    <w:pPr>
      <w:spacing w:line="200" w:lineRule="exact"/>
    </w:pPr>
    <w:rPr>
      <w:lang w:val="en-GB"/>
    </w:rPr>
  </w:style>
  <w:style w:type="paragraph" w:customStyle="1" w:styleId="FigureSubtitle">
    <w:name w:val="FigureSubtitle"/>
    <w:basedOn w:val="Normal"/>
    <w:next w:val="Textbloc"/>
    <w:pPr>
      <w:keepNext/>
      <w:spacing w:before="100" w:after="100"/>
      <w:jc w:val="center"/>
    </w:pPr>
    <w:rPr>
      <w:i/>
      <w:lang w:val="en-GB"/>
    </w:rPr>
  </w:style>
  <w:style w:type="paragraph" w:customStyle="1" w:styleId="FigureFrame80">
    <w:name w:val="FigureFrame80"/>
    <w:basedOn w:val="Normal"/>
    <w:pPr>
      <w:jc w:val="center"/>
    </w:pPr>
    <w:rPr>
      <w:lang w:val="en-GB"/>
    </w:rPr>
  </w:style>
  <w:style w:type="paragraph" w:customStyle="1" w:styleId="FigureSubrtitle">
    <w:name w:val="Figure Subrtitle"/>
    <w:basedOn w:val="FigureSubtitle"/>
    <w:pPr>
      <w:keepNext w:val="0"/>
      <w:numPr>
        <w:ilvl w:val="12"/>
      </w:numPr>
    </w:pPr>
    <w:rPr>
      <w:i w:val="0"/>
      <w:szCs w:val="24"/>
    </w:rPr>
  </w:style>
  <w:style w:type="paragraph" w:customStyle="1" w:styleId="Equation">
    <w:name w:val="Equation"/>
    <w:basedOn w:val="Normal"/>
    <w:next w:val="Textbloc"/>
    <w:pPr>
      <w:tabs>
        <w:tab w:val="right" w:pos="4536"/>
      </w:tabs>
    </w:pPr>
    <w:rPr>
      <w:lang w:val="en-GB"/>
    </w:rPr>
  </w:style>
  <w:style w:type="paragraph" w:customStyle="1" w:styleId="Equations">
    <w:name w:val="Equations"/>
    <w:basedOn w:val="ecuatie"/>
    <w:pPr>
      <w:spacing w:before="0" w:after="0" w:line="240" w:lineRule="auto"/>
    </w:pPr>
  </w:style>
  <w:style w:type="paragraph" w:customStyle="1" w:styleId="Blank5pt">
    <w:name w:val="Blank5pt"/>
    <w:basedOn w:val="Blank10pt"/>
    <w:pPr>
      <w:spacing w:line="100" w:lineRule="exact"/>
    </w:pPr>
  </w:style>
  <w:style w:type="paragraph" w:customStyle="1" w:styleId="TableFrame">
    <w:name w:val="TableFrame"/>
    <w:basedOn w:val="Normal"/>
    <w:next w:val="Normal"/>
    <w:pPr>
      <w:keepNext/>
      <w:numPr>
        <w:ilvl w:val="12"/>
      </w:numPr>
    </w:pPr>
    <w:rPr>
      <w:lang w:val="en-GB"/>
    </w:rPr>
  </w:style>
  <w:style w:type="paragraph" w:customStyle="1" w:styleId="TabelSubtitle">
    <w:name w:val="TabelSubtitle"/>
    <w:basedOn w:val="Normal"/>
    <w:next w:val="Textbloc"/>
    <w:pPr>
      <w:keepNext/>
      <w:spacing w:before="100" w:after="100"/>
      <w:jc w:val="center"/>
    </w:pPr>
    <w:rPr>
      <w:i/>
      <w:lang w:val="en-GB"/>
    </w:rPr>
  </w:style>
  <w:style w:type="paragraph" w:customStyle="1" w:styleId="TabelSubtitle0">
    <w:name w:val="Tabel Subtitle"/>
    <w:basedOn w:val="TabelSubtitle"/>
    <w:pPr>
      <w:numPr>
        <w:ilvl w:val="12"/>
      </w:numPr>
      <w:spacing w:before="0" w:after="0"/>
    </w:pPr>
    <w:rPr>
      <w:i w:val="0"/>
      <w:szCs w:val="24"/>
    </w:rPr>
  </w:style>
  <w:style w:type="paragraph" w:customStyle="1" w:styleId="StilHeadingMajor12pct">
    <w:name w:val="Stil HeadingMajor + 12 pct."/>
    <w:basedOn w:val="HeadingMajor"/>
    <w:next w:val="Textbloc"/>
    <w:link w:val="StilHeadingMajor12pctChar"/>
    <w:rsid w:val="006B141E"/>
    <w:pPr>
      <w:numPr>
        <w:numId w:val="4"/>
      </w:numPr>
      <w:spacing w:before="400"/>
    </w:pPr>
    <w:rPr>
      <w:bCs/>
      <w:szCs w:val="24"/>
    </w:rPr>
  </w:style>
  <w:style w:type="paragraph" w:customStyle="1" w:styleId="References">
    <w:name w:val="References"/>
    <w:basedOn w:val="biblio"/>
    <w:rPr>
      <w:sz w:val="24"/>
    </w:rPr>
  </w:style>
  <w:style w:type="paragraph" w:customStyle="1" w:styleId="TITLU">
    <w:name w:val="TITLU"/>
    <w:basedOn w:val="BodyText"/>
    <w:rPr>
      <w:szCs w:val="28"/>
    </w:rPr>
  </w:style>
  <w:style w:type="paragraph" w:customStyle="1" w:styleId="Title1">
    <w:name w:val="Title1"/>
    <w:basedOn w:val="Heading2"/>
    <w:rPr>
      <w:sz w:val="24"/>
    </w:rPr>
  </w:style>
  <w:style w:type="paragraph" w:styleId="Title">
    <w:name w:val="Title"/>
    <w:basedOn w:val="Normal"/>
    <w:next w:val="Blank10pt"/>
    <w:pPr>
      <w:spacing w:line="400" w:lineRule="exact"/>
    </w:pPr>
    <w:rPr>
      <w:b/>
      <w:caps/>
      <w:kern w:val="28"/>
      <w:sz w:val="36"/>
      <w:lang w:val="en-GB"/>
    </w:rPr>
  </w:style>
  <w:style w:type="paragraph" w:styleId="FootnoteText">
    <w:name w:val="footnote text"/>
    <w:basedOn w:val="Normal"/>
    <w:semiHidden/>
    <w:rPr>
      <w:lang w:val="en-GB"/>
    </w:rPr>
  </w:style>
  <w:style w:type="character" w:styleId="FootnoteReference">
    <w:name w:val="footnote reference"/>
    <w:semiHidden/>
    <w:rPr>
      <w:vertAlign w:val="superscript"/>
    </w:rPr>
  </w:style>
  <w:style w:type="paragraph" w:customStyle="1" w:styleId="Author">
    <w:name w:val="Author"/>
    <w:basedOn w:val="Normal"/>
    <w:next w:val="AuthorAddress"/>
    <w:rPr>
      <w:lang w:val="en-GB"/>
    </w:rPr>
  </w:style>
  <w:style w:type="paragraph" w:customStyle="1" w:styleId="AuthorAddress">
    <w:name w:val="AuthorAddress"/>
    <w:basedOn w:val="Author"/>
    <w:next w:val="Blank10pt"/>
    <w:rsid w:val="00D65984"/>
    <w:pPr>
      <w:spacing w:after="200"/>
    </w:pPr>
  </w:style>
  <w:style w:type="paragraph" w:customStyle="1" w:styleId="StyleStilKeywords12pctCursivBold">
    <w:name w:val="Style Stil Keywords + 12 pct. Cursiv + Bold"/>
    <w:basedOn w:val="Normal"/>
    <w:next w:val="Blank10pt"/>
    <w:link w:val="StyleStilKeywords12pctCursivBoldChar"/>
    <w:rsid w:val="0001199F"/>
    <w:rPr>
      <w:b/>
      <w:bCs/>
    </w:rPr>
  </w:style>
  <w:style w:type="paragraph" w:customStyle="1" w:styleId="Title10">
    <w:name w:val="Title1"/>
    <w:basedOn w:val="Normal"/>
    <w:link w:val="Title1Char"/>
    <w:pPr>
      <w:jc w:val="center"/>
    </w:pPr>
    <w:rPr>
      <w:rFonts w:ascii="Arial" w:hAnsi="Arial"/>
      <w:b/>
      <w:caps/>
      <w:sz w:val="28"/>
      <w:lang w:val="en-GB" w:eastAsia="it-IT"/>
    </w:rPr>
  </w:style>
  <w:style w:type="paragraph" w:customStyle="1" w:styleId="Text">
    <w:name w:val="Text"/>
    <w:basedOn w:val="Normal"/>
    <w:pPr>
      <w:jc w:val="both"/>
    </w:pPr>
    <w:rPr>
      <w:rFonts w:ascii="Arial" w:hAnsi="Arial" w:cs="Arial"/>
      <w:lang w:val="en-GB" w:eastAsia="it-IT"/>
    </w:rPr>
  </w:style>
  <w:style w:type="paragraph" w:customStyle="1" w:styleId="StilHeadingSub212pctnainte0pct">
    <w:name w:val="Stil HeadingSub2 + 12 pct. Înainte:  0 pct."/>
    <w:basedOn w:val="HeadingSub2"/>
    <w:link w:val="StilHeadingSub212pctnainte0pctChar"/>
    <w:rsid w:val="00D27A2F"/>
    <w:pPr>
      <w:spacing w:before="200"/>
      <w:ind w:left="0" w:firstLine="0"/>
    </w:pPr>
    <w:rPr>
      <w:bCs/>
      <w:iCs/>
    </w:rPr>
  </w:style>
  <w:style w:type="paragraph" w:customStyle="1" w:styleId="Stilecuatienainte0pctDup0pctSpaierernduri">
    <w:name w:val="Stil ecuatie + Înainte:  0 pct. După:  0 pct. Spaţiere rânduri: ..."/>
    <w:basedOn w:val="ecuatie"/>
    <w:pPr>
      <w:tabs>
        <w:tab w:val="clear" w:pos="3686"/>
        <w:tab w:val="clear" w:pos="8647"/>
      </w:tabs>
      <w:spacing w:before="0" w:after="0" w:line="240" w:lineRule="auto"/>
    </w:pPr>
  </w:style>
  <w:style w:type="paragraph" w:customStyle="1" w:styleId="Equation1">
    <w:name w:val="Equation1"/>
    <w:basedOn w:val="Stilecuatienainte0pctDup0pctSpaierernduri"/>
  </w:style>
  <w:style w:type="paragraph" w:customStyle="1" w:styleId="HeadingSub212pct">
    <w:name w:val="HeadingSub2 + 12 pct."/>
    <w:basedOn w:val="StilHeadingSub212pctnainte0pct"/>
  </w:style>
  <w:style w:type="paragraph" w:customStyle="1" w:styleId="Textabstract">
    <w:name w:val="Text abstract"/>
    <w:basedOn w:val="BodyTextIndent"/>
    <w:rPr>
      <w:i/>
    </w:rPr>
  </w:style>
  <w:style w:type="paragraph" w:customStyle="1" w:styleId="StilStilecuatienainte0pctDup0pctSpaiererndur">
    <w:name w:val="Stil Stil ecuatie + Înainte:  0 pct. După:  0 pct. Spaţiere rândur..."/>
    <w:basedOn w:val="Stilecuatienainte0pctDup0pctSpaierernduri"/>
    <w:pPr>
      <w:jc w:val="both"/>
    </w:pPr>
  </w:style>
  <w:style w:type="paragraph" w:customStyle="1" w:styleId="FigureSubtitle0">
    <w:name w:val="Figure Subtitle"/>
    <w:basedOn w:val="FigureSubtitle"/>
    <w:pPr>
      <w:spacing w:before="0" w:after="0"/>
    </w:pPr>
    <w:rPr>
      <w:i w:val="0"/>
    </w:rPr>
  </w:style>
  <w:style w:type="character" w:customStyle="1" w:styleId="TextblocCaracter">
    <w:name w:val="Textbloc Caracter"/>
    <w:rPr>
      <w:sz w:val="24"/>
      <w:szCs w:val="24"/>
      <w:lang w:val="en-GB" w:eastAsia="en-US" w:bidi="ar-SA"/>
    </w:rPr>
  </w:style>
  <w:style w:type="paragraph" w:styleId="BalloonText">
    <w:name w:val="Balloon Text"/>
    <w:basedOn w:val="Normal"/>
    <w:semiHidden/>
    <w:rPr>
      <w:rFonts w:ascii="Tahoma" w:hAnsi="Tahoma" w:cs="Tahoma"/>
      <w:sz w:val="16"/>
      <w:szCs w:val="16"/>
    </w:rPr>
  </w:style>
  <w:style w:type="paragraph" w:customStyle="1" w:styleId="StilKeywords12pctCursiv">
    <w:name w:val="Stil Keywords + 12 pct. Cursiv"/>
    <w:basedOn w:val="Keywords"/>
    <w:rPr>
      <w:i/>
      <w:iCs/>
    </w:rPr>
  </w:style>
  <w:style w:type="character" w:customStyle="1" w:styleId="KeywordsCaracter">
    <w:name w:val="Keywords Caracter"/>
    <w:rPr>
      <w:lang w:val="en-GB" w:eastAsia="en-US" w:bidi="ar-SA"/>
    </w:rPr>
  </w:style>
  <w:style w:type="character" w:customStyle="1" w:styleId="StilKeywords12pctCursivCaracter">
    <w:name w:val="Stil Keywords + 12 pct. Cursiv Caracter"/>
    <w:rPr>
      <w:i/>
      <w:iCs/>
      <w:sz w:val="20"/>
      <w:lang w:val="en-GB" w:eastAsia="en-US" w:bidi="ar-SA"/>
    </w:rPr>
  </w:style>
  <w:style w:type="paragraph" w:customStyle="1" w:styleId="Abstractbloc">
    <w:name w:val="Abstractbloc"/>
    <w:basedOn w:val="BodyTextIndent"/>
    <w:next w:val="Textbloc"/>
    <w:link w:val="AbstractblocChar"/>
    <w:rsid w:val="006229A4"/>
    <w:pPr>
      <w:ind w:firstLine="0"/>
    </w:pPr>
    <w:rPr>
      <w:i/>
      <w:szCs w:val="24"/>
    </w:rPr>
  </w:style>
  <w:style w:type="paragraph" w:customStyle="1" w:styleId="TableSubtitle">
    <w:name w:val="TableSubtitle"/>
    <w:basedOn w:val="FigureSubtitle0"/>
  </w:style>
  <w:style w:type="paragraph" w:customStyle="1" w:styleId="StyleTextbloc10pt">
    <w:name w:val="Style Textbloc + 10 pt"/>
    <w:basedOn w:val="Textbloc"/>
    <w:link w:val="StyleTextbloc10ptChar"/>
    <w:rsid w:val="00A56B4A"/>
    <w:rPr>
      <w:sz w:val="20"/>
    </w:rPr>
  </w:style>
  <w:style w:type="character" w:customStyle="1" w:styleId="TextblocChar">
    <w:name w:val="Textbloc Char"/>
    <w:link w:val="Textbloc"/>
    <w:rsid w:val="0079518A"/>
    <w:rPr>
      <w:rFonts w:ascii="Arial" w:hAnsi="Arial"/>
      <w:sz w:val="22"/>
      <w:szCs w:val="24"/>
      <w:lang w:val="en-GB"/>
    </w:rPr>
  </w:style>
  <w:style w:type="character" w:customStyle="1" w:styleId="StyleTextbloc10ptChar">
    <w:name w:val="Style Textbloc + 10 pt Char"/>
    <w:basedOn w:val="TextblocChar"/>
    <w:link w:val="StyleTextbloc10pt"/>
    <w:rsid w:val="00A56B4A"/>
    <w:rPr>
      <w:rFonts w:ascii="Arial" w:hAnsi="Arial"/>
      <w:sz w:val="22"/>
      <w:szCs w:val="24"/>
      <w:lang w:val="en-GB"/>
    </w:rPr>
  </w:style>
  <w:style w:type="character" w:customStyle="1" w:styleId="StyleStilKeywords12pctCursivBoldChar">
    <w:name w:val="Style Stil Keywords + 12 pct. Cursiv + Bold Char"/>
    <w:link w:val="StyleStilKeywords12pctCursivBold"/>
    <w:rsid w:val="0001199F"/>
    <w:rPr>
      <w:b/>
      <w:bCs/>
      <w:lang w:val="ro-RO" w:eastAsia="en-US" w:bidi="ar-SA"/>
    </w:rPr>
  </w:style>
  <w:style w:type="paragraph" w:customStyle="1" w:styleId="AbstractTitle">
    <w:name w:val="Abstract_Title"/>
    <w:basedOn w:val="BodyTextIndent"/>
    <w:next w:val="Textbloc"/>
    <w:link w:val="AbstractTitleChar"/>
    <w:rsid w:val="00A00E51"/>
    <w:pPr>
      <w:spacing w:before="400" w:after="100"/>
      <w:ind w:firstLine="0"/>
    </w:pPr>
    <w:rPr>
      <w:b/>
      <w:iCs/>
      <w:caps/>
    </w:rPr>
  </w:style>
  <w:style w:type="paragraph" w:customStyle="1" w:styleId="AuthorList">
    <w:name w:val="Author List"/>
    <w:basedOn w:val="Normal"/>
    <w:next w:val="Textbloc"/>
    <w:link w:val="AuthorListChar"/>
    <w:rsid w:val="00D65984"/>
    <w:pPr>
      <w:spacing w:before="400" w:after="200"/>
      <w:jc w:val="center"/>
    </w:pPr>
    <w:rPr>
      <w:b/>
      <w:bCs/>
      <w:lang w:eastAsia="x-none"/>
    </w:rPr>
  </w:style>
  <w:style w:type="paragraph" w:customStyle="1" w:styleId="PAPERTITLE">
    <w:name w:val="PAPER_TITLE"/>
    <w:basedOn w:val="Title10"/>
    <w:link w:val="PAPERTITLEChar"/>
    <w:qFormat/>
    <w:rsid w:val="00831D46"/>
    <w:rPr>
      <w:sz w:val="24"/>
      <w:szCs w:val="24"/>
    </w:rPr>
  </w:style>
  <w:style w:type="paragraph" w:customStyle="1" w:styleId="Authorlist0">
    <w:name w:val="Author_list"/>
    <w:basedOn w:val="AuthorList"/>
    <w:link w:val="AuthorlistChar0"/>
    <w:qFormat/>
    <w:rsid w:val="00831D46"/>
    <w:rPr>
      <w:rFonts w:ascii="Arial" w:hAnsi="Arial"/>
    </w:rPr>
  </w:style>
  <w:style w:type="character" w:customStyle="1" w:styleId="Title1Char">
    <w:name w:val="Title1 Char"/>
    <w:link w:val="Title10"/>
    <w:rsid w:val="00506101"/>
    <w:rPr>
      <w:rFonts w:ascii="Arial" w:hAnsi="Arial" w:cs="Arial"/>
      <w:b/>
      <w:caps/>
      <w:sz w:val="28"/>
      <w:lang w:val="en-GB" w:eastAsia="it-IT"/>
    </w:rPr>
  </w:style>
  <w:style w:type="character" w:customStyle="1" w:styleId="PAPERTITLEChar">
    <w:name w:val="PAPER_TITLE Char"/>
    <w:link w:val="PAPERTITLE"/>
    <w:rsid w:val="00831D46"/>
    <w:rPr>
      <w:rFonts w:ascii="Arial" w:hAnsi="Arial"/>
      <w:b/>
      <w:caps/>
      <w:sz w:val="24"/>
      <w:szCs w:val="24"/>
      <w:lang w:val="en-GB" w:eastAsia="it-IT"/>
    </w:rPr>
  </w:style>
  <w:style w:type="paragraph" w:customStyle="1" w:styleId="ABSTRACTHEADING">
    <w:name w:val="ABSTRACT_HEADING"/>
    <w:basedOn w:val="AbstractTitle"/>
    <w:link w:val="ABSTRACTHEADINGChar"/>
    <w:autoRedefine/>
    <w:qFormat/>
    <w:rsid w:val="00051C7D"/>
    <w:pPr>
      <w:tabs>
        <w:tab w:val="left" w:pos="5385"/>
      </w:tabs>
      <w:spacing w:before="480" w:after="120"/>
    </w:pPr>
    <w:rPr>
      <w:sz w:val="22"/>
    </w:rPr>
  </w:style>
  <w:style w:type="character" w:customStyle="1" w:styleId="AuthorListChar">
    <w:name w:val="Author List Char"/>
    <w:link w:val="AuthorList"/>
    <w:rsid w:val="00506101"/>
    <w:rPr>
      <w:b/>
      <w:bCs/>
      <w:lang w:val="ro-RO"/>
    </w:rPr>
  </w:style>
  <w:style w:type="character" w:customStyle="1" w:styleId="AuthorlistChar0">
    <w:name w:val="Author_list Char"/>
    <w:link w:val="Authorlist0"/>
    <w:rsid w:val="00831D46"/>
    <w:rPr>
      <w:rFonts w:ascii="Arial" w:hAnsi="Arial"/>
      <w:b/>
      <w:bCs/>
      <w:lang w:val="ro-RO"/>
    </w:rPr>
  </w:style>
  <w:style w:type="paragraph" w:customStyle="1" w:styleId="Abstracttext">
    <w:name w:val="Abstract_text"/>
    <w:basedOn w:val="Abstractbloc"/>
    <w:link w:val="AbstracttextChar"/>
    <w:qFormat/>
    <w:rsid w:val="00506101"/>
  </w:style>
  <w:style w:type="character" w:customStyle="1" w:styleId="BodyTextIndentChar">
    <w:name w:val="Body Text Indent Char"/>
    <w:aliases w:val="TextBloc Char"/>
    <w:link w:val="BodyTextIndent"/>
    <w:rsid w:val="00506101"/>
    <w:rPr>
      <w:lang w:val="ro-RO"/>
    </w:rPr>
  </w:style>
  <w:style w:type="character" w:customStyle="1" w:styleId="AbstractTitleChar">
    <w:name w:val="Abstract_Title Char"/>
    <w:link w:val="AbstractTitle"/>
    <w:rsid w:val="00506101"/>
    <w:rPr>
      <w:b/>
      <w:iCs/>
      <w:caps/>
      <w:lang w:val="ro-RO"/>
    </w:rPr>
  </w:style>
  <w:style w:type="character" w:customStyle="1" w:styleId="ABSTRACTHEADINGChar">
    <w:name w:val="ABSTRACT_HEADING Char"/>
    <w:link w:val="ABSTRACTHEADING"/>
    <w:rsid w:val="00051C7D"/>
    <w:rPr>
      <w:b/>
      <w:iCs/>
      <w:caps/>
      <w:sz w:val="22"/>
      <w:lang w:val="ro-RO" w:eastAsia="x-none"/>
    </w:rPr>
  </w:style>
  <w:style w:type="paragraph" w:customStyle="1" w:styleId="SECTIONHEADING">
    <w:name w:val="SECTION_HEADING"/>
    <w:basedOn w:val="StilHeadingMajor12pct"/>
    <w:link w:val="SECTIONHEADINGChar"/>
    <w:autoRedefine/>
    <w:qFormat/>
    <w:rsid w:val="00FC5137"/>
    <w:pPr>
      <w:spacing w:before="0" w:after="120"/>
    </w:pPr>
    <w:rPr>
      <w:rFonts w:ascii="Arial" w:hAnsi="Arial"/>
      <w:sz w:val="22"/>
    </w:rPr>
  </w:style>
  <w:style w:type="character" w:customStyle="1" w:styleId="AbstractblocChar">
    <w:name w:val="Abstractbloc Char"/>
    <w:link w:val="Abstractbloc"/>
    <w:rsid w:val="00506101"/>
    <w:rPr>
      <w:i/>
      <w:szCs w:val="24"/>
      <w:lang w:val="ro-RO"/>
    </w:rPr>
  </w:style>
  <w:style w:type="character" w:customStyle="1" w:styleId="AbstracttextChar">
    <w:name w:val="Abstract_text Char"/>
    <w:basedOn w:val="AbstractblocChar"/>
    <w:link w:val="Abstracttext"/>
    <w:rsid w:val="00506101"/>
    <w:rPr>
      <w:i/>
      <w:szCs w:val="24"/>
      <w:lang w:val="ro-RO"/>
    </w:rPr>
  </w:style>
  <w:style w:type="paragraph" w:customStyle="1" w:styleId="1stsub-heading">
    <w:name w:val="1st_sub-heading"/>
    <w:basedOn w:val="StilHeadingSub112pct"/>
    <w:link w:val="1stsub-headingChar"/>
    <w:autoRedefine/>
    <w:qFormat/>
    <w:rsid w:val="00FB4999"/>
    <w:pPr>
      <w:tabs>
        <w:tab w:val="clear" w:pos="576"/>
        <w:tab w:val="num" w:pos="360"/>
      </w:tabs>
    </w:pPr>
    <w:rPr>
      <w:rFonts w:ascii="Arial" w:hAnsi="Arial"/>
    </w:rPr>
  </w:style>
  <w:style w:type="character" w:customStyle="1" w:styleId="HeadingMajorChar">
    <w:name w:val="HeadingMajor Char"/>
    <w:link w:val="HeadingMajor"/>
    <w:rsid w:val="00506101"/>
    <w:rPr>
      <w:b/>
      <w:caps/>
      <w:lang w:val="en-GB"/>
    </w:rPr>
  </w:style>
  <w:style w:type="character" w:customStyle="1" w:styleId="StilHeadingMajor12pctChar">
    <w:name w:val="Stil HeadingMajor + 12 pct. Char"/>
    <w:link w:val="StilHeadingMajor12pct"/>
    <w:rsid w:val="00506101"/>
    <w:rPr>
      <w:b/>
      <w:bCs/>
      <w:caps/>
      <w:szCs w:val="24"/>
      <w:lang w:val="en-GB"/>
    </w:rPr>
  </w:style>
  <w:style w:type="character" w:customStyle="1" w:styleId="SECTIONHEADINGChar">
    <w:name w:val="SECTION_HEADING Char"/>
    <w:link w:val="SECTIONHEADING"/>
    <w:rsid w:val="00FC5137"/>
    <w:rPr>
      <w:rFonts w:ascii="Arial" w:hAnsi="Arial"/>
      <w:b/>
      <w:bCs/>
      <w:caps/>
      <w:sz w:val="22"/>
      <w:szCs w:val="24"/>
      <w:lang w:val="en-GB" w:eastAsia="x-none"/>
    </w:rPr>
  </w:style>
  <w:style w:type="paragraph" w:customStyle="1" w:styleId="2ndSub-heading">
    <w:name w:val="2nd_Sub-heading"/>
    <w:basedOn w:val="HeadingSub2"/>
    <w:link w:val="2ndSub-headingChar"/>
    <w:autoRedefine/>
    <w:qFormat/>
    <w:rsid w:val="0079518A"/>
    <w:pPr>
      <w:tabs>
        <w:tab w:val="clear" w:pos="720"/>
        <w:tab w:val="num" w:pos="360"/>
      </w:tabs>
      <w:spacing w:before="200"/>
      <w:ind w:left="0" w:firstLine="0"/>
    </w:pPr>
    <w:rPr>
      <w:rFonts w:ascii="Arial" w:hAnsi="Arial"/>
      <w:i w:val="0"/>
    </w:rPr>
  </w:style>
  <w:style w:type="character" w:customStyle="1" w:styleId="HeadingSub1Char">
    <w:name w:val="HeadingSub1 Char"/>
    <w:link w:val="HeadingSub1"/>
    <w:rsid w:val="00506101"/>
    <w:rPr>
      <w:b/>
      <w:caps w:val="0"/>
      <w:lang w:val="en-GB"/>
    </w:rPr>
  </w:style>
  <w:style w:type="character" w:customStyle="1" w:styleId="StilHeadingSub112pctChar">
    <w:name w:val="Stil HeadingSub1 + 12 pct. Char"/>
    <w:link w:val="StilHeadingSub112pct"/>
    <w:rsid w:val="00506101"/>
    <w:rPr>
      <w:b/>
      <w:bCs/>
      <w:caps w:val="0"/>
      <w:lang w:val="en-GB"/>
    </w:rPr>
  </w:style>
  <w:style w:type="character" w:customStyle="1" w:styleId="1stsub-headingChar">
    <w:name w:val="1st_sub-heading Char"/>
    <w:link w:val="1stsub-heading"/>
    <w:rsid w:val="00FB4999"/>
    <w:rPr>
      <w:rFonts w:ascii="Arial" w:hAnsi="Arial"/>
      <w:b/>
      <w:bCs/>
      <w:lang w:val="en-GB" w:eastAsia="x-none"/>
    </w:rPr>
  </w:style>
  <w:style w:type="paragraph" w:customStyle="1" w:styleId="3rdSub-heading">
    <w:name w:val="3rd_Sub-heading"/>
    <w:basedOn w:val="StilHeadingSub212pctnainte0pct"/>
    <w:link w:val="3rdSub-headingChar"/>
    <w:autoRedefine/>
    <w:qFormat/>
    <w:rsid w:val="0079518A"/>
    <w:pPr>
      <w:numPr>
        <w:ilvl w:val="3"/>
      </w:numPr>
      <w:tabs>
        <w:tab w:val="left" w:pos="720"/>
      </w:tabs>
    </w:pPr>
    <w:rPr>
      <w:rFonts w:ascii="Arial" w:hAnsi="Arial"/>
    </w:rPr>
  </w:style>
  <w:style w:type="character" w:customStyle="1" w:styleId="HeadingSub2Char">
    <w:name w:val="HeadingSub2 Char"/>
    <w:link w:val="HeadingSub2"/>
    <w:rsid w:val="004644C0"/>
    <w:rPr>
      <w:b/>
      <w:i/>
      <w:caps w:val="0"/>
      <w:lang w:val="en-GB"/>
    </w:rPr>
  </w:style>
  <w:style w:type="character" w:customStyle="1" w:styleId="2ndSub-headingChar">
    <w:name w:val="2nd_Sub-heading Char"/>
    <w:link w:val="2ndSub-heading"/>
    <w:rsid w:val="0079518A"/>
    <w:rPr>
      <w:rFonts w:ascii="Arial" w:hAnsi="Arial" w:cs="Arial"/>
      <w:b/>
      <w:lang w:val="en-GB"/>
    </w:rPr>
  </w:style>
  <w:style w:type="paragraph" w:customStyle="1" w:styleId="SECTIONWITHOUTNUMBER">
    <w:name w:val="SECTION_WITHOUT_NUMBER"/>
    <w:basedOn w:val="SECTIONHEADING"/>
    <w:link w:val="SECTIONWITHOUTNUMBERChar"/>
    <w:autoRedefine/>
    <w:qFormat/>
    <w:rsid w:val="00DA3C5C"/>
    <w:pPr>
      <w:numPr>
        <w:numId w:val="0"/>
      </w:numPr>
    </w:pPr>
    <w:rPr>
      <w:rFonts w:ascii="Times New Roman" w:hAnsi="Times New Roman"/>
    </w:rPr>
  </w:style>
  <w:style w:type="character" w:customStyle="1" w:styleId="StilHeadingSub212pctnainte0pctChar">
    <w:name w:val="Stil HeadingSub2 + 12 pct. Înainte:  0 pct. Char"/>
    <w:link w:val="StilHeadingSub212pctnainte0pct"/>
    <w:rsid w:val="004644C0"/>
    <w:rPr>
      <w:b/>
      <w:bCs/>
      <w:i/>
      <w:iCs/>
      <w:caps w:val="0"/>
      <w:lang w:val="en-GB"/>
    </w:rPr>
  </w:style>
  <w:style w:type="character" w:customStyle="1" w:styleId="3rdSub-headingChar">
    <w:name w:val="3rd_Sub-heading Char"/>
    <w:link w:val="3rdSub-heading"/>
    <w:rsid w:val="0079518A"/>
    <w:rPr>
      <w:rFonts w:ascii="Arial" w:hAnsi="Arial" w:cs="Arial"/>
      <w:b/>
      <w:bCs/>
      <w:i/>
      <w:iCs/>
      <w:caps w:val="0"/>
      <w:lang w:val="en-GB"/>
    </w:rPr>
  </w:style>
  <w:style w:type="paragraph" w:customStyle="1" w:styleId="BodyText0">
    <w:name w:val="Body_Text"/>
    <w:basedOn w:val="Textbloc"/>
    <w:link w:val="BodyTextChar"/>
    <w:autoRedefine/>
    <w:qFormat/>
    <w:rsid w:val="00D639DE"/>
    <w:rPr>
      <w:rFonts w:ascii="Times New Roman" w:hAnsi="Times New Roman"/>
      <w:lang w:val="ro-RO"/>
    </w:rPr>
  </w:style>
  <w:style w:type="character" w:customStyle="1" w:styleId="SECTIONWITHOUTNUMBERChar">
    <w:name w:val="SECTION_WITHOUT_NUMBER Char"/>
    <w:basedOn w:val="SECTIONHEADINGChar"/>
    <w:link w:val="SECTIONWITHOUTNUMBER"/>
    <w:rsid w:val="00DA3C5C"/>
    <w:rPr>
      <w:rFonts w:ascii="Arial" w:hAnsi="Arial"/>
      <w:b/>
      <w:bCs/>
      <w:caps/>
      <w:sz w:val="22"/>
      <w:szCs w:val="24"/>
      <w:lang w:val="en-GB" w:eastAsia="x-none"/>
    </w:rPr>
  </w:style>
  <w:style w:type="paragraph" w:customStyle="1" w:styleId="Style1stsub-headingArial">
    <w:name w:val="Style 1st_sub-heading + Arial"/>
    <w:basedOn w:val="1stsub-heading"/>
    <w:rsid w:val="008F3499"/>
    <w:pPr>
      <w:spacing w:before="240" w:after="120"/>
    </w:pPr>
    <w:rPr>
      <w:sz w:val="22"/>
    </w:rPr>
  </w:style>
  <w:style w:type="character" w:customStyle="1" w:styleId="BodyTextChar">
    <w:name w:val="Body_Text Char"/>
    <w:link w:val="BodyText0"/>
    <w:rsid w:val="00D639DE"/>
    <w:rPr>
      <w:sz w:val="22"/>
      <w:szCs w:val="24"/>
      <w:lang w:val="ro-RO" w:eastAsia="x-none"/>
    </w:rPr>
  </w:style>
  <w:style w:type="paragraph" w:customStyle="1" w:styleId="Style2ndSub-headingArial">
    <w:name w:val="Style 2nd_Sub-heading + Arial"/>
    <w:basedOn w:val="2ndSub-heading"/>
    <w:rsid w:val="008F3499"/>
    <w:pPr>
      <w:spacing w:before="240" w:after="120"/>
    </w:pPr>
    <w:rPr>
      <w:bCs/>
      <w:sz w:val="22"/>
    </w:rPr>
  </w:style>
  <w:style w:type="paragraph" w:customStyle="1" w:styleId="Style3rdSub-headingArial">
    <w:name w:val="Style 3rd_Sub-heading + Arial"/>
    <w:basedOn w:val="3rdSub-heading"/>
    <w:rsid w:val="008F3499"/>
    <w:pPr>
      <w:spacing w:before="240" w:after="120"/>
    </w:pPr>
    <w:rPr>
      <w:sz w:val="22"/>
    </w:rPr>
  </w:style>
  <w:style w:type="character" w:styleId="UnresolvedMention">
    <w:name w:val="Unresolved Mention"/>
    <w:uiPriority w:val="99"/>
    <w:semiHidden/>
    <w:unhideWhenUsed/>
    <w:rsid w:val="00085BE9"/>
    <w:rPr>
      <w:color w:val="605E5C"/>
      <w:shd w:val="clear" w:color="auto" w:fill="E1DFDD"/>
    </w:rPr>
  </w:style>
  <w:style w:type="character" w:styleId="FollowedHyperlink">
    <w:name w:val="FollowedHyperlink"/>
    <w:uiPriority w:val="99"/>
    <w:semiHidden/>
    <w:unhideWhenUsed/>
    <w:rsid w:val="00085BE9"/>
    <w:rPr>
      <w:color w:val="954F72"/>
      <w:u w:val="single"/>
    </w:rPr>
  </w:style>
  <w:style w:type="table" w:styleId="LightShading-Accent4">
    <w:name w:val="Light Shading Accent 4"/>
    <w:basedOn w:val="TableNormal"/>
    <w:uiPriority w:val="60"/>
    <w:rsid w:val="008C0509"/>
    <w:rPr>
      <w:rFonts w:ascii="Cambria" w:eastAsia="MS Mincho" w:hAnsi="Cambria"/>
      <w:color w:val="5F497A"/>
      <w:sz w:val="22"/>
      <w:szCs w:val="22"/>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paragraph" w:styleId="NoSpacing">
    <w:name w:val="No Spacing"/>
    <w:uiPriority w:val="1"/>
    <w:qFormat/>
    <w:rsid w:val="00EC67F8"/>
    <w:rPr>
      <w:rFonts w:ascii="Cambria" w:eastAsia="MS Mincho" w:hAnsi="Cambria"/>
      <w:sz w:val="22"/>
      <w:szCs w:val="22"/>
    </w:rPr>
  </w:style>
  <w:style w:type="paragraph" w:styleId="ListBullet">
    <w:name w:val="List Bullet"/>
    <w:basedOn w:val="Normal"/>
    <w:uiPriority w:val="99"/>
    <w:unhideWhenUsed/>
    <w:rsid w:val="00EC67F8"/>
    <w:pPr>
      <w:numPr>
        <w:numId w:val="9"/>
      </w:numPr>
      <w:spacing w:after="200" w:line="276" w:lineRule="auto"/>
      <w:ind w:left="340" w:hanging="340"/>
      <w:contextualSpacing/>
    </w:pPr>
    <w:rPr>
      <w:sz w:val="22"/>
      <w:szCs w:val="22"/>
      <w:lang w:val="en-US"/>
    </w:rPr>
  </w:style>
  <w:style w:type="table" w:styleId="MediumList1-Accent6">
    <w:name w:val="Medium List 1 Accent 6"/>
    <w:basedOn w:val="TableNormal"/>
    <w:uiPriority w:val="65"/>
    <w:rsid w:val="003672D1"/>
    <w:rPr>
      <w:rFonts w:ascii="Cambria" w:eastAsia="MS Mincho" w:hAnsi="Cambria"/>
      <w:color w:val="000000"/>
      <w:sz w:val="22"/>
      <w:szCs w:val="22"/>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TableGrid">
    <w:name w:val="Table Grid"/>
    <w:basedOn w:val="TableNormal"/>
    <w:uiPriority w:val="59"/>
    <w:rsid w:val="007F6A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7609C"/>
    <w:rPr>
      <w:sz w:val="16"/>
      <w:szCs w:val="16"/>
    </w:rPr>
  </w:style>
  <w:style w:type="paragraph" w:styleId="CommentText">
    <w:name w:val="annotation text"/>
    <w:basedOn w:val="Normal"/>
    <w:link w:val="CommentTextChar"/>
    <w:uiPriority w:val="99"/>
    <w:semiHidden/>
    <w:unhideWhenUsed/>
    <w:rsid w:val="00C7609C"/>
  </w:style>
  <w:style w:type="character" w:customStyle="1" w:styleId="CommentTextChar">
    <w:name w:val="Comment Text Char"/>
    <w:basedOn w:val="DefaultParagraphFont"/>
    <w:link w:val="CommentText"/>
    <w:uiPriority w:val="99"/>
    <w:semiHidden/>
    <w:rsid w:val="00C7609C"/>
    <w:rPr>
      <w:lang w:val="ro-RO"/>
    </w:rPr>
  </w:style>
  <w:style w:type="paragraph" w:styleId="CommentSubject">
    <w:name w:val="annotation subject"/>
    <w:basedOn w:val="CommentText"/>
    <w:next w:val="CommentText"/>
    <w:link w:val="CommentSubjectChar"/>
    <w:uiPriority w:val="99"/>
    <w:semiHidden/>
    <w:unhideWhenUsed/>
    <w:rsid w:val="00C7609C"/>
    <w:rPr>
      <w:b/>
      <w:bCs/>
    </w:rPr>
  </w:style>
  <w:style w:type="character" w:customStyle="1" w:styleId="CommentSubjectChar">
    <w:name w:val="Comment Subject Char"/>
    <w:basedOn w:val="CommentTextChar"/>
    <w:link w:val="CommentSubject"/>
    <w:uiPriority w:val="99"/>
    <w:semiHidden/>
    <w:rsid w:val="00C7609C"/>
    <w:rPr>
      <w:b/>
      <w:bCs/>
      <w:lang w:val="ro-RO"/>
    </w:rPr>
  </w:style>
  <w:style w:type="table" w:styleId="PlainTable2">
    <w:name w:val="Plain Table 2"/>
    <w:basedOn w:val="TableNormal"/>
    <w:uiPriority w:val="42"/>
    <w:rsid w:val="00043AF4"/>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043AF4"/>
    <w:rPr>
      <w:sz w:val="24"/>
      <w:szCs w:val="24"/>
    </w:rPr>
  </w:style>
  <w:style w:type="character" w:customStyle="1" w:styleId="Heading3Char">
    <w:name w:val="Heading 3 Char"/>
    <w:basedOn w:val="DefaultParagraphFont"/>
    <w:link w:val="Heading3"/>
    <w:rsid w:val="00043AF4"/>
    <w:rPr>
      <w:b/>
    </w:rPr>
  </w:style>
  <w:style w:type="paragraph" w:styleId="Bibliography">
    <w:name w:val="Bibliography"/>
    <w:basedOn w:val="Normal"/>
    <w:next w:val="Normal"/>
    <w:uiPriority w:val="37"/>
    <w:unhideWhenUsed/>
    <w:rsid w:val="00214B6A"/>
    <w:pPr>
      <w:spacing w:line="480" w:lineRule="auto"/>
      <w:ind w:left="720" w:hanging="720"/>
    </w:pPr>
  </w:style>
  <w:style w:type="character" w:styleId="LineNumber">
    <w:name w:val="line number"/>
    <w:basedOn w:val="DefaultParagraphFont"/>
    <w:uiPriority w:val="99"/>
    <w:semiHidden/>
    <w:unhideWhenUsed/>
    <w:rsid w:val="006B0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826393">
      <w:bodyDiv w:val="1"/>
      <w:marLeft w:val="0"/>
      <w:marRight w:val="0"/>
      <w:marTop w:val="0"/>
      <w:marBottom w:val="0"/>
      <w:divBdr>
        <w:top w:val="none" w:sz="0" w:space="0" w:color="auto"/>
        <w:left w:val="none" w:sz="0" w:space="0" w:color="auto"/>
        <w:bottom w:val="none" w:sz="0" w:space="0" w:color="auto"/>
        <w:right w:val="none" w:sz="0" w:space="0" w:color="auto"/>
      </w:divBdr>
    </w:div>
    <w:div w:id="276184125">
      <w:bodyDiv w:val="1"/>
      <w:marLeft w:val="0"/>
      <w:marRight w:val="0"/>
      <w:marTop w:val="0"/>
      <w:marBottom w:val="0"/>
      <w:divBdr>
        <w:top w:val="none" w:sz="0" w:space="0" w:color="auto"/>
        <w:left w:val="none" w:sz="0" w:space="0" w:color="auto"/>
        <w:bottom w:val="none" w:sz="0" w:space="0" w:color="auto"/>
        <w:right w:val="none" w:sz="0" w:space="0" w:color="auto"/>
      </w:divBdr>
    </w:div>
    <w:div w:id="476382434">
      <w:bodyDiv w:val="1"/>
      <w:marLeft w:val="0"/>
      <w:marRight w:val="0"/>
      <w:marTop w:val="0"/>
      <w:marBottom w:val="0"/>
      <w:divBdr>
        <w:top w:val="none" w:sz="0" w:space="0" w:color="auto"/>
        <w:left w:val="none" w:sz="0" w:space="0" w:color="auto"/>
        <w:bottom w:val="none" w:sz="0" w:space="0" w:color="auto"/>
        <w:right w:val="none" w:sz="0" w:space="0" w:color="auto"/>
      </w:divBdr>
    </w:div>
    <w:div w:id="510411353">
      <w:bodyDiv w:val="1"/>
      <w:marLeft w:val="0"/>
      <w:marRight w:val="0"/>
      <w:marTop w:val="0"/>
      <w:marBottom w:val="0"/>
      <w:divBdr>
        <w:top w:val="none" w:sz="0" w:space="0" w:color="auto"/>
        <w:left w:val="none" w:sz="0" w:space="0" w:color="auto"/>
        <w:bottom w:val="none" w:sz="0" w:space="0" w:color="auto"/>
        <w:right w:val="none" w:sz="0" w:space="0" w:color="auto"/>
      </w:divBdr>
    </w:div>
    <w:div w:id="1010597480">
      <w:bodyDiv w:val="1"/>
      <w:marLeft w:val="0"/>
      <w:marRight w:val="0"/>
      <w:marTop w:val="0"/>
      <w:marBottom w:val="0"/>
      <w:divBdr>
        <w:top w:val="none" w:sz="0" w:space="0" w:color="auto"/>
        <w:left w:val="none" w:sz="0" w:space="0" w:color="auto"/>
        <w:bottom w:val="none" w:sz="0" w:space="0" w:color="auto"/>
        <w:right w:val="none" w:sz="0" w:space="0" w:color="auto"/>
      </w:divBdr>
    </w:div>
    <w:div w:id="1085103506">
      <w:bodyDiv w:val="1"/>
      <w:marLeft w:val="0"/>
      <w:marRight w:val="0"/>
      <w:marTop w:val="0"/>
      <w:marBottom w:val="0"/>
      <w:divBdr>
        <w:top w:val="none" w:sz="0" w:space="0" w:color="auto"/>
        <w:left w:val="none" w:sz="0" w:space="0" w:color="auto"/>
        <w:bottom w:val="none" w:sz="0" w:space="0" w:color="auto"/>
        <w:right w:val="none" w:sz="0" w:space="0" w:color="auto"/>
      </w:divBdr>
    </w:div>
    <w:div w:id="1099834161">
      <w:bodyDiv w:val="1"/>
      <w:marLeft w:val="0"/>
      <w:marRight w:val="0"/>
      <w:marTop w:val="0"/>
      <w:marBottom w:val="0"/>
      <w:divBdr>
        <w:top w:val="none" w:sz="0" w:space="0" w:color="auto"/>
        <w:left w:val="none" w:sz="0" w:space="0" w:color="auto"/>
        <w:bottom w:val="none" w:sz="0" w:space="0" w:color="auto"/>
        <w:right w:val="none" w:sz="0" w:space="0" w:color="auto"/>
      </w:divBdr>
    </w:div>
    <w:div w:id="1184519231">
      <w:bodyDiv w:val="1"/>
      <w:marLeft w:val="0"/>
      <w:marRight w:val="0"/>
      <w:marTop w:val="0"/>
      <w:marBottom w:val="0"/>
      <w:divBdr>
        <w:top w:val="none" w:sz="0" w:space="0" w:color="auto"/>
        <w:left w:val="none" w:sz="0" w:space="0" w:color="auto"/>
        <w:bottom w:val="none" w:sz="0" w:space="0" w:color="auto"/>
        <w:right w:val="none" w:sz="0" w:space="0" w:color="auto"/>
      </w:divBdr>
    </w:div>
    <w:div w:id="1565069188">
      <w:bodyDiv w:val="1"/>
      <w:marLeft w:val="0"/>
      <w:marRight w:val="0"/>
      <w:marTop w:val="0"/>
      <w:marBottom w:val="0"/>
      <w:divBdr>
        <w:top w:val="none" w:sz="0" w:space="0" w:color="auto"/>
        <w:left w:val="none" w:sz="0" w:space="0" w:color="auto"/>
        <w:bottom w:val="none" w:sz="0" w:space="0" w:color="auto"/>
        <w:right w:val="none" w:sz="0" w:space="0" w:color="auto"/>
      </w:divBdr>
    </w:div>
    <w:div w:id="1601570696">
      <w:bodyDiv w:val="1"/>
      <w:marLeft w:val="0"/>
      <w:marRight w:val="0"/>
      <w:marTop w:val="0"/>
      <w:marBottom w:val="0"/>
      <w:divBdr>
        <w:top w:val="none" w:sz="0" w:space="0" w:color="auto"/>
        <w:left w:val="none" w:sz="0" w:space="0" w:color="auto"/>
        <w:bottom w:val="none" w:sz="0" w:space="0" w:color="auto"/>
        <w:right w:val="none" w:sz="0" w:space="0" w:color="auto"/>
      </w:divBdr>
    </w:div>
    <w:div w:id="1661736455">
      <w:bodyDiv w:val="1"/>
      <w:marLeft w:val="0"/>
      <w:marRight w:val="0"/>
      <w:marTop w:val="0"/>
      <w:marBottom w:val="0"/>
      <w:divBdr>
        <w:top w:val="none" w:sz="0" w:space="0" w:color="auto"/>
        <w:left w:val="none" w:sz="0" w:space="0" w:color="auto"/>
        <w:bottom w:val="none" w:sz="0" w:space="0" w:color="auto"/>
        <w:right w:val="none" w:sz="0" w:space="0" w:color="auto"/>
      </w:divBdr>
    </w:div>
    <w:div w:id="1785879255">
      <w:bodyDiv w:val="1"/>
      <w:marLeft w:val="0"/>
      <w:marRight w:val="0"/>
      <w:marTop w:val="0"/>
      <w:marBottom w:val="0"/>
      <w:divBdr>
        <w:top w:val="none" w:sz="0" w:space="0" w:color="auto"/>
        <w:left w:val="none" w:sz="0" w:space="0" w:color="auto"/>
        <w:bottom w:val="none" w:sz="0" w:space="0" w:color="auto"/>
        <w:right w:val="none" w:sz="0" w:space="0" w:color="auto"/>
      </w:divBdr>
    </w:div>
    <w:div w:id="2060199947">
      <w:bodyDiv w:val="1"/>
      <w:marLeft w:val="0"/>
      <w:marRight w:val="0"/>
      <w:marTop w:val="0"/>
      <w:marBottom w:val="0"/>
      <w:divBdr>
        <w:top w:val="none" w:sz="0" w:space="0" w:color="auto"/>
        <w:left w:val="none" w:sz="0" w:space="0" w:color="auto"/>
        <w:bottom w:val="none" w:sz="0" w:space="0" w:color="auto"/>
        <w:right w:val="none" w:sz="0" w:space="0" w:color="auto"/>
      </w:divBdr>
    </w:div>
    <w:div w:id="2102754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3DE0E-92D4-457A-947E-2495F3C25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6144</Words>
  <Characters>35025</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Template paper VAREHD 13</vt:lpstr>
    </vt:vector>
  </TitlesOfParts>
  <Company/>
  <LinksUpToDate>false</LinksUpToDate>
  <CharactersWithSpaces>41087</CharactersWithSpaces>
  <SharedDoc>false</SharedDoc>
  <HLinks>
    <vt:vector size="24" baseType="variant">
      <vt:variant>
        <vt:i4>1507430</vt:i4>
      </vt:variant>
      <vt:variant>
        <vt:i4>9</vt:i4>
      </vt:variant>
      <vt:variant>
        <vt:i4>0</vt:i4>
      </vt:variant>
      <vt:variant>
        <vt:i4>5</vt:i4>
      </vt:variant>
      <vt:variant>
        <vt:lpwstr>mailto:maftabur@cuet.ac.bd</vt:lpwstr>
      </vt:variant>
      <vt:variant>
        <vt:lpwstr/>
      </vt:variant>
      <vt:variant>
        <vt:i4>1900662</vt:i4>
      </vt:variant>
      <vt:variant>
        <vt:i4>6</vt:i4>
      </vt:variant>
      <vt:variant>
        <vt:i4>0</vt:i4>
      </vt:variant>
      <vt:variant>
        <vt:i4>5</vt:i4>
      </vt:variant>
      <vt:variant>
        <vt:lpwstr>mailto:u2101101@student.cuet.ac.bd</vt:lpwstr>
      </vt:variant>
      <vt:variant>
        <vt:lpwstr/>
      </vt:variant>
      <vt:variant>
        <vt:i4>1048695</vt:i4>
      </vt:variant>
      <vt:variant>
        <vt:i4>3</vt:i4>
      </vt:variant>
      <vt:variant>
        <vt:i4>0</vt:i4>
      </vt:variant>
      <vt:variant>
        <vt:i4>5</vt:i4>
      </vt:variant>
      <vt:variant>
        <vt:lpwstr>mailto:u1901052@student.cuet.ac.bd</vt:lpwstr>
      </vt:variant>
      <vt:variant>
        <vt:lpwstr/>
      </vt:variant>
      <vt:variant>
        <vt:i4>1900658</vt:i4>
      </vt:variant>
      <vt:variant>
        <vt:i4>0</vt:i4>
      </vt:variant>
      <vt:variant>
        <vt:i4>0</vt:i4>
      </vt:variant>
      <vt:variant>
        <vt:i4>5</vt:i4>
      </vt:variant>
      <vt:variant>
        <vt:lpwstr>mailto:u1901087@student.cuet.ac.bd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paper VAREHD 13</dc:title>
  <dc:subject/>
  <dc:creator>Murad</dc:creator>
  <cp:keywords/>
  <cp:lastModifiedBy>Golam Murad</cp:lastModifiedBy>
  <cp:revision>2</cp:revision>
  <cp:lastPrinted>2026-04-23T09:37:00Z</cp:lastPrinted>
  <dcterms:created xsi:type="dcterms:W3CDTF">2026-04-23T12:56:00Z</dcterms:created>
  <dcterms:modified xsi:type="dcterms:W3CDTF">2026-04-23T12:56:00Z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fd72bed233e34593ba4df389d08ed03667a6410f57b4bc811c84de302fc52b26</vt:lpwstr>
  </property>
  <property fmtid="{D5CDD505-2E9C-101B-9397-08002B2CF9AE}" pid="3" name="ZOTERO_PREF_1">
    <vt:lpwstr>&lt;data data-version="3" zotero-version="8.0.4"&gt;&lt;session id="aQMzyln6"/&gt;&lt;style id="http://www.zotero.org/styles/apa" locale="en-US" hasBibliography="1" bibliographyStyleHasBeenSet="1"/&gt;&lt;prefs&gt;&lt;pref name="fieldType" value="Field"/&gt;&lt;pref name="automaticJourna</vt:lpwstr>
  </property>
  <property fmtid="{D5CDD505-2E9C-101B-9397-08002B2CF9AE}" pid="4" name="ZOTERO_PREF_2">
    <vt:lpwstr>lAbbreviations" value="true"/&gt;&lt;/prefs&gt;&lt;/data&gt;</vt:lpwstr>
  </property>
</Properties>
</file>