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80" w:line="276" w:lineRule="auto"/>
      </w:pPr>
      <w:r>
        <w:rPr>
          <w:b/>
          <w:i w:val="0"/>
          <w:color w:val="0F2D4A"/>
          <w:sz w:val="44"/>
        </w:rPr>
        <w:t>CBAR Currency Catalog PWA</w:t>
      </w:r>
    </w:p>
    <w:p>
      <w:pPr>
        <w:pStyle w:val="SubtitleCustom"/>
        <w:spacing w:before="0" w:after="280" w:line="276" w:lineRule="auto"/>
      </w:pPr>
      <w:r>
        <w:rPr>
          <w:b w:val="0"/>
          <w:i w:val="0"/>
          <w:color w:val="4B5563"/>
          <w:sz w:val="23"/>
        </w:rPr>
        <w:t>Business analytics and implementation specification for Claude Code</w:t>
      </w:r>
    </w:p>
    <w:tbl>
      <w:tblPr>
        <w:tblW w:type="auto" w:w="0"/>
        <w:jc w:val="left"/>
        <w:tblLayout w:type="fixed"/>
        <w:tblLook w:firstColumn="1" w:firstRow="1" w:lastColumn="0" w:lastRow="0" w:noHBand="0" w:noVBand="1" w:val="04A0"/>
      </w:tblPr>
      <w:tblGrid>
        <w:gridCol w:w="2498"/>
        <w:gridCol w:w="2498"/>
        <w:gridCol w:w="2498"/>
        <w:gridCol w:w="2498"/>
      </w:tblGrid>
      <w:tr>
        <w:tc>
          <w:tcPr>
            <w:tcW w:type="dxa" w:w="1944"/>
            <w:vAlign w:val="center"/>
            <w:tcMar>
              <w:top w:w="90" w:type="dxa"/>
              <w:start w:w="110" w:type="dxa"/>
              <w:bottom w:w="90" w:type="dxa"/>
              <w:end w:w="110" w:type="dxa"/>
            </w:tcMar>
            <w:shd w:fill="EAF2F8"/>
            <w:tcBorders>
              <w:left w:val="single" w:sz="6" w:color="D6E3EF"/>
              <w:top w:val="single" w:sz="6" w:color="D6E3EF"/>
              <w:right w:val="single" w:sz="6" w:color="D6E3EF"/>
              <w:bottom w:val="single" w:sz="6" w:color="D6E3EF"/>
            </w:tcBorders>
          </w:tcPr>
          <w:p>
            <w:pPr>
              <w:spacing w:before="0" w:after="0" w:line="276" w:lineRule="auto"/>
            </w:pPr>
            <w:r>
              <w:rPr>
                <w:b/>
                <w:color w:val="0F2D4A"/>
              </w:rPr>
              <w:t>Document type</w:t>
            </w:r>
          </w:p>
        </w:tc>
        <w:tc>
          <w:tcPr>
            <w:tcW w:type="dxa" w:w="3096"/>
            <w:vAlign w:val="center"/>
            <w:tcMar>
              <w:top w:w="90" w:type="dxa"/>
              <w:start w:w="110" w:type="dxa"/>
              <w:bottom w:w="90" w:type="dxa"/>
              <w:end w:w="110" w:type="dxa"/>
            </w:tcMar>
            <w:shd w:fill="F8FBFD"/>
            <w:tcBorders>
              <w:left w:val="single" w:sz="6" w:color="D6E3EF"/>
              <w:top w:val="single" w:sz="6" w:color="D6E3EF"/>
              <w:right w:val="single" w:sz="6" w:color="D6E3EF"/>
              <w:bottom w:val="single" w:sz="6" w:color="D6E3EF"/>
            </w:tcBorders>
          </w:tcPr>
          <w:p>
            <w:pPr>
              <w:spacing w:before="0" w:after="0" w:line="276" w:lineRule="auto"/>
            </w:pPr>
            <w:r>
              <w:rPr>
                <w:color w:val="1F2937"/>
              </w:rPr>
              <w:t>BA / build specification</w:t>
            </w:r>
          </w:p>
        </w:tc>
        <w:tc>
          <w:tcPr>
            <w:tcW w:type="dxa" w:w="1944"/>
            <w:vAlign w:val="center"/>
            <w:tcMar>
              <w:top w:w="90" w:type="dxa"/>
              <w:start w:w="110" w:type="dxa"/>
              <w:bottom w:w="90" w:type="dxa"/>
              <w:end w:w="110" w:type="dxa"/>
            </w:tcMar>
            <w:shd w:fill="EAF2F8"/>
            <w:tcBorders>
              <w:left w:val="single" w:sz="6" w:color="D6E3EF"/>
              <w:top w:val="single" w:sz="6" w:color="D6E3EF"/>
              <w:right w:val="single" w:sz="6" w:color="D6E3EF"/>
              <w:bottom w:val="single" w:sz="6" w:color="D6E3EF"/>
            </w:tcBorders>
          </w:tcPr>
          <w:p>
            <w:pPr>
              <w:spacing w:before="0" w:after="0" w:line="276" w:lineRule="auto"/>
            </w:pPr>
            <w:r>
              <w:rPr>
                <w:b/>
                <w:color w:val="0F2D4A"/>
              </w:rPr>
              <w:t>Target platform</w:t>
            </w:r>
          </w:p>
        </w:tc>
        <w:tc>
          <w:tcPr>
            <w:tcW w:type="dxa" w:w="3096"/>
            <w:vAlign w:val="center"/>
            <w:tcMar>
              <w:top w:w="90" w:type="dxa"/>
              <w:start w:w="110" w:type="dxa"/>
              <w:bottom w:w="90" w:type="dxa"/>
              <w:end w:w="110" w:type="dxa"/>
            </w:tcMar>
            <w:shd w:fill="F8FBFD"/>
            <w:tcBorders>
              <w:left w:val="single" w:sz="6" w:color="D6E3EF"/>
              <w:top w:val="single" w:sz="6" w:color="D6E3EF"/>
              <w:right w:val="single" w:sz="6" w:color="D6E3EF"/>
              <w:bottom w:val="single" w:sz="6" w:color="D6E3EF"/>
            </w:tcBorders>
          </w:tcPr>
          <w:p>
            <w:pPr>
              <w:spacing w:before="0" w:after="0" w:line="276" w:lineRule="auto"/>
            </w:pPr>
            <w:r>
              <w:rPr>
                <w:color w:val="1F2937"/>
              </w:rPr>
              <w:t>React web app with PWA support</w:t>
            </w:r>
          </w:p>
        </w:tc>
      </w:tr>
      <w:tr>
        <w:tc>
          <w:tcPr>
            <w:tcW w:type="dxa" w:w="1944"/>
            <w:vAlign w:val="center"/>
            <w:tcMar>
              <w:top w:w="90" w:type="dxa"/>
              <w:start w:w="110" w:type="dxa"/>
              <w:bottom w:w="90" w:type="dxa"/>
              <w:end w:w="110" w:type="dxa"/>
            </w:tcMar>
            <w:shd w:fill="EAF2F8"/>
            <w:tcBorders>
              <w:left w:val="single" w:sz="6" w:color="D6E3EF"/>
              <w:top w:val="single" w:sz="6" w:color="D6E3EF"/>
              <w:right w:val="single" w:sz="6" w:color="D6E3EF"/>
              <w:bottom w:val="single" w:sz="6" w:color="D6E3EF"/>
            </w:tcBorders>
          </w:tcPr>
          <w:p>
            <w:pPr>
              <w:spacing w:before="0" w:after="0" w:line="276" w:lineRule="auto"/>
            </w:pPr>
            <w:r>
              <w:rPr>
                <w:b/>
                <w:color w:val="0F2D4A"/>
              </w:rPr>
              <w:t>Runtime mode</w:t>
            </w:r>
          </w:p>
        </w:tc>
        <w:tc>
          <w:tcPr>
            <w:tcW w:type="dxa" w:w="3096"/>
            <w:vAlign w:val="center"/>
            <w:tcMar>
              <w:top w:w="90" w:type="dxa"/>
              <w:start w:w="110" w:type="dxa"/>
              <w:bottom w:w="90" w:type="dxa"/>
              <w:end w:w="110" w:type="dxa"/>
            </w:tcMar>
            <w:shd w:fill="F8FBFD"/>
            <w:tcBorders>
              <w:left w:val="single" w:sz="6" w:color="D6E3EF"/>
              <w:top w:val="single" w:sz="6" w:color="D6E3EF"/>
              <w:right w:val="single" w:sz="6" w:color="D6E3EF"/>
              <w:bottom w:val="single" w:sz="6" w:color="D6E3EF"/>
            </w:tcBorders>
          </w:tcPr>
          <w:p>
            <w:pPr>
              <w:spacing w:before="0" w:after="0" w:line="276" w:lineRule="auto"/>
            </w:pPr>
            <w:r>
              <w:rPr>
                <w:color w:val="1F2937"/>
              </w:rPr>
              <w:t>Static frontend only</w:t>
            </w:r>
          </w:p>
        </w:tc>
        <w:tc>
          <w:tcPr>
            <w:tcW w:type="dxa" w:w="1944"/>
            <w:vAlign w:val="center"/>
            <w:tcMar>
              <w:top w:w="90" w:type="dxa"/>
              <w:start w:w="110" w:type="dxa"/>
              <w:bottom w:w="90" w:type="dxa"/>
              <w:end w:w="110" w:type="dxa"/>
            </w:tcMar>
            <w:shd w:fill="EAF2F8"/>
            <w:tcBorders>
              <w:left w:val="single" w:sz="6" w:color="D6E3EF"/>
              <w:top w:val="single" w:sz="6" w:color="D6E3EF"/>
              <w:right w:val="single" w:sz="6" w:color="D6E3EF"/>
              <w:bottom w:val="single" w:sz="6" w:color="D6E3EF"/>
            </w:tcBorders>
          </w:tcPr>
          <w:p>
            <w:pPr>
              <w:spacing w:before="0" w:after="0" w:line="276" w:lineRule="auto"/>
            </w:pPr>
            <w:r>
              <w:rPr>
                <w:b/>
                <w:color w:val="0F2D4A"/>
              </w:rPr>
              <w:t>Display mode</w:t>
            </w:r>
          </w:p>
        </w:tc>
        <w:tc>
          <w:tcPr>
            <w:tcW w:type="dxa" w:w="3096"/>
            <w:vAlign w:val="center"/>
            <w:tcMar>
              <w:top w:w="90" w:type="dxa"/>
              <w:start w:w="110" w:type="dxa"/>
              <w:bottom w:w="90" w:type="dxa"/>
              <w:end w:w="110" w:type="dxa"/>
            </w:tcMar>
            <w:shd w:fill="F8FBFD"/>
            <w:tcBorders>
              <w:left w:val="single" w:sz="6" w:color="D6E3EF"/>
              <w:top w:val="single" w:sz="6" w:color="D6E3EF"/>
              <w:right w:val="single" w:sz="6" w:color="D6E3EF"/>
              <w:bottom w:val="single" w:sz="6" w:color="D6E3EF"/>
            </w:tcBorders>
          </w:tcPr>
          <w:p>
            <w:pPr>
              <w:spacing w:before="0" w:after="0" w:line="276" w:lineRule="auto"/>
            </w:pPr>
            <w:r>
              <w:rPr>
                <w:color w:val="1F2937"/>
              </w:rPr>
              <w:t>Landscape only, Google Chrome on Android monitor</w:t>
            </w:r>
          </w:p>
        </w:tc>
      </w:tr>
      <w:tr>
        <w:tc>
          <w:tcPr>
            <w:tcW w:type="dxa" w:w="1944"/>
            <w:vAlign w:val="center"/>
            <w:tcMar>
              <w:top w:w="90" w:type="dxa"/>
              <w:start w:w="110" w:type="dxa"/>
              <w:bottom w:w="90" w:type="dxa"/>
              <w:end w:w="110" w:type="dxa"/>
            </w:tcMar>
            <w:shd w:fill="EAF2F8"/>
            <w:tcBorders>
              <w:left w:val="single" w:sz="6" w:color="D6E3EF"/>
              <w:top w:val="single" w:sz="6" w:color="D6E3EF"/>
              <w:right w:val="single" w:sz="6" w:color="D6E3EF"/>
              <w:bottom w:val="single" w:sz="6" w:color="D6E3EF"/>
            </w:tcBorders>
          </w:tcPr>
          <w:p>
            <w:pPr>
              <w:spacing w:before="0" w:after="0" w:line="276" w:lineRule="auto"/>
            </w:pPr>
            <w:r>
              <w:rPr>
                <w:b/>
                <w:color w:val="0F2D4A"/>
              </w:rPr>
              <w:t>Languages</w:t>
            </w:r>
          </w:p>
        </w:tc>
        <w:tc>
          <w:tcPr>
            <w:tcW w:type="dxa" w:w="3096"/>
            <w:vAlign w:val="center"/>
            <w:tcMar>
              <w:top w:w="90" w:type="dxa"/>
              <w:start w:w="110" w:type="dxa"/>
              <w:bottom w:w="90" w:type="dxa"/>
              <w:end w:w="110" w:type="dxa"/>
            </w:tcMar>
            <w:shd w:fill="F8FBFD"/>
            <w:tcBorders>
              <w:left w:val="single" w:sz="6" w:color="D6E3EF"/>
              <w:top w:val="single" w:sz="6" w:color="D6E3EF"/>
              <w:right w:val="single" w:sz="6" w:color="D6E3EF"/>
              <w:bottom w:val="single" w:sz="6" w:color="D6E3EF"/>
            </w:tcBorders>
          </w:tcPr>
          <w:p>
            <w:pPr>
              <w:spacing w:before="0" w:after="0" w:line="276" w:lineRule="auto"/>
            </w:pPr>
            <w:r>
              <w:rPr>
                <w:color w:val="1F2937"/>
              </w:rPr>
              <w:t>Azerbaijani and English</w:t>
            </w:r>
          </w:p>
        </w:tc>
        <w:tc>
          <w:tcPr>
            <w:tcW w:type="dxa" w:w="1944"/>
            <w:vAlign w:val="center"/>
            <w:tcMar>
              <w:top w:w="90" w:type="dxa"/>
              <w:start w:w="110" w:type="dxa"/>
              <w:bottom w:w="90" w:type="dxa"/>
              <w:end w:w="110" w:type="dxa"/>
            </w:tcMar>
            <w:shd w:fill="EAF2F8"/>
            <w:tcBorders>
              <w:left w:val="single" w:sz="6" w:color="D6E3EF"/>
              <w:top w:val="single" w:sz="6" w:color="D6E3EF"/>
              <w:right w:val="single" w:sz="6" w:color="D6E3EF"/>
              <w:bottom w:val="single" w:sz="6" w:color="D6E3EF"/>
            </w:tcBorders>
          </w:tcPr>
          <w:p>
            <w:pPr>
              <w:spacing w:before="0" w:after="0" w:line="276" w:lineRule="auto"/>
            </w:pPr>
            <w:r>
              <w:rPr>
                <w:b/>
                <w:color w:val="0F2D4A"/>
              </w:rPr>
              <w:t>Source system</w:t>
            </w:r>
          </w:p>
        </w:tc>
        <w:tc>
          <w:tcPr>
            <w:tcW w:type="dxa" w:w="3096"/>
            <w:vAlign w:val="center"/>
            <w:tcMar>
              <w:top w:w="90" w:type="dxa"/>
              <w:start w:w="110" w:type="dxa"/>
              <w:bottom w:w="90" w:type="dxa"/>
              <w:end w:w="110" w:type="dxa"/>
            </w:tcMar>
            <w:shd w:fill="F8FBFD"/>
            <w:tcBorders>
              <w:left w:val="single" w:sz="6" w:color="D6E3EF"/>
              <w:top w:val="single" w:sz="6" w:color="D6E3EF"/>
              <w:right w:val="single" w:sz="6" w:color="D6E3EF"/>
              <w:bottom w:val="single" w:sz="6" w:color="D6E3EF"/>
            </w:tcBorders>
          </w:tcPr>
          <w:p>
            <w:pPr>
              <w:spacing w:before="0" w:after="0" w:line="276" w:lineRule="auto"/>
            </w:pPr>
            <w:r>
              <w:rPr>
                <w:color w:val="1F2937"/>
              </w:rPr>
              <w:t>cbar.az money marks pages</w:t>
            </w:r>
          </w:p>
        </w:tc>
      </w:tr>
      <w:tr>
        <w:tc>
          <w:tcPr>
            <w:tcW w:type="dxa" w:w="1944"/>
            <w:vAlign w:val="center"/>
            <w:tcMar>
              <w:top w:w="90" w:type="dxa"/>
              <w:start w:w="110" w:type="dxa"/>
              <w:bottom w:w="90" w:type="dxa"/>
              <w:end w:w="110" w:type="dxa"/>
            </w:tcMar>
            <w:shd w:fill="EAF2F8"/>
            <w:tcBorders>
              <w:left w:val="single" w:sz="6" w:color="D6E3EF"/>
              <w:top w:val="single" w:sz="6" w:color="D6E3EF"/>
              <w:right w:val="single" w:sz="6" w:color="D6E3EF"/>
              <w:bottom w:val="single" w:sz="6" w:color="D6E3EF"/>
            </w:tcBorders>
          </w:tcPr>
          <w:p>
            <w:pPr>
              <w:spacing w:before="0" w:after="0" w:line="276" w:lineRule="auto"/>
            </w:pPr>
            <w:r>
              <w:rPr>
                <w:b/>
                <w:color w:val="0F2D4A"/>
              </w:rPr>
              <w:t>Prepared for</w:t>
            </w:r>
          </w:p>
        </w:tc>
        <w:tc>
          <w:tcPr>
            <w:tcW w:type="dxa" w:w="3096"/>
            <w:vAlign w:val="center"/>
            <w:tcMar>
              <w:top w:w="90" w:type="dxa"/>
              <w:start w:w="110" w:type="dxa"/>
              <w:bottom w:w="90" w:type="dxa"/>
              <w:end w:w="110" w:type="dxa"/>
            </w:tcMar>
            <w:shd w:fill="F8FBFD"/>
            <w:tcBorders>
              <w:left w:val="single" w:sz="6" w:color="D6E3EF"/>
              <w:top w:val="single" w:sz="6" w:color="D6E3EF"/>
              <w:right w:val="single" w:sz="6" w:color="D6E3EF"/>
              <w:bottom w:val="single" w:sz="6" w:color="D6E3EF"/>
            </w:tcBorders>
          </w:tcPr>
          <w:p>
            <w:pPr>
              <w:spacing w:before="0" w:after="0" w:line="276" w:lineRule="auto"/>
            </w:pPr>
            <w:r>
              <w:rPr>
                <w:color w:val="1F2937"/>
              </w:rPr>
              <w:t>Claude Code</w:t>
            </w:r>
          </w:p>
        </w:tc>
        <w:tc>
          <w:tcPr>
            <w:tcW w:type="dxa" w:w="1944"/>
            <w:vAlign w:val="center"/>
            <w:tcMar>
              <w:top w:w="90" w:type="dxa"/>
              <w:start w:w="110" w:type="dxa"/>
              <w:bottom w:w="90" w:type="dxa"/>
              <w:end w:w="110" w:type="dxa"/>
            </w:tcMar>
            <w:shd w:fill="EAF2F8"/>
            <w:tcBorders>
              <w:left w:val="single" w:sz="6" w:color="D6E3EF"/>
              <w:top w:val="single" w:sz="6" w:color="D6E3EF"/>
              <w:right w:val="single" w:sz="6" w:color="D6E3EF"/>
              <w:bottom w:val="single" w:sz="6" w:color="D6E3EF"/>
            </w:tcBorders>
          </w:tcPr>
          <w:p>
            <w:pPr>
              <w:spacing w:before="0" w:after="0" w:line="276" w:lineRule="auto"/>
            </w:pPr>
            <w:r>
              <w:rPr>
                <w:b/>
                <w:color w:val="0F2D4A"/>
              </w:rPr>
              <w:t>Design note</w:t>
            </w:r>
          </w:p>
        </w:tc>
        <w:tc>
          <w:tcPr>
            <w:tcW w:type="dxa" w:w="3096"/>
            <w:vAlign w:val="center"/>
            <w:tcMar>
              <w:top w:w="90" w:type="dxa"/>
              <w:start w:w="110" w:type="dxa"/>
              <w:bottom w:w="90" w:type="dxa"/>
              <w:end w:w="110" w:type="dxa"/>
            </w:tcMar>
            <w:shd w:fill="F8FBFD"/>
            <w:tcBorders>
              <w:left w:val="single" w:sz="6" w:color="D6E3EF"/>
              <w:top w:val="single" w:sz="6" w:color="D6E3EF"/>
              <w:right w:val="single" w:sz="6" w:color="D6E3EF"/>
              <w:bottom w:val="single" w:sz="6" w:color="D6E3EF"/>
            </w:tcBorders>
          </w:tcPr>
          <w:p>
            <w:pPr>
              <w:spacing w:before="0" w:after="0" w:line="276" w:lineRule="auto"/>
            </w:pPr>
            <w:r>
              <w:rPr>
                <w:color w:val="1F2937"/>
              </w:rPr>
              <w:t>Tailwind-based UI with future token placeholders</w:t>
            </w:r>
          </w:p>
        </w:tc>
      </w:tr>
    </w:tbl>
    <w:p/>
    <w:tbl>
      <w:tblPr>
        <w:tblW w:type="auto" w:w="0"/>
        <w:tblLook w:firstColumn="1" w:firstRow="1" w:lastColumn="0" w:lastRow="0" w:noHBand="0" w:noVBand="1" w:val="04A0"/>
      </w:tblPr>
      <w:tblGrid>
        <w:gridCol w:w="9994"/>
      </w:tblGrid>
      <w:tr>
        <w:tc>
          <w:tcPr>
            <w:tcW w:type="dxa" w:w="9994"/>
            <w:shd w:fill="F3F7FB"/>
            <w:tcBorders>
              <w:left w:val="single" w:sz="10" w:color="174E7C"/>
              <w:top w:val="single" w:sz="10" w:color="174E7C"/>
              <w:right w:val="single" w:sz="10" w:color="174E7C"/>
              <w:bottom w:val="single" w:sz="10" w:color="174E7C"/>
            </w:tcBorders>
            <w:tcMar>
              <w:top w:w="110" w:type="dxa"/>
              <w:start w:w="140" w:type="dxa"/>
              <w:bottom w:w="110" w:type="dxa"/>
              <w:end w:w="140" w:type="dxa"/>
            </w:tcMar>
          </w:tcPr>
          <w:p>
            <w:pPr>
              <w:spacing w:before="0" w:after="80" w:line="276" w:lineRule="auto"/>
            </w:pPr>
            <w:r>
              <w:rPr>
                <w:b/>
                <w:i w:val="0"/>
                <w:color w:val="0F2D4A"/>
                <w:sz w:val="23"/>
              </w:rPr>
              <w:t>Executive summary</w:t>
            </w:r>
          </w:p>
          <w:p>
            <w:pPr>
              <w:spacing w:before="0" w:after="0" w:line="288" w:lineRule="auto"/>
            </w:pPr>
            <w:r>
              <w:t>Build a two-page, kiosk-friendly React application with PWA support that presents Azerbaijani paper and metal money from cbar.az. All content must be scraped once during development, normalized into local JSON and local image assets, and served statically from the frontend. The main page shows grouped money families by category and subcategory; the detail page shows all versions of the selected family, newest first. Video content must be excluded. The UI must be bilingual (Azerbaijani and English), landscape-oriented, Chrome-friendly, and styled with Tailwind in a way that allows future brand tokens to be plugged in later.</w:t>
            </w:r>
          </w:p>
        </w:tc>
      </w:tr>
    </w:tbl>
    <w:p/>
    <w:p>
      <w:pPr>
        <w:pStyle w:val="Heading1Custom"/>
        <w:spacing w:before="40" w:after="160" w:line="276" w:lineRule="auto"/>
      </w:pPr>
      <w:r>
        <w:rPr>
          <w:b/>
          <w:i w:val="0"/>
          <w:color w:val="0F2D4A"/>
          <w:sz w:val="31"/>
        </w:rPr>
        <w:t>1. Confirmed decisions</w:t>
      </w:r>
    </w:p>
    <w:tbl>
      <w:tblPr>
        <w:tblW w:type="auto" w:w="0"/>
        <w:jc w:val="left"/>
        <w:tblLayout w:type="fixed"/>
        <w:tblLook w:firstColumn="1" w:firstRow="1" w:lastColumn="0" w:lastRow="0" w:noHBand="0" w:noVBand="1" w:val="04A0"/>
      </w:tblPr>
      <w:tblGrid>
        <w:gridCol w:w="4997"/>
        <w:gridCol w:w="4997"/>
      </w:tblGrid>
      <w:tr>
        <w:tc>
          <w:tcPr>
            <w:tcW w:type="dxa" w:w="3528"/>
            <w:shd w:fill="174E7C"/>
            <w:tcMar>
              <w:top w:w="90" w:type="dxa"/>
              <w:start w:w="110" w:type="dxa"/>
              <w:bottom w:w="90" w:type="dxa"/>
              <w:end w:w="110" w:type="dxa"/>
            </w:tcMar>
            <w:tcBorders>
              <w:left w:val="single" w:sz="5" w:color="D6E3EF"/>
              <w:top w:val="single" w:sz="5" w:color="D6E3EF"/>
              <w:right w:val="single" w:sz="5" w:color="D6E3EF"/>
              <w:bottom w:val="single" w:sz="5" w:color="D6E3EF"/>
            </w:tcBorders>
          </w:tcPr>
          <w:p>
            <w:pPr>
              <w:spacing w:before="0" w:after="0" w:line="276" w:lineRule="auto"/>
            </w:pPr>
            <w:r>
              <w:rPr>
                <w:b/>
                <w:color w:val="FFFFFF"/>
              </w:rPr>
              <w:t>Decision point</w:t>
            </w:r>
          </w:p>
        </w:tc>
        <w:tc>
          <w:tcPr>
            <w:tcW w:type="dxa" w:w="6696"/>
            <w:shd w:fill="174E7C"/>
            <w:tcMar>
              <w:top w:w="90" w:type="dxa"/>
              <w:start w:w="110" w:type="dxa"/>
              <w:bottom w:w="90" w:type="dxa"/>
              <w:end w:w="110" w:type="dxa"/>
            </w:tcMar>
            <w:tcBorders>
              <w:left w:val="single" w:sz="5" w:color="D6E3EF"/>
              <w:top w:val="single" w:sz="5" w:color="D6E3EF"/>
              <w:right w:val="single" w:sz="5" w:color="D6E3EF"/>
              <w:bottom w:val="single" w:sz="5" w:color="D6E3EF"/>
            </w:tcBorders>
          </w:tcPr>
          <w:p>
            <w:pPr>
              <w:spacing w:before="0" w:after="0" w:line="276" w:lineRule="auto"/>
            </w:pPr>
            <w:r>
              <w:rPr>
                <w:b/>
                <w:color w:val="FFFFFF"/>
              </w:rPr>
              <w:t>Final rule</w:t>
            </w:r>
          </w:p>
        </w:tc>
      </w:tr>
      <w:tr>
        <w:tc>
          <w:tcPr>
            <w:tcW w:type="dxa" w:w="3528"/>
            <w:shd w:fill="F8FBFD"/>
            <w:tcMar>
              <w:top w:w="90" w:type="dxa"/>
              <w:start w:w="110" w:type="dxa"/>
              <w:bottom w:w="90" w:type="dxa"/>
              <w:end w:w="110" w:type="dxa"/>
            </w:tcMar>
            <w:vAlign w:val="center"/>
            <w:tcBorders>
              <w:left w:val="single" w:sz="5" w:color="D6E3EF"/>
              <w:top w:val="single" w:sz="5" w:color="D6E3EF"/>
              <w:right w:val="single" w:sz="5" w:color="D6E3EF"/>
              <w:bottom w:val="single" w:sz="5" w:color="D6E3EF"/>
            </w:tcBorders>
          </w:tcPr>
          <w:p>
            <w:pPr>
              <w:spacing w:before="0" w:after="0" w:line="276" w:lineRule="auto"/>
            </w:pPr>
            <w:r>
              <w:rPr>
                <w:b/>
                <w:color w:val="0F2D4A"/>
              </w:rPr>
              <w:t>Investment / commemorative metal coins</w:t>
            </w:r>
          </w:p>
        </w:tc>
        <w:tc>
          <w:tcPr>
            <w:tcW w:type="dxa" w:w="6696"/>
            <w:shd w:fill="F8FBFD"/>
            <w:tcMar>
              <w:top w:w="90" w:type="dxa"/>
              <w:start w:w="110" w:type="dxa"/>
              <w:bottom w:w="90" w:type="dxa"/>
              <w:end w:w="110" w:type="dxa"/>
            </w:tcMar>
            <w:vAlign w:val="center"/>
            <w:tcBorders>
              <w:left w:val="single" w:sz="5" w:color="D6E3EF"/>
              <w:top w:val="single" w:sz="5" w:color="D6E3EF"/>
              <w:right w:val="single" w:sz="5" w:color="D6E3EF"/>
              <w:bottom w:val="single" w:sz="5" w:color="D6E3EF"/>
            </w:tcBorders>
          </w:tcPr>
          <w:p>
            <w:pPr>
              <w:spacing w:before="0" w:after="0" w:line="276" w:lineRule="auto"/>
            </w:pPr>
            <w:r>
              <w:t>Keep separate items. Do not group different weights or compositions into one family.</w:t>
            </w:r>
          </w:p>
        </w:tc>
      </w:tr>
      <w:tr>
        <w:tc>
          <w:tcPr>
            <w:tcW w:type="dxa" w:w="3528"/>
            <w:shd w:fill="FFFFFF"/>
            <w:tcMar>
              <w:top w:w="90" w:type="dxa"/>
              <w:start w:w="110" w:type="dxa"/>
              <w:bottom w:w="90" w:type="dxa"/>
              <w:end w:w="110" w:type="dxa"/>
            </w:tcMar>
            <w:vAlign w:val="center"/>
            <w:tcBorders>
              <w:left w:val="single" w:sz="5" w:color="D6E3EF"/>
              <w:top w:val="single" w:sz="5" w:color="D6E3EF"/>
              <w:right w:val="single" w:sz="5" w:color="D6E3EF"/>
              <w:bottom w:val="single" w:sz="5" w:color="D6E3EF"/>
            </w:tcBorders>
          </w:tcPr>
          <w:p>
            <w:pPr>
              <w:spacing w:before="0" w:after="0" w:line="276" w:lineRule="auto"/>
            </w:pPr>
            <w:r>
              <w:rPr>
                <w:b/>
                <w:color w:val="0F2D4A"/>
              </w:rPr>
              <w:t>Image interaction</w:t>
            </w:r>
          </w:p>
        </w:tc>
        <w:tc>
          <w:tcPr>
            <w:tcW w:type="dxa" w:w="6696"/>
            <w:shd w:fill="FFFFFF"/>
            <w:tcMar>
              <w:top w:w="90" w:type="dxa"/>
              <w:start w:w="110" w:type="dxa"/>
              <w:bottom w:w="90" w:type="dxa"/>
              <w:end w:w="110" w:type="dxa"/>
            </w:tcMar>
            <w:vAlign w:val="center"/>
            <w:tcBorders>
              <w:left w:val="single" w:sz="5" w:color="D6E3EF"/>
              <w:top w:val="single" w:sz="5" w:color="D6E3EF"/>
              <w:right w:val="single" w:sz="5" w:color="D6E3EF"/>
              <w:bottom w:val="single" w:sz="5" w:color="D6E3EF"/>
            </w:tcBorders>
          </w:tcPr>
          <w:p>
            <w:pPr>
              <w:spacing w:before="0" w:after="0" w:line="276" w:lineRule="auto"/>
            </w:pPr>
            <w:r>
              <w:t>No fullscreen modal or lightbox behavior is required.</w:t>
            </w:r>
          </w:p>
        </w:tc>
      </w:tr>
      <w:tr>
        <w:tc>
          <w:tcPr>
            <w:tcW w:type="dxa" w:w="3528"/>
            <w:shd w:fill="F8FBFD"/>
            <w:tcMar>
              <w:top w:w="90" w:type="dxa"/>
              <w:start w:w="110" w:type="dxa"/>
              <w:bottom w:w="90" w:type="dxa"/>
              <w:end w:w="110" w:type="dxa"/>
            </w:tcMar>
            <w:vAlign w:val="center"/>
            <w:tcBorders>
              <w:left w:val="single" w:sz="5" w:color="D6E3EF"/>
              <w:top w:val="single" w:sz="5" w:color="D6E3EF"/>
              <w:right w:val="single" w:sz="5" w:color="D6E3EF"/>
              <w:bottom w:val="single" w:sz="5" w:color="D6E3EF"/>
            </w:tcBorders>
          </w:tcPr>
          <w:p>
            <w:pPr>
              <w:spacing w:before="0" w:after="0" w:line="276" w:lineRule="auto"/>
            </w:pPr>
            <w:r>
              <w:rPr>
                <w:b/>
                <w:color w:val="0F2D4A"/>
              </w:rPr>
              <w:t>Device orientation</w:t>
            </w:r>
          </w:p>
        </w:tc>
        <w:tc>
          <w:tcPr>
            <w:tcW w:type="dxa" w:w="6696"/>
            <w:shd w:fill="F8FBFD"/>
            <w:tcMar>
              <w:top w:w="90" w:type="dxa"/>
              <w:start w:w="110" w:type="dxa"/>
              <w:bottom w:w="90" w:type="dxa"/>
              <w:end w:w="110" w:type="dxa"/>
            </w:tcMar>
            <w:vAlign w:val="center"/>
            <w:tcBorders>
              <w:left w:val="single" w:sz="5" w:color="D6E3EF"/>
              <w:top w:val="single" w:sz="5" w:color="D6E3EF"/>
              <w:right w:val="single" w:sz="5" w:color="D6E3EF"/>
              <w:bottom w:val="single" w:sz="5" w:color="D6E3EF"/>
            </w:tcBorders>
          </w:tcPr>
          <w:p>
            <w:pPr>
              <w:spacing w:before="0" w:after="0" w:line="276" w:lineRule="auto"/>
            </w:pPr>
            <w:r>
              <w:t>Landscape only. The application will be opened in Google Chrome on the target Android monitor.</w:t>
            </w:r>
          </w:p>
        </w:tc>
      </w:tr>
      <w:tr>
        <w:tc>
          <w:tcPr>
            <w:tcW w:type="dxa" w:w="3528"/>
            <w:shd w:fill="FFFFFF"/>
            <w:tcMar>
              <w:top w:w="90" w:type="dxa"/>
              <w:start w:w="110" w:type="dxa"/>
              <w:bottom w:w="90" w:type="dxa"/>
              <w:end w:w="110" w:type="dxa"/>
            </w:tcMar>
            <w:vAlign w:val="center"/>
            <w:tcBorders>
              <w:left w:val="single" w:sz="5" w:color="D6E3EF"/>
              <w:top w:val="single" w:sz="5" w:color="D6E3EF"/>
              <w:right w:val="single" w:sz="5" w:color="D6E3EF"/>
              <w:bottom w:val="single" w:sz="5" w:color="D6E3EF"/>
            </w:tcBorders>
          </w:tcPr>
          <w:p>
            <w:pPr>
              <w:spacing w:before="0" w:after="0" w:line="276" w:lineRule="auto"/>
            </w:pPr>
            <w:r>
              <w:rPr>
                <w:b/>
                <w:color w:val="0F2D4A"/>
              </w:rPr>
              <w:t>Branding</w:t>
            </w:r>
          </w:p>
        </w:tc>
        <w:tc>
          <w:tcPr>
            <w:tcW w:type="dxa" w:w="6696"/>
            <w:shd w:fill="FFFFFF"/>
            <w:tcMar>
              <w:top w:w="90" w:type="dxa"/>
              <w:start w:w="110" w:type="dxa"/>
              <w:bottom w:w="90" w:type="dxa"/>
              <w:end w:w="110" w:type="dxa"/>
            </w:tcMar>
            <w:vAlign w:val="center"/>
            <w:tcBorders>
              <w:left w:val="single" w:sz="5" w:color="D6E3EF"/>
              <w:top w:val="single" w:sz="5" w:color="D6E3EF"/>
              <w:right w:val="single" w:sz="5" w:color="D6E3EF"/>
              <w:bottom w:val="single" w:sz="5" w:color="D6E3EF"/>
            </w:tcBorders>
          </w:tcPr>
          <w:p>
            <w:pPr>
              <w:spacing w:before="0" w:after="0" w:line="276" w:lineRule="auto"/>
            </w:pPr>
            <w:r>
              <w:t>Keep a clear placeholder area for the logo. The final logo asset will be added later.</w:t>
            </w:r>
          </w:p>
        </w:tc>
      </w:tr>
      <w:tr>
        <w:tc>
          <w:tcPr>
            <w:tcW w:type="dxa" w:w="3528"/>
            <w:shd w:fill="F8FBFD"/>
            <w:tcMar>
              <w:top w:w="90" w:type="dxa"/>
              <w:start w:w="110" w:type="dxa"/>
              <w:bottom w:w="90" w:type="dxa"/>
              <w:end w:w="110" w:type="dxa"/>
            </w:tcMar>
            <w:vAlign w:val="center"/>
            <w:tcBorders>
              <w:left w:val="single" w:sz="5" w:color="D6E3EF"/>
              <w:top w:val="single" w:sz="5" w:color="D6E3EF"/>
              <w:right w:val="single" w:sz="5" w:color="D6E3EF"/>
              <w:bottom w:val="single" w:sz="5" w:color="D6E3EF"/>
            </w:tcBorders>
          </w:tcPr>
          <w:p>
            <w:pPr>
              <w:spacing w:before="0" w:after="0" w:line="276" w:lineRule="auto"/>
            </w:pPr>
            <w:r>
              <w:rPr>
                <w:b/>
                <w:color w:val="0F2D4A"/>
              </w:rPr>
              <w:t>Styling strategy</w:t>
            </w:r>
          </w:p>
        </w:tc>
        <w:tc>
          <w:tcPr>
            <w:tcW w:type="dxa" w:w="6696"/>
            <w:shd w:fill="F8FBFD"/>
            <w:tcMar>
              <w:top w:w="90" w:type="dxa"/>
              <w:start w:w="110" w:type="dxa"/>
              <w:bottom w:w="90" w:type="dxa"/>
              <w:end w:w="110" w:type="dxa"/>
            </w:tcMar>
            <w:vAlign w:val="center"/>
            <w:tcBorders>
              <w:left w:val="single" w:sz="5" w:color="D6E3EF"/>
              <w:top w:val="single" w:sz="5" w:color="D6E3EF"/>
              <w:right w:val="single" w:sz="5" w:color="D6E3EF"/>
              <w:bottom w:val="single" w:sz="5" w:color="D6E3EF"/>
            </w:tcBorders>
          </w:tcPr>
          <w:p>
            <w:pPr>
              <w:spacing w:before="0" w:after="0" w:line="276" w:lineRule="auto"/>
            </w:pPr>
            <w:r>
              <w:t>Use Tailwind and keep Tailwind configuration ready for future brand tokens from the brandbook.</w:t>
            </w:r>
          </w:p>
        </w:tc>
      </w:tr>
    </w:tbl>
    <w:p/>
    <w:p>
      <w:pPr>
        <w:pStyle w:val="Heading1Custom"/>
        <w:spacing w:before="40" w:after="160" w:line="276" w:lineRule="auto"/>
      </w:pPr>
      <w:r>
        <w:rPr>
          <w:b/>
          <w:i w:val="0"/>
          <w:color w:val="0F2D4A"/>
          <w:sz w:val="31"/>
        </w:rPr>
        <w:t>2. Project objective</w:t>
      </w:r>
    </w:p>
    <w:p>
      <w:pPr>
        <w:spacing w:before="0" w:after="100" w:line="283" w:lineRule="auto"/>
      </w:pPr>
      <w:r>
        <w:t>Create a static, kiosk-friendly currency catalog application that lets users browse Azerbaijani money by business category and type, then open a grouped item and see all of its available versions. The application must behave like a self-contained product catalogue, not like a live mirror of cbar.az.</w:t>
      </w:r>
    </w:p>
    <w:p>
      <w:pPr>
        <w:pStyle w:val="Heading1Custom"/>
        <w:spacing w:before="40" w:after="160" w:line="276" w:lineRule="auto"/>
      </w:pPr>
      <w:r>
        <w:rPr>
          <w:b/>
          <w:i w:val="0"/>
          <w:color w:val="0F2D4A"/>
          <w:sz w:val="31"/>
        </w:rPr>
        <w:t>3. Scope</w:t>
      </w:r>
    </w:p>
    <w:p>
      <w:pPr>
        <w:spacing w:before="0" w:after="100" w:line="283" w:lineRule="auto"/>
      </w:pPr>
      <w:r>
        <w:t>In scope:</w:t>
      </w:r>
    </w:p>
    <w:p>
      <w:pPr>
        <w:spacing w:before="0" w:after="40" w:line="276" w:lineRule="auto"/>
        <w:ind w:left="259" w:hanging="173"/>
      </w:pPr>
      <w:r>
        <w:rPr>
          <w:b/>
        </w:rPr>
        <w:t xml:space="preserve">• </w:t>
      </w:r>
      <w:r>
        <w:t>React web app with PWA support.</w:t>
      </w:r>
    </w:p>
    <w:p>
      <w:pPr>
        <w:spacing w:before="0" w:after="40" w:line="276" w:lineRule="auto"/>
        <w:ind w:left="259" w:hanging="173"/>
      </w:pPr>
      <w:r>
        <w:rPr>
          <w:b/>
        </w:rPr>
        <w:t xml:space="preserve">• </w:t>
      </w:r>
      <w:r>
        <w:t>Two pages only: main page and detail page.</w:t>
      </w:r>
    </w:p>
    <w:p>
      <w:pPr>
        <w:spacing w:before="0" w:after="40" w:line="276" w:lineRule="auto"/>
        <w:ind w:left="259" w:hanging="173"/>
      </w:pPr>
      <w:r>
        <w:rPr>
          <w:b/>
        </w:rPr>
        <w:t xml:space="preserve">• </w:t>
      </w:r>
      <w:r>
        <w:t>Static frontend only; no backend.</w:t>
      </w:r>
    </w:p>
    <w:p>
      <w:pPr>
        <w:spacing w:before="0" w:after="40" w:line="276" w:lineRule="auto"/>
        <w:ind w:left="259" w:hanging="173"/>
      </w:pPr>
      <w:r>
        <w:rPr>
          <w:b/>
        </w:rPr>
        <w:t xml:space="preserve">• </w:t>
      </w:r>
      <w:r>
        <w:t>One-time data acquisition from cbar.az during development.</w:t>
      </w:r>
    </w:p>
    <w:p>
      <w:pPr>
        <w:spacing w:before="0" w:after="40" w:line="276" w:lineRule="auto"/>
        <w:ind w:left="259" w:hanging="173"/>
      </w:pPr>
      <w:r>
        <w:rPr>
          <w:b/>
        </w:rPr>
        <w:t xml:space="preserve">• </w:t>
      </w:r>
      <w:r>
        <w:t>Local JSON data and local downloaded image assets.</w:t>
      </w:r>
    </w:p>
    <w:p>
      <w:pPr>
        <w:spacing w:before="0" w:after="40" w:line="276" w:lineRule="auto"/>
        <w:ind w:left="259" w:hanging="173"/>
      </w:pPr>
      <w:r>
        <w:rPr>
          <w:b/>
        </w:rPr>
        <w:t xml:space="preserve">• </w:t>
      </w:r>
      <w:r>
        <w:t>Azerbaijani and English UI/content support.</w:t>
      </w:r>
    </w:p>
    <w:p>
      <w:pPr>
        <w:spacing w:before="0" w:after="40" w:line="276" w:lineRule="auto"/>
        <w:ind w:left="259" w:hanging="173"/>
      </w:pPr>
      <w:r>
        <w:rPr>
          <w:b/>
        </w:rPr>
        <w:t xml:space="preserve">• </w:t>
      </w:r>
      <w:r>
        <w:t>Tailwind-based styling with future token placeholders.</w:t>
      </w:r>
    </w:p>
    <w:p>
      <w:pPr>
        <w:spacing w:before="0" w:after="100" w:line="283" w:lineRule="auto"/>
      </w:pPr>
      <w:r>
        <w:t>Out of scope:</w:t>
      </w:r>
    </w:p>
    <w:p>
      <w:pPr>
        <w:spacing w:before="0" w:after="40" w:line="276" w:lineRule="auto"/>
        <w:ind w:left="259" w:hanging="173"/>
      </w:pPr>
      <w:r>
        <w:rPr>
          <w:b/>
        </w:rPr>
        <w:t xml:space="preserve">• </w:t>
      </w:r>
      <w:r>
        <w:t>Any runtime scraping or runtime dependency on cbar.az.</w:t>
      </w:r>
    </w:p>
    <w:p>
      <w:pPr>
        <w:spacing w:before="0" w:after="40" w:line="276" w:lineRule="auto"/>
        <w:ind w:left="259" w:hanging="173"/>
      </w:pPr>
      <w:r>
        <w:rPr>
          <w:b/>
        </w:rPr>
        <w:t xml:space="preserve">• </w:t>
      </w:r>
      <w:r>
        <w:t>Search, filtering beyond category/subcategory selection, or admin features.</w:t>
      </w:r>
    </w:p>
    <w:p>
      <w:pPr>
        <w:spacing w:before="0" w:after="40" w:line="276" w:lineRule="auto"/>
        <w:ind w:left="259" w:hanging="173"/>
      </w:pPr>
      <w:r>
        <w:rPr>
          <w:b/>
        </w:rPr>
        <w:t xml:space="preserve">• </w:t>
      </w:r>
      <w:r>
        <w:t>Video tab, embedded videos, or video thumbnails.</w:t>
      </w:r>
    </w:p>
    <w:p>
      <w:pPr>
        <w:spacing w:before="0" w:after="40" w:line="276" w:lineRule="auto"/>
        <w:ind w:left="259" w:hanging="173"/>
      </w:pPr>
      <w:r>
        <w:rPr>
          <w:b/>
        </w:rPr>
        <w:t xml:space="preserve">• </w:t>
      </w:r>
      <w:r>
        <w:t>Portrait layout support.</w:t>
      </w:r>
    </w:p>
    <w:p>
      <w:pPr>
        <w:spacing w:before="0" w:after="40" w:line="276" w:lineRule="auto"/>
        <w:ind w:left="259" w:hanging="173"/>
      </w:pPr>
      <w:r>
        <w:rPr>
          <w:b/>
        </w:rPr>
        <w:t xml:space="preserve">• </w:t>
      </w:r>
      <w:r>
        <w:t>Image modal / zoom viewer.</w:t>
      </w:r>
    </w:p>
    <w:p>
      <w:pPr>
        <w:spacing w:before="0" w:after="40" w:line="276" w:lineRule="auto"/>
        <w:ind w:left="259" w:hanging="173"/>
      </w:pPr>
      <w:r>
        <w:rPr>
          <w:b/>
        </w:rPr>
        <w:t xml:space="preserve">• </w:t>
      </w:r>
      <w:r>
        <w:t>Server-side personalization or analytics dashboards.</w:t>
      </w:r>
    </w:p>
    <w:p>
      <w:pPr>
        <w:pStyle w:val="Heading1Custom"/>
        <w:spacing w:before="40" w:after="160" w:line="276" w:lineRule="auto"/>
      </w:pPr>
      <w:r>
        <w:rPr>
          <w:b/>
          <w:i w:val="0"/>
          <w:color w:val="0F2D4A"/>
          <w:sz w:val="31"/>
        </w:rPr>
        <w:t>4. Source inputs</w:t>
      </w:r>
    </w:p>
    <w:p>
      <w:pPr>
        <w:spacing w:before="0" w:after="100" w:line="283" w:lineRule="auto"/>
      </w:pPr>
      <w:r>
        <w:t>Claude Code must use the following six source list pages as the primary scrape inputs and then follow each item detail page under them:</w:t>
      </w:r>
    </w:p>
    <w:p>
      <w:pPr>
        <w:spacing w:before="0" w:after="40" w:line="276" w:lineRule="auto"/>
        <w:ind w:left="259" w:hanging="173"/>
      </w:pPr>
      <w:r>
        <w:rPr>
          <w:b/>
        </w:rPr>
        <w:t xml:space="preserve">1. </w:t>
      </w:r>
      <w:r>
        <w:t>https://cbar.az/moneymarks/banknotes?category=1</w:t>
      </w:r>
    </w:p>
    <w:p>
      <w:pPr>
        <w:spacing w:before="0" w:after="40" w:line="276" w:lineRule="auto"/>
        <w:ind w:left="259" w:hanging="173"/>
      </w:pPr>
      <w:r>
        <w:rPr>
          <w:b/>
        </w:rPr>
        <w:t xml:space="preserve">2. </w:t>
      </w:r>
      <w:r>
        <w:t>https://cbar.az/moneymarks/coins?category=1</w:t>
      </w:r>
    </w:p>
    <w:p>
      <w:pPr>
        <w:spacing w:before="0" w:after="40" w:line="276" w:lineRule="auto"/>
        <w:ind w:left="259" w:hanging="173"/>
      </w:pPr>
      <w:r>
        <w:rPr>
          <w:b/>
        </w:rPr>
        <w:t xml:space="preserve">3. </w:t>
      </w:r>
      <w:r>
        <w:t>https://cbar.az/moneymarks/banknotes?category=2</w:t>
      </w:r>
    </w:p>
    <w:p>
      <w:pPr>
        <w:spacing w:before="0" w:after="40" w:line="276" w:lineRule="auto"/>
        <w:ind w:left="259" w:hanging="173"/>
      </w:pPr>
      <w:r>
        <w:rPr>
          <w:b/>
        </w:rPr>
        <w:t xml:space="preserve">4. </w:t>
      </w:r>
      <w:r>
        <w:t>https://cbar.az/moneymarks/coins?category=2</w:t>
      </w:r>
    </w:p>
    <w:p>
      <w:pPr>
        <w:spacing w:before="0" w:after="40" w:line="276" w:lineRule="auto"/>
        <w:ind w:left="259" w:hanging="173"/>
      </w:pPr>
      <w:r>
        <w:rPr>
          <w:b/>
        </w:rPr>
        <w:t xml:space="preserve">5. </w:t>
      </w:r>
      <w:r>
        <w:t>https://cbar.az/moneymarks/banknotes?category=3</w:t>
      </w:r>
    </w:p>
    <w:p>
      <w:pPr>
        <w:spacing w:before="0" w:after="40" w:line="276" w:lineRule="auto"/>
        <w:ind w:left="259" w:hanging="173"/>
      </w:pPr>
      <w:r>
        <w:rPr>
          <w:b/>
        </w:rPr>
        <w:t xml:space="preserve">6. </w:t>
      </w:r>
      <w:r>
        <w:t>https://cbar.az/moneymarks/coins?category=3</w:t>
      </w:r>
    </w:p>
    <w:p>
      <w:pPr>
        <w:spacing w:before="0" w:after="100" w:line="283" w:lineRule="auto"/>
      </w:pPr>
      <w:r>
        <w:t>The source site exposes the three required top-level business categories and the paper / metal split under each. The current circulation pages list year-based variants separately; commemorative and investment pages are more title-based; withdrawn pages include older items and some sparse records. English versions also exist on the source site, so bilingual scraping is expected wherever available.</w:t>
      </w:r>
    </w:p>
    <w:p>
      <w:pPr>
        <w:pStyle w:val="Heading1Custom"/>
        <w:spacing w:before="40" w:after="160" w:line="276" w:lineRule="auto"/>
      </w:pPr>
      <w:r>
        <w:rPr>
          <w:b/>
          <w:i w:val="0"/>
          <w:color w:val="0F2D4A"/>
          <w:sz w:val="31"/>
        </w:rPr>
        <w:t>5. Business structure and navigation</w:t>
      </w:r>
    </w:p>
    <w:p>
      <w:pPr>
        <w:spacing w:before="0" w:after="100" w:line="283" w:lineRule="auto"/>
      </w:pPr>
      <w:r>
        <w:t>The main page must contain a left-side navigation panel and a central content list.</w:t>
      </w:r>
    </w:p>
    <w:p>
      <w:pPr>
        <w:spacing w:before="0" w:after="100" w:line="283" w:lineRule="auto"/>
      </w:pPr>
      <w:r>
        <w:t>Top-level categories:</w:t>
      </w:r>
    </w:p>
    <w:p>
      <w:pPr>
        <w:spacing w:before="0" w:after="40" w:line="276" w:lineRule="auto"/>
        <w:ind w:left="259" w:hanging="173"/>
      </w:pPr>
      <w:r>
        <w:rPr>
          <w:b/>
        </w:rPr>
        <w:t xml:space="preserve">1. </w:t>
      </w:r>
      <w:r>
        <w:t>Tədavüldə olan pul nişanları</w:t>
      </w:r>
    </w:p>
    <w:p>
      <w:pPr>
        <w:spacing w:before="0" w:after="40" w:line="276" w:lineRule="auto"/>
        <w:ind w:left="259" w:hanging="173"/>
      </w:pPr>
      <w:r>
        <w:rPr>
          <w:b/>
        </w:rPr>
        <w:t xml:space="preserve">2. </w:t>
      </w:r>
      <w:r>
        <w:t>İnvestisiya, yubiley və xatirə pul nişanları</w:t>
      </w:r>
    </w:p>
    <w:p>
      <w:pPr>
        <w:spacing w:before="0" w:after="40" w:line="276" w:lineRule="auto"/>
        <w:ind w:left="259" w:hanging="173"/>
      </w:pPr>
      <w:r>
        <w:rPr>
          <w:b/>
        </w:rPr>
        <w:t xml:space="preserve">3. </w:t>
      </w:r>
      <w:r>
        <w:t>Tədavüldən çıxarılmış pul nişanları</w:t>
      </w:r>
    </w:p>
    <w:p>
      <w:pPr>
        <w:spacing w:before="0" w:after="100" w:line="283" w:lineRule="auto"/>
      </w:pPr>
      <w:r>
        <w:t>Each top-level category must have two subcategories:</w:t>
      </w:r>
    </w:p>
    <w:p>
      <w:pPr>
        <w:spacing w:before="0" w:after="40" w:line="276" w:lineRule="auto"/>
        <w:ind w:left="259" w:hanging="173"/>
      </w:pPr>
      <w:r>
        <w:rPr>
          <w:b/>
        </w:rPr>
        <w:t xml:space="preserve">• </w:t>
      </w:r>
      <w:r>
        <w:t>kağız pullar</w:t>
      </w:r>
    </w:p>
    <w:p>
      <w:pPr>
        <w:spacing w:before="0" w:after="40" w:line="276" w:lineRule="auto"/>
        <w:ind w:left="259" w:hanging="173"/>
      </w:pPr>
      <w:r>
        <w:rPr>
          <w:b/>
        </w:rPr>
        <w:t xml:space="preserve">• </w:t>
      </w:r>
      <w:r>
        <w:t>metal pullar</w:t>
      </w:r>
    </w:p>
    <w:p>
      <w:pPr>
        <w:spacing w:before="0" w:after="100" w:line="283" w:lineRule="auto"/>
      </w:pPr>
      <w:r>
        <w:t>Default selected state on first load:</w:t>
      </w:r>
    </w:p>
    <w:p>
      <w:pPr>
        <w:spacing w:before="0" w:after="40" w:line="276" w:lineRule="auto"/>
        <w:ind w:left="259" w:hanging="173"/>
      </w:pPr>
      <w:r>
        <w:rPr>
          <w:b/>
        </w:rPr>
        <w:t xml:space="preserve">• </w:t>
      </w:r>
      <w:r>
        <w:t>Tədavüldə olan pul nişanları</w:t>
      </w:r>
    </w:p>
    <w:p>
      <w:pPr>
        <w:spacing w:before="0" w:after="40" w:line="276" w:lineRule="auto"/>
        <w:ind w:left="259" w:hanging="173"/>
      </w:pPr>
      <w:r>
        <w:rPr>
          <w:b/>
        </w:rPr>
        <w:t xml:space="preserve">• </w:t>
      </w:r>
      <w:r>
        <w:t>kağız pullar</w:t>
      </w:r>
    </w:p>
    <w:p>
      <w:pPr>
        <w:spacing w:before="0" w:after="100" w:line="283" w:lineRule="auto"/>
      </w:pPr>
      <w:r>
        <w:t>Behavior:</w:t>
      </w:r>
    </w:p>
    <w:p>
      <w:pPr>
        <w:spacing w:before="0" w:after="40" w:line="276" w:lineRule="auto"/>
        <w:ind w:left="259" w:hanging="173"/>
      </w:pPr>
      <w:r>
        <w:rPr>
          <w:b/>
        </w:rPr>
        <w:t xml:space="preserve">• </w:t>
      </w:r>
      <w:r>
        <w:t>Selecting a category / subcategory updates the central list.</w:t>
      </w:r>
    </w:p>
    <w:p>
      <w:pPr>
        <w:spacing w:before="0" w:after="40" w:line="276" w:lineRule="auto"/>
        <w:ind w:left="259" w:hanging="173"/>
      </w:pPr>
      <w:r>
        <w:rPr>
          <w:b/>
        </w:rPr>
        <w:t xml:space="preserve">• </w:t>
      </w:r>
      <w:r>
        <w:t>Clicking an item opens the detail page for that money family.</w:t>
      </w:r>
    </w:p>
    <w:p>
      <w:pPr>
        <w:spacing w:before="0" w:after="40" w:line="276" w:lineRule="auto"/>
        <w:ind w:left="259" w:hanging="173"/>
      </w:pPr>
      <w:r>
        <w:rPr>
          <w:b/>
        </w:rPr>
        <w:t xml:space="preserve">• </w:t>
      </w:r>
      <w:r>
        <w:t>Selected navigation state must be visually clear and should survive refresh through the URL or persistent UI state.</w:t>
      </w:r>
    </w:p>
    <w:p>
      <w:pPr>
        <w:spacing w:before="0" w:after="40" w:line="276" w:lineRule="auto"/>
        <w:ind w:left="259" w:hanging="173"/>
      </w:pPr>
      <w:r>
        <w:rPr>
          <w:b/>
        </w:rPr>
        <w:t xml:space="preserve">• </w:t>
      </w:r>
      <w:r>
        <w:t>A logo placeholder should exist in the layout, but the actual asset will be added later.</w:t>
      </w:r>
    </w:p>
    <w:p>
      <w:pPr>
        <w:pStyle w:val="Heading1Custom"/>
        <w:spacing w:before="40" w:after="160" w:line="276" w:lineRule="auto"/>
      </w:pPr>
      <w:r>
        <w:rPr>
          <w:b/>
          <w:i w:val="0"/>
          <w:color w:val="0F2D4A"/>
          <w:sz w:val="31"/>
        </w:rPr>
        <w:t>6. Page model</w:t>
      </w:r>
    </w:p>
    <w:p>
      <w:pPr>
        <w:spacing w:before="0" w:after="100" w:line="283" w:lineRule="auto"/>
      </w:pPr>
      <w:r>
        <w:t>Page 1: Main page</w:t>
      </w:r>
    </w:p>
    <w:p>
      <w:pPr>
        <w:spacing w:before="0" w:after="40" w:line="276" w:lineRule="auto"/>
        <w:ind w:left="259" w:hanging="173"/>
      </w:pPr>
      <w:r>
        <w:rPr>
          <w:b/>
        </w:rPr>
        <w:t xml:space="preserve">• </w:t>
      </w:r>
      <w:r>
        <w:t>Left navigation with the 3 categories and 2 subcategories each.</w:t>
      </w:r>
    </w:p>
    <w:p>
      <w:pPr>
        <w:spacing w:before="0" w:after="40" w:line="276" w:lineRule="auto"/>
        <w:ind w:left="259" w:hanging="173"/>
      </w:pPr>
      <w:r>
        <w:rPr>
          <w:b/>
        </w:rPr>
        <w:t xml:space="preserve">• </w:t>
      </w:r>
      <w:r>
        <w:t>Center list of grouped money families for the selected node.</w:t>
      </w:r>
    </w:p>
    <w:p>
      <w:pPr>
        <w:spacing w:before="0" w:after="40" w:line="276" w:lineRule="auto"/>
        <w:ind w:left="259" w:hanging="173"/>
      </w:pPr>
      <w:r>
        <w:rPr>
          <w:b/>
        </w:rPr>
        <w:t xml:space="preserve">• </w:t>
      </w:r>
      <w:r>
        <w:t>Large touch-friendly cards / rows suitable for a monitor.</w:t>
      </w:r>
    </w:p>
    <w:p>
      <w:pPr>
        <w:spacing w:before="0" w:after="40" w:line="276" w:lineRule="auto"/>
        <w:ind w:left="259" w:hanging="173"/>
      </w:pPr>
      <w:r>
        <w:rPr>
          <w:b/>
        </w:rPr>
        <w:t xml:space="preserve">• </w:t>
      </w:r>
      <w:r>
        <w:t>Optional top header area containing app title, logo placeholder, and language switch.</w:t>
      </w:r>
    </w:p>
    <w:p>
      <w:pPr>
        <w:spacing w:before="0" w:after="100" w:line="283" w:lineRule="auto"/>
      </w:pPr>
      <w:r>
        <w:t>Page 2: Detail page</w:t>
      </w:r>
    </w:p>
    <w:p>
      <w:pPr>
        <w:spacing w:before="0" w:after="40" w:line="276" w:lineRule="auto"/>
        <w:ind w:left="259" w:hanging="173"/>
      </w:pPr>
      <w:r>
        <w:rPr>
          <w:b/>
        </w:rPr>
        <w:t xml:space="preserve">• </w:t>
      </w:r>
      <w:r>
        <w:t>Back button to return to the list page.</w:t>
      </w:r>
    </w:p>
    <w:p>
      <w:pPr>
        <w:spacing w:before="0" w:after="40" w:line="276" w:lineRule="auto"/>
        <w:ind w:left="259" w:hanging="173"/>
      </w:pPr>
      <w:r>
        <w:rPr>
          <w:b/>
        </w:rPr>
        <w:t xml:space="preserve">• </w:t>
      </w:r>
      <w:r>
        <w:t>Group/family title at the top.</w:t>
      </w:r>
    </w:p>
    <w:p>
      <w:pPr>
        <w:spacing w:before="0" w:after="40" w:line="276" w:lineRule="auto"/>
        <w:ind w:left="259" w:hanging="173"/>
      </w:pPr>
      <w:r>
        <w:rPr>
          <w:b/>
        </w:rPr>
        <w:t xml:space="preserve">• </w:t>
      </w:r>
      <w:r>
        <w:t>Stacked version cards or sections, newest first.</w:t>
      </w:r>
    </w:p>
    <w:p>
      <w:pPr>
        <w:spacing w:before="0" w:after="40" w:line="276" w:lineRule="auto"/>
        <w:ind w:left="259" w:hanging="173"/>
      </w:pPr>
      <w:r>
        <w:rPr>
          <w:b/>
        </w:rPr>
        <w:t xml:space="preserve">• </w:t>
      </w:r>
      <w:r>
        <w:t>Each version may contain front image, rear image, descriptive text, technical attributes, security elements, and brochure if available.</w:t>
      </w:r>
    </w:p>
    <w:p>
      <w:pPr>
        <w:spacing w:before="0" w:after="40" w:line="276" w:lineRule="auto"/>
        <w:ind w:left="259" w:hanging="173"/>
      </w:pPr>
      <w:r>
        <w:rPr>
          <w:b/>
        </w:rPr>
        <w:t xml:space="preserve">• </w:t>
      </w:r>
      <w:r>
        <w:t>Only render sections that exist for that version.</w:t>
      </w:r>
    </w:p>
    <w:p>
      <w:pPr>
        <w:spacing w:before="0" w:after="40" w:line="276" w:lineRule="auto"/>
        <w:ind w:left="259" w:hanging="173"/>
      </w:pPr>
      <w:r>
        <w:rPr>
          <w:b/>
        </w:rPr>
        <w:t xml:space="preserve">• </w:t>
      </w:r>
      <w:r>
        <w:t>No video tab, no video section, and no video assets anywhere in the app.</w:t>
      </w:r>
    </w:p>
    <w:p>
      <w:pPr>
        <w:pStyle w:val="Heading1Custom"/>
        <w:spacing w:before="40" w:after="160" w:line="276" w:lineRule="auto"/>
      </w:pPr>
      <w:r>
        <w:rPr>
          <w:b/>
          <w:i w:val="0"/>
          <w:color w:val="0F2D4A"/>
          <w:sz w:val="31"/>
        </w:rPr>
        <w:t>7. Grouping rules</w:t>
      </w:r>
    </w:p>
    <w:p>
      <w:pPr>
        <w:spacing w:before="0" w:after="100" w:line="283" w:lineRule="auto"/>
      </w:pPr>
      <w:r>
        <w:t>Grouping is the core business rule. The source site often lists each issue year as a separate row. The application must collapse rows into one logical family on the main page and show all family versions on the detail page.</w:t>
      </w:r>
    </w:p>
    <w:tbl>
      <w:tblPr>
        <w:tblW w:type="auto" w:w="0"/>
        <w:jc w:val="left"/>
        <w:tblLayout w:type="fixed"/>
        <w:tblLook w:firstColumn="1" w:firstRow="1" w:lastColumn="0" w:lastRow="0" w:noHBand="0" w:noVBand="1" w:val="04A0"/>
      </w:tblPr>
      <w:tblGrid>
        <w:gridCol w:w="3331"/>
        <w:gridCol w:w="3331"/>
        <w:gridCol w:w="3331"/>
      </w:tblGrid>
      <w:tr>
        <w:tc>
          <w:tcPr>
            <w:tcW w:type="dxa" w:w="2376"/>
            <w:shd w:fill="174E7C"/>
            <w:tcMar>
              <w:top w:w="90" w:type="dxa"/>
              <w:start w:w="110" w:type="dxa"/>
              <w:bottom w:w="90" w:type="dxa"/>
              <w:end w:w="110" w:type="dxa"/>
            </w:tcMar>
            <w:tcBorders>
              <w:left w:val="single" w:sz="5" w:color="D6E3EF"/>
              <w:top w:val="single" w:sz="5" w:color="D6E3EF"/>
              <w:right w:val="single" w:sz="5" w:color="D6E3EF"/>
              <w:bottom w:val="single" w:sz="5" w:color="D6E3EF"/>
            </w:tcBorders>
          </w:tcPr>
          <w:p>
            <w:pPr>
              <w:spacing w:before="0" w:after="0" w:line="276" w:lineRule="auto"/>
            </w:pPr>
            <w:r>
              <w:rPr>
                <w:b/>
                <w:color w:val="FFFFFF"/>
              </w:rPr>
              <w:t>Section</w:t>
            </w:r>
          </w:p>
        </w:tc>
        <w:tc>
          <w:tcPr>
            <w:tcW w:type="dxa" w:w="3240"/>
            <w:shd w:fill="174E7C"/>
            <w:tcMar>
              <w:top w:w="90" w:type="dxa"/>
              <w:start w:w="110" w:type="dxa"/>
              <w:bottom w:w="90" w:type="dxa"/>
              <w:end w:w="110" w:type="dxa"/>
            </w:tcMar>
            <w:tcBorders>
              <w:left w:val="single" w:sz="5" w:color="D6E3EF"/>
              <w:top w:val="single" w:sz="5" w:color="D6E3EF"/>
              <w:right w:val="single" w:sz="5" w:color="D6E3EF"/>
              <w:bottom w:val="single" w:sz="5" w:color="D6E3EF"/>
            </w:tcBorders>
          </w:tcPr>
          <w:p>
            <w:pPr>
              <w:spacing w:before="0" w:after="0" w:line="276" w:lineRule="auto"/>
            </w:pPr>
            <w:r>
              <w:rPr>
                <w:b/>
                <w:color w:val="FFFFFF"/>
              </w:rPr>
              <w:t>Rule</w:t>
            </w:r>
          </w:p>
        </w:tc>
        <w:tc>
          <w:tcPr>
            <w:tcW w:type="dxa" w:w="4608"/>
            <w:shd w:fill="174E7C"/>
            <w:tcMar>
              <w:top w:w="90" w:type="dxa"/>
              <w:start w:w="110" w:type="dxa"/>
              <w:bottom w:w="90" w:type="dxa"/>
              <w:end w:w="110" w:type="dxa"/>
            </w:tcMar>
            <w:tcBorders>
              <w:left w:val="single" w:sz="5" w:color="D6E3EF"/>
              <w:top w:val="single" w:sz="5" w:color="D6E3EF"/>
              <w:right w:val="single" w:sz="5" w:color="D6E3EF"/>
              <w:bottom w:val="single" w:sz="5" w:color="D6E3EF"/>
            </w:tcBorders>
          </w:tcPr>
          <w:p>
            <w:pPr>
              <w:spacing w:before="0" w:after="0" w:line="276" w:lineRule="auto"/>
            </w:pPr>
            <w:r>
              <w:rPr>
                <w:b/>
                <w:color w:val="FFFFFF"/>
              </w:rPr>
              <w:t>Example</w:t>
            </w:r>
          </w:p>
        </w:tc>
      </w:tr>
      <w:tr>
        <w:tc>
          <w:tcPr>
            <w:tcW w:type="dxa" w:w="2376"/>
            <w:shd w:fill="F8FBFD"/>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pPr>
            <w:r>
              <w:rPr>
                <w:b/>
                <w:color w:val="0F2D4A"/>
              </w:rPr>
              <w:t>Circulation -&gt; banknotes</w:t>
            </w:r>
          </w:p>
        </w:tc>
        <w:tc>
          <w:tcPr>
            <w:tcW w:type="dxa" w:w="3240"/>
            <w:shd w:fill="F8FBFD"/>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pPr>
            <w:r>
              <w:t>Group by denomination family only.</w:t>
            </w:r>
          </w:p>
        </w:tc>
        <w:tc>
          <w:tcPr>
            <w:tcW w:type="dxa" w:w="4608"/>
            <w:shd w:fill="F8FBFD"/>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pPr>
            <w:r>
              <w:t>1 AZN (2006) + 1 AZN (2021) + 1 AZN (2023) -&gt; one family: 1 AZN</w:t>
            </w:r>
          </w:p>
        </w:tc>
      </w:tr>
      <w:tr>
        <w:tc>
          <w:tcPr>
            <w:tcW w:type="dxa" w:w="2376"/>
            <w:shd w:fill="FFFFFF"/>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pPr>
            <w:r>
              <w:rPr>
                <w:b/>
                <w:color w:val="0F2D4A"/>
              </w:rPr>
              <w:t>Circulation -&gt; coins</w:t>
            </w:r>
          </w:p>
        </w:tc>
        <w:tc>
          <w:tcPr>
            <w:tcW w:type="dxa" w:w="3240"/>
            <w:shd w:fill="FFFFFF"/>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pPr>
            <w:r>
              <w:t>Group by denomination family only.</w:t>
            </w:r>
          </w:p>
        </w:tc>
        <w:tc>
          <w:tcPr>
            <w:tcW w:type="dxa" w:w="4608"/>
            <w:shd w:fill="FFFFFF"/>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pPr>
            <w:r>
              <w:t>1 Qəpik (2006) + 1 Qəpik (2024) -&gt; one family: 1 Qəpik</w:t>
            </w:r>
          </w:p>
        </w:tc>
      </w:tr>
      <w:tr>
        <w:tc>
          <w:tcPr>
            <w:tcW w:type="dxa" w:w="2376"/>
            <w:shd w:fill="F8FBFD"/>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pPr>
            <w:r>
              <w:rPr>
                <w:b/>
                <w:color w:val="0F2D4A"/>
              </w:rPr>
              <w:t>Withdrawn -&gt; banknotes</w:t>
            </w:r>
          </w:p>
        </w:tc>
        <w:tc>
          <w:tcPr>
            <w:tcW w:type="dxa" w:w="3240"/>
            <w:shd w:fill="F8FBFD"/>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pPr>
            <w:r>
              <w:t>Group by denomination family; keep year-specific records as versions.</w:t>
            </w:r>
          </w:p>
        </w:tc>
        <w:tc>
          <w:tcPr>
            <w:tcW w:type="dxa" w:w="4608"/>
            <w:shd w:fill="F8FBFD"/>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pPr>
            <w:r>
              <w:t>1000 manat - 1993 il + 1000 manat - 2001 il -&gt; one family: 1000 manat</w:t>
            </w:r>
          </w:p>
        </w:tc>
      </w:tr>
      <w:tr>
        <w:tc>
          <w:tcPr>
            <w:tcW w:type="dxa" w:w="2376"/>
            <w:shd w:fill="FFFFFF"/>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pPr>
            <w:r>
              <w:rPr>
                <w:b/>
                <w:color w:val="0F2D4A"/>
              </w:rPr>
              <w:t>Withdrawn -&gt; coins</w:t>
            </w:r>
          </w:p>
        </w:tc>
        <w:tc>
          <w:tcPr>
            <w:tcW w:type="dxa" w:w="3240"/>
            <w:shd w:fill="FFFFFF"/>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pPr>
            <w:r>
              <w:t>Group by denomination family; preserve material and year as version-level detail.</w:t>
            </w:r>
          </w:p>
        </w:tc>
        <w:tc>
          <w:tcPr>
            <w:tcW w:type="dxa" w:w="4608"/>
            <w:shd w:fill="FFFFFF"/>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pPr>
            <w:r>
              <w:t>50 qəpik - Nikel - AZM + 50 qəpik - Alüminium - 1992 - AZM + 50 qəpik - Alüminium - 1993 - AZM -&gt; one family: 50 qəpik</w:t>
            </w:r>
          </w:p>
        </w:tc>
      </w:tr>
      <w:tr>
        <w:tc>
          <w:tcPr>
            <w:tcW w:type="dxa" w:w="2376"/>
            <w:shd w:fill="F8FBFD"/>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pPr>
            <w:r>
              <w:rPr>
                <w:b/>
                <w:color w:val="0F2D4A"/>
              </w:rPr>
              <w:t>Investment / commemorative -&gt; banknotes</w:t>
            </w:r>
          </w:p>
        </w:tc>
        <w:tc>
          <w:tcPr>
            <w:tcW w:type="dxa" w:w="3240"/>
            <w:shd w:fill="F8FBFD"/>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pPr>
            <w:r>
              <w:t>Keep 1:1 with source title for v1.</w:t>
            </w:r>
          </w:p>
        </w:tc>
        <w:tc>
          <w:tcPr>
            <w:tcW w:type="dxa" w:w="4608"/>
            <w:shd w:fill="F8FBFD"/>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pPr>
            <w:r>
              <w:t>“ZƏFƏR” commemorative banknote remains a separate family.</w:t>
            </w:r>
          </w:p>
        </w:tc>
      </w:tr>
      <w:tr>
        <w:tc>
          <w:tcPr>
            <w:tcW w:type="dxa" w:w="2376"/>
            <w:shd w:fill="FFFFFF"/>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pPr>
            <w:r>
              <w:rPr>
                <w:b/>
                <w:color w:val="0F2D4A"/>
              </w:rPr>
              <w:t>Investment / commemorative -&gt; coins</w:t>
            </w:r>
          </w:p>
        </w:tc>
        <w:tc>
          <w:tcPr>
            <w:tcW w:type="dxa" w:w="3240"/>
            <w:shd w:fill="FFFFFF"/>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pPr>
            <w:r>
              <w:t>Keep 1:1 with source title for v1. Different weights must stay separate.</w:t>
            </w:r>
          </w:p>
        </w:tc>
        <w:tc>
          <w:tcPr>
            <w:tcW w:type="dxa" w:w="4608"/>
            <w:shd w:fill="FFFFFF"/>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pPr>
            <w:r>
              <w:t>Heydər Əliyev - 1 troy unsiya gold and 1/2 troy unsiya gold remain separate items.</w:t>
            </w:r>
          </w:p>
        </w:tc>
      </w:tr>
    </w:tbl>
    <w:p/>
    <w:p>
      <w:pPr>
        <w:pStyle w:val="Heading1Custom"/>
        <w:spacing w:before="40" w:after="160" w:line="276" w:lineRule="auto"/>
      </w:pPr>
      <w:r>
        <w:rPr>
          <w:b/>
          <w:i w:val="0"/>
          <w:color w:val="0F2D4A"/>
          <w:sz w:val="31"/>
        </w:rPr>
        <w:t>8. Sorting rules</w:t>
      </w:r>
    </w:p>
    <w:p>
      <w:pPr>
        <w:spacing w:before="0" w:after="100" w:line="283" w:lineRule="auto"/>
      </w:pPr>
      <w:r>
        <w:t>Main-page family order:</w:t>
      </w:r>
    </w:p>
    <w:p>
      <w:pPr>
        <w:spacing w:before="0" w:after="40" w:line="276" w:lineRule="auto"/>
        <w:ind w:left="259" w:hanging="173"/>
      </w:pPr>
      <w:r>
        <w:rPr>
          <w:b/>
        </w:rPr>
        <w:t xml:space="preserve">• </w:t>
      </w:r>
      <w:r>
        <w:t>Preserve source order from cbar.az after grouping, unless a future UX decision changes this.</w:t>
      </w:r>
    </w:p>
    <w:p>
      <w:pPr>
        <w:spacing w:before="0" w:after="100" w:line="283" w:lineRule="auto"/>
      </w:pPr>
      <w:r>
        <w:t>Detail-page version order:</w:t>
      </w:r>
    </w:p>
    <w:p>
      <w:pPr>
        <w:spacing w:before="0" w:after="40" w:line="276" w:lineRule="auto"/>
        <w:ind w:left="259" w:hanging="173"/>
      </w:pPr>
      <w:r>
        <w:rPr>
          <w:b/>
        </w:rPr>
        <w:t xml:space="preserve">1. </w:t>
      </w:r>
      <w:r>
        <w:t>explicit year parsed from title</w:t>
      </w:r>
    </w:p>
    <w:p>
      <w:pPr>
        <w:spacing w:before="0" w:after="40" w:line="276" w:lineRule="auto"/>
        <w:ind w:left="259" w:hanging="173"/>
      </w:pPr>
      <w:r>
        <w:rPr>
          <w:b/>
        </w:rPr>
        <w:t xml:space="preserve">2. </w:t>
      </w:r>
      <w:r>
        <w:t>issue year field from detail page</w:t>
      </w:r>
    </w:p>
    <w:p>
      <w:pPr>
        <w:spacing w:before="0" w:after="40" w:line="276" w:lineRule="auto"/>
        <w:ind w:left="259" w:hanging="173"/>
      </w:pPr>
      <w:r>
        <w:rPr>
          <w:b/>
        </w:rPr>
        <w:t xml:space="preserve">3. </w:t>
      </w:r>
      <w:r>
        <w:t>fallback to source order if no date can be derived</w:t>
      </w:r>
    </w:p>
    <w:p>
      <w:pPr>
        <w:spacing w:before="0" w:after="100" w:line="283" w:lineRule="auto"/>
      </w:pPr>
      <w:r>
        <w:t>Versions must be rendered newest first using the priority above.</w:t>
      </w:r>
    </w:p>
    <w:p>
      <w:pPr>
        <w:pStyle w:val="Heading1Custom"/>
        <w:spacing w:before="40" w:after="160" w:line="276" w:lineRule="auto"/>
      </w:pPr>
      <w:r>
        <w:rPr>
          <w:b/>
          <w:i w:val="0"/>
          <w:color w:val="0F2D4A"/>
          <w:sz w:val="31"/>
        </w:rPr>
        <w:t>9. Localization and bilingual behavior</w:t>
      </w:r>
    </w:p>
    <w:p>
      <w:pPr>
        <w:spacing w:before="0" w:after="100" w:line="283" w:lineRule="auto"/>
      </w:pPr>
      <w:r>
        <w:t>The application must support Azerbaijani and English.</w:t>
      </w:r>
    </w:p>
    <w:p>
      <w:pPr>
        <w:spacing w:before="0" w:after="100" w:line="283" w:lineRule="auto"/>
      </w:pPr>
      <w:r>
        <w:t>Requirements:</w:t>
      </w:r>
    </w:p>
    <w:p>
      <w:pPr>
        <w:spacing w:before="0" w:after="40" w:line="276" w:lineRule="auto"/>
        <w:ind w:left="259" w:hanging="173"/>
      </w:pPr>
      <w:r>
        <w:rPr>
          <w:b/>
        </w:rPr>
        <w:t xml:space="preserve">• </w:t>
      </w:r>
      <w:r>
        <w:t>Add a language switch in the header / top-right area.</w:t>
      </w:r>
    </w:p>
    <w:p>
      <w:pPr>
        <w:spacing w:before="0" w:after="40" w:line="276" w:lineRule="auto"/>
        <w:ind w:left="259" w:hanging="173"/>
      </w:pPr>
      <w:r>
        <w:rPr>
          <w:b/>
        </w:rPr>
        <w:t xml:space="preserve">• </w:t>
      </w:r>
      <w:r>
        <w:t>Changing language must update navigation labels, family titles, version titles, descriptions, technical fields, and security elements.</w:t>
      </w:r>
    </w:p>
    <w:p>
      <w:pPr>
        <w:spacing w:before="0" w:after="40" w:line="276" w:lineRule="auto"/>
        <w:ind w:left="259" w:hanging="173"/>
      </w:pPr>
      <w:r>
        <w:rPr>
          <w:b/>
        </w:rPr>
        <w:t xml:space="preserve">• </w:t>
      </w:r>
      <w:r>
        <w:t>Scrape Azerbaijani and English content where the source provides both.</w:t>
      </w:r>
    </w:p>
    <w:p>
      <w:pPr>
        <w:spacing w:before="0" w:after="40" w:line="276" w:lineRule="auto"/>
        <w:ind w:left="259" w:hanging="173"/>
      </w:pPr>
      <w:r>
        <w:rPr>
          <w:b/>
        </w:rPr>
        <w:t xml:space="preserve">• </w:t>
      </w:r>
      <w:r>
        <w:t>If English is missing for a specific item or field, keep the record valid and apply a graceful fallback strategy rather than failing the build.</w:t>
      </w:r>
    </w:p>
    <w:p>
      <w:pPr>
        <w:spacing w:before="0" w:after="100" w:line="283" w:lineRule="auto"/>
      </w:pPr>
      <w:r>
        <w:t>Recommended storage model:</w:t>
      </w:r>
    </w:p>
    <w:p>
      <w:pPr>
        <w:spacing w:before="0" w:after="40" w:line="276" w:lineRule="auto"/>
        <w:ind w:left="259" w:hanging="173"/>
      </w:pPr>
      <w:r>
        <w:rPr>
          <w:b/>
        </w:rPr>
        <w:t xml:space="preserve">• </w:t>
      </w:r>
      <w:r>
        <w:t>Keep one normalized entity structure.</w:t>
      </w:r>
    </w:p>
    <w:p>
      <w:pPr>
        <w:spacing w:before="0" w:after="40" w:line="276" w:lineRule="auto"/>
        <w:ind w:left="259" w:hanging="173"/>
      </w:pPr>
      <w:r>
        <w:rPr>
          <w:b/>
        </w:rPr>
        <w:t xml:space="preserve">• </w:t>
      </w:r>
      <w:r>
        <w:t>Store localized text as nested fields, for example title.az / title.en and description.az / description.en.</w:t>
      </w:r>
    </w:p>
    <w:p>
      <w:pPr>
        <w:spacing w:before="0" w:after="40" w:line="276" w:lineRule="auto"/>
        <w:ind w:left="259" w:hanging="173"/>
      </w:pPr>
      <w:r>
        <w:rPr>
          <w:b/>
        </w:rPr>
        <w:t xml:space="preserve">• </w:t>
      </w:r>
      <w:r>
        <w:t>Store field labels and values in localized form as well.</w:t>
      </w:r>
    </w:p>
    <w:p>
      <w:pPr>
        <w:pStyle w:val="Heading1Custom"/>
        <w:spacing w:before="40" w:after="160" w:line="276" w:lineRule="auto"/>
      </w:pPr>
      <w:r>
        <w:rPr>
          <w:b/>
          <w:i w:val="0"/>
          <w:color w:val="0F2D4A"/>
          <w:sz w:val="31"/>
        </w:rPr>
        <w:t>10. Data acquisition workflow for Claude Code</w:t>
      </w:r>
    </w:p>
    <w:p>
      <w:pPr>
        <w:spacing w:before="0" w:after="100" w:line="283" w:lineRule="auto"/>
      </w:pPr>
      <w:r>
        <w:t>Claude Code must implement a one-time ingestion workflow and commit the generated data into the project. Runtime scraping is forbidden.</w:t>
      </w:r>
    </w:p>
    <w:p>
      <w:pPr>
        <w:spacing w:before="0" w:after="100" w:line="283" w:lineRule="auto"/>
      </w:pPr>
      <w:r>
        <w:t>Required workflow:</w:t>
      </w:r>
    </w:p>
    <w:p>
      <w:pPr>
        <w:spacing w:before="0" w:after="40" w:line="276" w:lineRule="auto"/>
        <w:ind w:left="259" w:hanging="173"/>
      </w:pPr>
      <w:r>
        <w:rPr>
          <w:b/>
        </w:rPr>
        <w:t xml:space="preserve">1. </w:t>
      </w:r>
      <w:r>
        <w:t>Visit each of the 6 list pages.</w:t>
      </w:r>
    </w:p>
    <w:p>
      <w:pPr>
        <w:spacing w:before="0" w:after="40" w:line="276" w:lineRule="auto"/>
        <w:ind w:left="259" w:hanging="173"/>
      </w:pPr>
      <w:r>
        <w:rPr>
          <w:b/>
        </w:rPr>
        <w:t xml:space="preserve">2. </w:t>
      </w:r>
      <w:r>
        <w:t>Parse all list items.</w:t>
      </w:r>
    </w:p>
    <w:p>
      <w:pPr>
        <w:spacing w:before="0" w:after="40" w:line="276" w:lineRule="auto"/>
        <w:ind w:left="259" w:hanging="173"/>
      </w:pPr>
      <w:r>
        <w:rPr>
          <w:b/>
        </w:rPr>
        <w:t xml:space="preserve">3. </w:t>
      </w:r>
      <w:r>
        <w:t>Resolve every detail page URL.</w:t>
      </w:r>
    </w:p>
    <w:p>
      <w:pPr>
        <w:spacing w:before="0" w:after="40" w:line="276" w:lineRule="auto"/>
        <w:ind w:left="259" w:hanging="173"/>
      </w:pPr>
      <w:r>
        <w:rPr>
          <w:b/>
        </w:rPr>
        <w:t xml:space="preserve">4. </w:t>
      </w:r>
      <w:r>
        <w:t>Parse Azerbaijani detail content.</w:t>
      </w:r>
    </w:p>
    <w:p>
      <w:pPr>
        <w:spacing w:before="0" w:after="40" w:line="276" w:lineRule="auto"/>
        <w:ind w:left="259" w:hanging="173"/>
      </w:pPr>
      <w:r>
        <w:rPr>
          <w:b/>
        </w:rPr>
        <w:t xml:space="preserve">5. </w:t>
      </w:r>
      <w:r>
        <w:t>Attempt English detail content where available.</w:t>
      </w:r>
    </w:p>
    <w:p>
      <w:pPr>
        <w:spacing w:before="0" w:after="40" w:line="276" w:lineRule="auto"/>
        <w:ind w:left="259" w:hanging="173"/>
      </w:pPr>
      <w:r>
        <w:rPr>
          <w:b/>
        </w:rPr>
        <w:t xml:space="preserve">6. </w:t>
      </w:r>
      <w:r>
        <w:t>Download required images locally.</w:t>
      </w:r>
    </w:p>
    <w:p>
      <w:pPr>
        <w:spacing w:before="0" w:after="40" w:line="276" w:lineRule="auto"/>
        <w:ind w:left="259" w:hanging="173"/>
      </w:pPr>
      <w:r>
        <w:rPr>
          <w:b/>
        </w:rPr>
        <w:t xml:space="preserve">7. </w:t>
      </w:r>
      <w:r>
        <w:t>Ignore all video-related content.</w:t>
      </w:r>
    </w:p>
    <w:p>
      <w:pPr>
        <w:spacing w:before="0" w:after="40" w:line="276" w:lineRule="auto"/>
        <w:ind w:left="259" w:hanging="173"/>
      </w:pPr>
      <w:r>
        <w:rPr>
          <w:b/>
        </w:rPr>
        <w:t xml:space="preserve">8. </w:t>
      </w:r>
      <w:r>
        <w:t>Normalize records into local JSON.</w:t>
      </w:r>
    </w:p>
    <w:p>
      <w:pPr>
        <w:spacing w:before="0" w:after="40" w:line="276" w:lineRule="auto"/>
        <w:ind w:left="259" w:hanging="173"/>
      </w:pPr>
      <w:r>
        <w:rPr>
          <w:b/>
        </w:rPr>
        <w:t xml:space="preserve">9. </w:t>
      </w:r>
      <w:r>
        <w:t>Build grouped family records for the main page.</w:t>
      </w:r>
    </w:p>
    <w:p>
      <w:pPr>
        <w:spacing w:before="0" w:after="40" w:line="276" w:lineRule="auto"/>
        <w:ind w:left="259" w:hanging="173"/>
      </w:pPr>
      <w:r>
        <w:rPr>
          <w:b/>
        </w:rPr>
        <w:t xml:space="preserve">10. </w:t>
      </w:r>
      <w:r>
        <w:t>Commit generated JSON and image assets into the app.</w:t>
      </w:r>
    </w:p>
    <w:p>
      <w:pPr>
        <w:spacing w:before="0" w:after="100" w:line="283" w:lineRule="auto"/>
      </w:pPr>
      <w:r>
        <w:t>Rules:</w:t>
      </w:r>
    </w:p>
    <w:p>
      <w:pPr>
        <w:spacing w:before="0" w:after="40" w:line="276" w:lineRule="auto"/>
        <w:ind w:left="259" w:hanging="173"/>
      </w:pPr>
      <w:r>
        <w:rPr>
          <w:b/>
        </w:rPr>
        <w:t xml:space="preserve">• </w:t>
      </w:r>
      <w:r>
        <w:t>Do not hotlink images from cbar.az.</w:t>
      </w:r>
    </w:p>
    <w:p>
      <w:pPr>
        <w:spacing w:before="0" w:after="40" w:line="276" w:lineRule="auto"/>
        <w:ind w:left="259" w:hanging="173"/>
      </w:pPr>
      <w:r>
        <w:rPr>
          <w:b/>
        </w:rPr>
        <w:t xml:space="preserve">• </w:t>
      </w:r>
      <w:r>
        <w:t>Store required images locally.</w:t>
      </w:r>
    </w:p>
    <w:p>
      <w:pPr>
        <w:spacing w:before="0" w:after="40" w:line="276" w:lineRule="auto"/>
        <w:ind w:left="259" w:hanging="173"/>
      </w:pPr>
      <w:r>
        <w:rPr>
          <w:b/>
        </w:rPr>
        <w:t xml:space="preserve">• </w:t>
      </w:r>
      <w:r>
        <w:t>Keep the app functional without internet after the initial installation.</w:t>
      </w:r>
    </w:p>
    <w:p>
      <w:pPr>
        <w:spacing w:before="0" w:after="40" w:line="276" w:lineRule="auto"/>
        <w:ind w:left="259" w:hanging="173"/>
      </w:pPr>
      <w:r>
        <w:rPr>
          <w:b/>
        </w:rPr>
        <w:t xml:space="preserve">• </w:t>
      </w:r>
      <w:r>
        <w:t>If a detail page is irregular, preserve whatever fields are parseable and do not fail the entire ingestion run.</w:t>
      </w:r>
    </w:p>
    <w:p>
      <w:pPr>
        <w:pStyle w:val="Heading1Custom"/>
        <w:spacing w:before="40" w:after="160" w:line="276" w:lineRule="auto"/>
      </w:pPr>
      <w:r>
        <w:rPr>
          <w:b/>
          <w:i w:val="0"/>
          <w:color w:val="0F2D4A"/>
          <w:sz w:val="31"/>
        </w:rPr>
        <w:t>11. Data model guidance</w:t>
      </w:r>
    </w:p>
    <w:p>
      <w:pPr>
        <w:spacing w:before="0" w:after="100" w:line="283" w:lineRule="auto"/>
      </w:pPr>
      <w:r>
        <w:t>Use a flexible normalized data model because the source detail pages are not uniform. Some pages expose denomination, color, dimension, weight, motif, composition, quality, issue year, issue limit, or brochure; other pages are more sparse.</w:t>
      </w:r>
    </w:p>
    <w:p>
      <w:pPr>
        <w:spacing w:before="0" w:after="100" w:line="283" w:lineRule="auto"/>
      </w:pPr>
      <w:r>
        <w:t>Recommended entity split:</w:t>
      </w:r>
    </w:p>
    <w:p>
      <w:pPr>
        <w:spacing w:before="0" w:after="40" w:line="276" w:lineRule="auto"/>
        <w:ind w:left="259" w:hanging="173"/>
      </w:pPr>
      <w:r>
        <w:rPr>
          <w:b/>
        </w:rPr>
        <w:t xml:space="preserve">• </w:t>
      </w:r>
      <w:r>
        <w:t>MoneyFamily: used by the main page list.</w:t>
      </w:r>
    </w:p>
    <w:p>
      <w:pPr>
        <w:spacing w:before="0" w:after="40" w:line="276" w:lineRule="auto"/>
        <w:ind w:left="259" w:hanging="173"/>
      </w:pPr>
      <w:r>
        <w:rPr>
          <w:b/>
        </w:rPr>
        <w:t xml:space="preserve">• </w:t>
      </w:r>
      <w:r>
        <w:t>MoneyVersion: used by the detail page.</w:t>
      </w:r>
    </w:p>
    <w:p>
      <w:pPr>
        <w:spacing w:before="0" w:after="40" w:line="276" w:lineRule="auto"/>
        <w:ind w:left="259" w:hanging="173"/>
      </w:pPr>
      <w:r>
        <w:rPr>
          <w:b/>
        </w:rPr>
        <w:t xml:space="preserve">• </w:t>
      </w:r>
      <w:r>
        <w:t>Localized fields stored per language.</w:t>
      </w:r>
    </w:p>
    <w:p>
      <w:pPr>
        <w:spacing w:before="0" w:after="40" w:line="276" w:lineRule="auto"/>
        <w:ind w:left="259" w:hanging="173"/>
      </w:pPr>
      <w:r>
        <w:rPr>
          <w:b/>
        </w:rPr>
        <w:t xml:space="preserve">• </w:t>
      </w:r>
      <w:r>
        <w:t>Generic key/value attributes array for inconsistent technical data.</w:t>
      </w:r>
    </w:p>
    <w:p>
      <w:pPr>
        <w:spacing w:before="0" w:after="40" w:line="276" w:lineRule="auto"/>
        <w:ind w:left="259" w:hanging="173"/>
      </w:pPr>
      <w:r>
        <w:rPr>
          <w:b/>
        </w:rPr>
        <w:t xml:space="preserve">• </w:t>
      </w:r>
      <w:r>
        <w:t>Optional arrays for security elements and overview paragraphs.</w:t>
      </w:r>
    </w:p>
    <w:p>
      <w:pPr>
        <w:spacing w:before="0" w:after="40" w:line="276" w:lineRule="auto"/>
        <w:ind w:left="259" w:hanging="173"/>
      </w:pPr>
      <w:r>
        <w:rPr>
          <w:b/>
        </w:rPr>
        <w:t xml:space="preserve">• </w:t>
      </w:r>
      <w:r>
        <w:t>Optional brochure file metadata.</w:t>
      </w:r>
    </w:p>
    <w:p>
      <w:pPr>
        <w:spacing w:before="0" w:after="100" w:line="283" w:lineRule="auto"/>
      </w:pPr>
      <w:r>
        <w:t>Important:</w:t>
      </w:r>
    </w:p>
    <w:p>
      <w:pPr>
        <w:spacing w:before="0" w:after="40" w:line="276" w:lineRule="auto"/>
        <w:ind w:left="259" w:hanging="173"/>
      </w:pPr>
      <w:r>
        <w:rPr>
          <w:b/>
        </w:rPr>
        <w:t xml:space="preserve">• </w:t>
      </w:r>
      <w:r>
        <w:t>Avoid a hard-coded schema that assumes all money types share the same exact fields.</w:t>
      </w:r>
    </w:p>
    <w:p>
      <w:pPr>
        <w:spacing w:before="0" w:after="40" w:line="276" w:lineRule="auto"/>
        <w:ind w:left="259" w:hanging="173"/>
      </w:pPr>
      <w:r>
        <w:rPr>
          <w:b/>
        </w:rPr>
        <w:t xml:space="preserve">• </w:t>
      </w:r>
      <w:r>
        <w:t>Preserve the source URL metadata in the generated JSON for traceability.</w:t>
      </w:r>
    </w:p>
    <w:p>
      <w:pPr>
        <w:spacing w:before="0" w:after="40" w:line="276" w:lineRule="auto"/>
        <w:ind w:left="259" w:hanging="173"/>
      </w:pPr>
      <w:r>
        <w:rPr>
          <w:b/>
        </w:rPr>
        <w:t xml:space="preserve">• </w:t>
      </w:r>
      <w:r>
        <w:t>Store a deterministic familyKey for grouping.</w:t>
      </w:r>
    </w:p>
    <w:p>
      <w:pPr>
        <w:pStyle w:val="Heading2Custom"/>
        <w:spacing w:before="40" w:after="160" w:line="276" w:lineRule="auto"/>
      </w:pPr>
      <w:r>
        <w:rPr>
          <w:b/>
          <w:i w:val="0"/>
          <w:color w:val="174E7C"/>
          <w:sz w:val="25"/>
        </w:rPr>
        <w:t>11.1 Recommended route structure</w:t>
      </w:r>
    </w:p>
    <w:tbl>
      <w:tblPr>
        <w:tblW w:type="auto" w:w="0"/>
        <w:tblLook w:firstColumn="1" w:firstRow="1" w:lastColumn="0" w:lastRow="0" w:noHBand="0" w:noVBand="1" w:val="04A0"/>
      </w:tblPr>
      <w:tblGrid>
        <w:gridCol w:w="9994"/>
      </w:tblGrid>
      <w:tr>
        <w:tc>
          <w:tcPr>
            <w:tcW w:type="dxa" w:w="9994"/>
            <w:shd w:fill="F4F7FA"/>
            <w:tcBorders>
              <w:left w:val="single" w:sz="6" w:color="D6E3EF"/>
              <w:top w:val="single" w:sz="6" w:color="D6E3EF"/>
              <w:right w:val="single" w:sz="6" w:color="D6E3EF"/>
              <w:bottom w:val="single" w:sz="6" w:color="D6E3EF"/>
            </w:tcBorders>
            <w:tcMar>
              <w:top w:w="90" w:type="dxa"/>
              <w:start w:w="110" w:type="dxa"/>
              <w:bottom w:w="90" w:type="dxa"/>
              <w:end w:w="110" w:type="dxa"/>
            </w:tcMar>
          </w:tcPr>
          <w:p>
            <w:pPr>
              <w:spacing w:before="0" w:after="0" w:line="240" w:lineRule="auto"/>
            </w:pPr>
            <w:r>
              <w:rPr>
                <w:rFonts w:ascii="Courier New" w:hAnsi="Courier New" w:eastAsia="Courier New"/>
                <w:b w:val="0"/>
                <w:i w:val="0"/>
                <w:color w:val="111827"/>
                <w:sz w:val="18"/>
              </w:rPr>
              <w:t>/</w:t>
              <w:br/>
              <w:t>/money/:familyId</w:t>
            </w:r>
          </w:p>
        </w:tc>
      </w:tr>
    </w:tbl>
    <w:p/>
    <w:p>
      <w:pPr>
        <w:pStyle w:val="Heading2Custom"/>
        <w:spacing w:before="40" w:after="160" w:line="276" w:lineRule="auto"/>
      </w:pPr>
      <w:r>
        <w:rPr>
          <w:b/>
          <w:i w:val="0"/>
          <w:color w:val="174E7C"/>
          <w:sz w:val="25"/>
        </w:rPr>
        <w:t>11.2 Recommended folder structure</w:t>
      </w:r>
    </w:p>
    <w:tbl>
      <w:tblPr>
        <w:tblW w:type="auto" w:w="0"/>
        <w:tblLook w:firstColumn="1" w:firstRow="1" w:lastColumn="0" w:lastRow="0" w:noHBand="0" w:noVBand="1" w:val="04A0"/>
      </w:tblPr>
      <w:tblGrid>
        <w:gridCol w:w="9994"/>
      </w:tblGrid>
      <w:tr>
        <w:tc>
          <w:tcPr>
            <w:tcW w:type="dxa" w:w="9994"/>
            <w:shd w:fill="F4F7FA"/>
            <w:tcBorders>
              <w:left w:val="single" w:sz="6" w:color="D6E3EF"/>
              <w:top w:val="single" w:sz="6" w:color="D6E3EF"/>
              <w:right w:val="single" w:sz="6" w:color="D6E3EF"/>
              <w:bottom w:val="single" w:sz="6" w:color="D6E3EF"/>
            </w:tcBorders>
            <w:tcMar>
              <w:top w:w="90" w:type="dxa"/>
              <w:start w:w="110" w:type="dxa"/>
              <w:bottom w:w="90" w:type="dxa"/>
              <w:end w:w="110" w:type="dxa"/>
            </w:tcMar>
          </w:tcPr>
          <w:p>
            <w:pPr>
              <w:spacing w:before="0" w:after="0" w:line="240" w:lineRule="auto"/>
            </w:pPr>
            <w:r>
              <w:rPr>
                <w:rFonts w:ascii="Courier New" w:hAnsi="Courier New" w:eastAsia="Courier New"/>
                <w:b w:val="0"/>
                <w:i w:val="0"/>
                <w:color w:val="111827"/>
                <w:sz w:val="17"/>
              </w:rPr>
              <w:t>src/</w:t>
              <w:br/>
              <w:t xml:space="preserve">  app/</w:t>
              <w:br/>
              <w:t xml:space="preserve">  pages/</w:t>
              <w:br/>
              <w:t xml:space="preserve">    HomePage/</w:t>
              <w:br/>
              <w:t xml:space="preserve">    MoneyDetailPage/</w:t>
              <w:br/>
              <w:t xml:space="preserve">  components/</w:t>
              <w:br/>
              <w:t xml:space="preserve">    Sidebar/</w:t>
              <w:br/>
              <w:t xml:space="preserve">    MoneyList/</w:t>
              <w:br/>
              <w:t xml:space="preserve">    MoneyCard/</w:t>
              <w:br/>
              <w:t xml:space="preserve">    VersionCard/</w:t>
              <w:br/>
              <w:t xml:space="preserve">    LanguageToggle/</w:t>
              <w:br/>
              <w:t xml:space="preserve">  data/</w:t>
              <w:br/>
              <w:t xml:space="preserve">    money.families.json</w:t>
              <w:br/>
              <w:t xml:space="preserve">    money.versions.json</w:t>
              <w:br/>
              <w:t xml:space="preserve">  assets/</w:t>
              <w:br/>
              <w:t xml:space="preserve">    money/</w:t>
              <w:br/>
              <w:t xml:space="preserve">  lib/</w:t>
              <w:br/>
              <w:t xml:space="preserve">    grouping.ts</w:t>
              <w:br/>
              <w:t xml:space="preserve">    selectors.ts</w:t>
              <w:br/>
              <w:t xml:space="preserve">    i18n.ts</w:t>
              <w:br/>
              <w:t>scripts/</w:t>
              <w:br/>
              <w:t xml:space="preserve">  scrape-cbar-money.ts</w:t>
            </w:r>
          </w:p>
        </w:tc>
      </w:tr>
    </w:tbl>
    <w:p/>
    <w:p>
      <w:pPr>
        <w:pStyle w:val="Heading1Custom"/>
        <w:spacing w:before="40" w:after="160" w:line="276" w:lineRule="auto"/>
      </w:pPr>
      <w:r>
        <w:rPr>
          <w:b/>
          <w:i w:val="0"/>
          <w:color w:val="0F2D4A"/>
          <w:sz w:val="31"/>
        </w:rPr>
        <w:t>12. Frontend architecture and styling direction</w:t>
      </w:r>
    </w:p>
    <w:p>
      <w:pPr>
        <w:spacing w:before="0" w:after="100" w:line="283" w:lineRule="auto"/>
      </w:pPr>
      <w:r>
        <w:t>Preferred stack:</w:t>
      </w:r>
    </w:p>
    <w:p>
      <w:pPr>
        <w:spacing w:before="0" w:after="40" w:line="276" w:lineRule="auto"/>
        <w:ind w:left="259" w:hanging="173"/>
      </w:pPr>
      <w:r>
        <w:rPr>
          <w:b/>
        </w:rPr>
        <w:t xml:space="preserve">• </w:t>
      </w:r>
      <w:r>
        <w:t>React</w:t>
      </w:r>
    </w:p>
    <w:p>
      <w:pPr>
        <w:spacing w:before="0" w:after="40" w:line="276" w:lineRule="auto"/>
        <w:ind w:left="259" w:hanging="173"/>
      </w:pPr>
      <w:r>
        <w:rPr>
          <w:b/>
        </w:rPr>
        <w:t xml:space="preserve">• </w:t>
      </w:r>
      <w:r>
        <w:t>TypeScript</w:t>
      </w:r>
    </w:p>
    <w:p>
      <w:pPr>
        <w:spacing w:before="0" w:after="40" w:line="276" w:lineRule="auto"/>
        <w:ind w:left="259" w:hanging="173"/>
      </w:pPr>
      <w:r>
        <w:rPr>
          <w:b/>
        </w:rPr>
        <w:t xml:space="preserve">• </w:t>
      </w:r>
      <w:r>
        <w:t>Vite</w:t>
      </w:r>
    </w:p>
    <w:p>
      <w:pPr>
        <w:spacing w:before="0" w:after="40" w:line="276" w:lineRule="auto"/>
        <w:ind w:left="259" w:hanging="173"/>
      </w:pPr>
      <w:r>
        <w:rPr>
          <w:b/>
        </w:rPr>
        <w:t xml:space="preserve">• </w:t>
      </w:r>
      <w:r>
        <w:t>React Router</w:t>
      </w:r>
    </w:p>
    <w:p>
      <w:pPr>
        <w:spacing w:before="0" w:after="40" w:line="276" w:lineRule="auto"/>
        <w:ind w:left="259" w:hanging="173"/>
      </w:pPr>
      <w:r>
        <w:rPr>
          <w:b/>
        </w:rPr>
        <w:t xml:space="preserve">• </w:t>
      </w:r>
      <w:r>
        <w:t>Tailwind CSS</w:t>
      </w:r>
    </w:p>
    <w:p>
      <w:pPr>
        <w:spacing w:before="0" w:after="100" w:line="283" w:lineRule="auto"/>
      </w:pPr>
      <w:r>
        <w:t>Styling direction:</w:t>
      </w:r>
    </w:p>
    <w:p>
      <w:pPr>
        <w:spacing w:before="0" w:after="40" w:line="276" w:lineRule="auto"/>
        <w:ind w:left="259" w:hanging="173"/>
      </w:pPr>
      <w:r>
        <w:rPr>
          <w:b/>
        </w:rPr>
        <w:t xml:space="preserve">• </w:t>
      </w:r>
      <w:r>
        <w:t>Use Tailwind for all page and component styling.</w:t>
      </w:r>
    </w:p>
    <w:p>
      <w:pPr>
        <w:spacing w:before="0" w:after="40" w:line="276" w:lineRule="auto"/>
        <w:ind w:left="259" w:hanging="173"/>
      </w:pPr>
      <w:r>
        <w:rPr>
          <w:b/>
        </w:rPr>
        <w:t xml:space="preserve">• </w:t>
      </w:r>
      <w:r>
        <w:t>Keep the structure ready for future brandbook token injection.</w:t>
      </w:r>
    </w:p>
    <w:p>
      <w:pPr>
        <w:spacing w:before="0" w:after="40" w:line="276" w:lineRule="auto"/>
        <w:ind w:left="259" w:hanging="173"/>
      </w:pPr>
      <w:r>
        <w:rPr>
          <w:b/>
        </w:rPr>
        <w:t xml:space="preserve">• </w:t>
      </w:r>
      <w:r>
        <w:t>Do not hardwire all colors, spacing, radii, and shadows directly inside components.</w:t>
      </w:r>
    </w:p>
    <w:p>
      <w:pPr>
        <w:spacing w:before="0" w:after="40" w:line="276" w:lineRule="auto"/>
        <w:ind w:left="259" w:hanging="173"/>
      </w:pPr>
      <w:r>
        <w:rPr>
          <w:b/>
        </w:rPr>
        <w:t xml:space="preserve">• </w:t>
      </w:r>
      <w:r>
        <w:t>Create a theme layer or token wrapper so future brand tokens can be added with minimal refactoring.</w:t>
      </w:r>
    </w:p>
    <w:p>
      <w:pPr>
        <w:spacing w:before="0" w:after="100" w:line="283" w:lineRule="auto"/>
      </w:pPr>
      <w:r>
        <w:t>Tailwind expectation:</w:t>
      </w:r>
    </w:p>
    <w:p>
      <w:pPr>
        <w:spacing w:before="0" w:after="40" w:line="276" w:lineRule="auto"/>
        <w:ind w:left="259" w:hanging="173"/>
      </w:pPr>
      <w:r>
        <w:rPr>
          <w:b/>
        </w:rPr>
        <w:t xml:space="preserve">• </w:t>
      </w:r>
      <w:r>
        <w:t>Keep a tailwind.config setup (or equivalent modern theme setup) that exposes placeholder semantic tokens.</w:t>
      </w:r>
    </w:p>
    <w:p>
      <w:pPr>
        <w:spacing w:before="0" w:after="40" w:line="276" w:lineRule="auto"/>
        <w:ind w:left="259" w:hanging="173"/>
      </w:pPr>
      <w:r>
        <w:rPr>
          <w:b/>
        </w:rPr>
        <w:t xml:space="preserve">• </w:t>
      </w:r>
      <w:r>
        <w:t>Example semantic token names: brand.primary, brand.secondary, surface.default, surface.muted, text.primary, text.secondary, border.default, radius.card, shadow.card.</w:t>
      </w:r>
    </w:p>
    <w:p>
      <w:pPr>
        <w:spacing w:before="0" w:after="100" w:line="283" w:lineRule="auto"/>
      </w:pPr>
      <w:r>
        <w:t>Implementation guidance:</w:t>
      </w:r>
    </w:p>
    <w:p>
      <w:pPr>
        <w:spacing w:before="0" w:after="40" w:line="276" w:lineRule="auto"/>
        <w:ind w:left="259" w:hanging="173"/>
      </w:pPr>
      <w:r>
        <w:rPr>
          <w:b/>
        </w:rPr>
        <w:t xml:space="preserve">• </w:t>
      </w:r>
      <w:r>
        <w:t>Use semantic utility composition where possible instead of raw one-off values everywhere.</w:t>
      </w:r>
    </w:p>
    <w:p>
      <w:pPr>
        <w:spacing w:before="0" w:after="40" w:line="276" w:lineRule="auto"/>
        <w:ind w:left="259" w:hanging="173"/>
      </w:pPr>
      <w:r>
        <w:rPr>
          <w:b/>
        </w:rPr>
        <w:t xml:space="preserve">• </w:t>
      </w:r>
      <w:r>
        <w:t>Keep a shared layout shell for the two pages.</w:t>
      </w:r>
    </w:p>
    <w:p>
      <w:pPr>
        <w:spacing w:before="0" w:after="40" w:line="276" w:lineRule="auto"/>
        <w:ind w:left="259" w:hanging="173"/>
      </w:pPr>
      <w:r>
        <w:rPr>
          <w:b/>
        </w:rPr>
        <w:t xml:space="preserve">• </w:t>
      </w:r>
      <w:r>
        <w:t>Make the UI spacious and touch-friendly for monitor usage.</w:t>
      </w:r>
    </w:p>
    <w:p>
      <w:pPr>
        <w:spacing w:before="0" w:after="40" w:line="276" w:lineRule="auto"/>
        <w:ind w:left="259" w:hanging="173"/>
      </w:pPr>
      <w:r>
        <w:rPr>
          <w:b/>
        </w:rPr>
        <w:t xml:space="preserve">• </w:t>
      </w:r>
      <w:r>
        <w:t>Assume landscape-only sizing and optimize for horizontal real estate.</w:t>
      </w:r>
    </w:p>
    <w:p>
      <w:pPr>
        <w:spacing w:before="0" w:after="40" w:line="276" w:lineRule="auto"/>
        <w:ind w:left="259" w:hanging="173"/>
      </w:pPr>
      <w:r>
        <w:rPr>
          <w:b/>
        </w:rPr>
        <w:t xml:space="preserve">• </w:t>
      </w:r>
      <w:r>
        <w:t>Reserve a clear placeholder area for the future logo.</w:t>
      </w:r>
    </w:p>
    <w:p>
      <w:pPr>
        <w:pStyle w:val="Heading1Custom"/>
        <w:spacing w:before="40" w:after="160" w:line="276" w:lineRule="auto"/>
      </w:pPr>
      <w:r>
        <w:rPr>
          <w:b/>
          <w:i w:val="0"/>
          <w:color w:val="0F2D4A"/>
          <w:sz w:val="31"/>
        </w:rPr>
        <w:t>13. UX notes for the monitor scenario</w:t>
      </w:r>
    </w:p>
    <w:p>
      <w:pPr>
        <w:spacing w:before="0" w:after="40" w:line="276" w:lineRule="auto"/>
        <w:ind w:left="259" w:hanging="173"/>
      </w:pPr>
      <w:r>
        <w:rPr>
          <w:b/>
        </w:rPr>
        <w:t xml:space="preserve">• </w:t>
      </w:r>
      <w:r>
        <w:t>Use large click targets for navigation and list items.</w:t>
      </w:r>
    </w:p>
    <w:p>
      <w:pPr>
        <w:spacing w:before="0" w:after="40" w:line="276" w:lineRule="auto"/>
        <w:ind w:left="259" w:hanging="173"/>
      </w:pPr>
      <w:r>
        <w:rPr>
          <w:b/>
        </w:rPr>
        <w:t xml:space="preserve">• </w:t>
      </w:r>
      <w:r>
        <w:t>Prefer a stable two-column main layout: left navigation, central list.</w:t>
      </w:r>
    </w:p>
    <w:p>
      <w:pPr>
        <w:spacing w:before="0" w:after="40" w:line="276" w:lineRule="auto"/>
        <w:ind w:left="259" w:hanging="173"/>
      </w:pPr>
      <w:r>
        <w:rPr>
          <w:b/>
        </w:rPr>
        <w:t xml:space="preserve">• </w:t>
      </w:r>
      <w:r>
        <w:t>Avoid tiny links and dense text blocks.</w:t>
      </w:r>
    </w:p>
    <w:p>
      <w:pPr>
        <w:spacing w:before="0" w:after="40" w:line="276" w:lineRule="auto"/>
        <w:ind w:left="259" w:hanging="173"/>
      </w:pPr>
      <w:r>
        <w:rPr>
          <w:b/>
        </w:rPr>
        <w:t xml:space="preserve">• </w:t>
      </w:r>
      <w:r>
        <w:t>Do not rely on hover-dependent interactions.</w:t>
      </w:r>
    </w:p>
    <w:p>
      <w:pPr>
        <w:spacing w:before="0" w:after="40" w:line="276" w:lineRule="auto"/>
        <w:ind w:left="259" w:hanging="173"/>
      </w:pPr>
      <w:r>
        <w:rPr>
          <w:b/>
        </w:rPr>
        <w:t xml:space="preserve">• </w:t>
      </w:r>
      <w:r>
        <w:t>Keep animations light and functional.</w:t>
      </w:r>
    </w:p>
    <w:p>
      <w:pPr>
        <w:spacing w:before="0" w:after="40" w:line="276" w:lineRule="auto"/>
        <w:ind w:left="259" w:hanging="173"/>
      </w:pPr>
      <w:r>
        <w:rPr>
          <w:b/>
        </w:rPr>
        <w:t xml:space="preserve">• </w:t>
      </w:r>
      <w:r>
        <w:t>The detail page should show stacked version sections rather than tabs where possible.</w:t>
      </w:r>
    </w:p>
    <w:p>
      <w:pPr>
        <w:spacing w:before="0" w:after="40" w:line="276" w:lineRule="auto"/>
        <w:ind w:left="259" w:hanging="173"/>
      </w:pPr>
      <w:r>
        <w:rPr>
          <w:b/>
        </w:rPr>
        <w:t xml:space="preserve">• </w:t>
      </w:r>
      <w:r>
        <w:t>Images should be visible at a comfortable size, but tapping them should not open a fullscreen viewer.</w:t>
      </w:r>
    </w:p>
    <w:p>
      <w:pPr>
        <w:pStyle w:val="Heading1Custom"/>
        <w:spacing w:before="40" w:after="160" w:line="276" w:lineRule="auto"/>
      </w:pPr>
      <w:r>
        <w:rPr>
          <w:b/>
          <w:i w:val="0"/>
          <w:color w:val="0F2D4A"/>
          <w:sz w:val="31"/>
        </w:rPr>
        <w:t>14. Acceptance criteria</w:t>
      </w:r>
    </w:p>
    <w:tbl>
      <w:tblPr>
        <w:tblW w:type="auto" w:w="0"/>
        <w:jc w:val="left"/>
        <w:tblLayout w:type="fixed"/>
        <w:tblLook w:firstColumn="1" w:firstRow="1" w:lastColumn="0" w:lastRow="0" w:noHBand="0" w:noVBand="1" w:val="04A0"/>
      </w:tblPr>
      <w:tblGrid>
        <w:gridCol w:w="4997"/>
        <w:gridCol w:w="4997"/>
      </w:tblGrid>
      <w:tr>
        <w:tc>
          <w:tcPr>
            <w:tcW w:type="dxa" w:w="1080"/>
            <w:shd w:fill="174E7C"/>
            <w:tcMar>
              <w:top w:w="90" w:type="dxa"/>
              <w:start w:w="110" w:type="dxa"/>
              <w:bottom w:w="90" w:type="dxa"/>
              <w:end w:w="110" w:type="dxa"/>
            </w:tcMar>
            <w:tcBorders>
              <w:left w:val="single" w:sz="5" w:color="D6E3EF"/>
              <w:top w:val="single" w:sz="5" w:color="D6E3EF"/>
              <w:right w:val="single" w:sz="5" w:color="D6E3EF"/>
              <w:bottom w:val="single" w:sz="5" w:color="D6E3EF"/>
            </w:tcBorders>
          </w:tcPr>
          <w:p>
            <w:pPr>
              <w:spacing w:before="0" w:after="0" w:line="276" w:lineRule="auto"/>
            </w:pPr>
            <w:r>
              <w:rPr>
                <w:b/>
                <w:color w:val="FFFFFF"/>
              </w:rPr>
              <w:t>No.</w:t>
            </w:r>
          </w:p>
        </w:tc>
        <w:tc>
          <w:tcPr>
            <w:tcW w:type="dxa" w:w="9144"/>
            <w:shd w:fill="174E7C"/>
            <w:tcMar>
              <w:top w:w="90" w:type="dxa"/>
              <w:start w:w="110" w:type="dxa"/>
              <w:bottom w:w="90" w:type="dxa"/>
              <w:end w:w="110" w:type="dxa"/>
            </w:tcMar>
            <w:tcBorders>
              <w:left w:val="single" w:sz="5" w:color="D6E3EF"/>
              <w:top w:val="single" w:sz="5" w:color="D6E3EF"/>
              <w:right w:val="single" w:sz="5" w:color="D6E3EF"/>
              <w:bottom w:val="single" w:sz="5" w:color="D6E3EF"/>
            </w:tcBorders>
          </w:tcPr>
          <w:p>
            <w:pPr>
              <w:spacing w:before="0" w:after="0" w:line="276" w:lineRule="auto"/>
            </w:pPr>
            <w:r>
              <w:rPr>
                <w:b/>
                <w:color w:val="FFFFFF"/>
              </w:rPr>
              <w:t>Criterion</w:t>
            </w:r>
          </w:p>
        </w:tc>
      </w:tr>
      <w:tr>
        <w:tc>
          <w:tcPr>
            <w:tcW w:type="dxa" w:w="1080"/>
            <w:shd w:fill="F8FBFD"/>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jc w:val="center"/>
            </w:pPr>
            <w:r>
              <w:rPr>
                <w:b/>
                <w:color w:val="0F2D4A"/>
              </w:rPr>
              <w:t>1</w:t>
            </w:r>
          </w:p>
        </w:tc>
        <w:tc>
          <w:tcPr>
            <w:tcW w:type="dxa" w:w="9144"/>
            <w:shd w:fill="F8FBFD"/>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pPr>
            <w:r>
              <w:t>The solution contains only 2 user-facing pages: main page and detail page.</w:t>
            </w:r>
          </w:p>
        </w:tc>
      </w:tr>
      <w:tr>
        <w:tc>
          <w:tcPr>
            <w:tcW w:type="dxa" w:w="1080"/>
            <w:shd w:fill="FFFFFF"/>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jc w:val="center"/>
            </w:pPr>
            <w:r>
              <w:rPr>
                <w:b/>
                <w:color w:val="0F2D4A"/>
              </w:rPr>
              <w:t>2</w:t>
            </w:r>
          </w:p>
        </w:tc>
        <w:tc>
          <w:tcPr>
            <w:tcW w:type="dxa" w:w="9144"/>
            <w:shd w:fill="FFFFFF"/>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pPr>
            <w:r>
              <w:t>Default landing state is circulation -&gt; paper money.</w:t>
            </w:r>
          </w:p>
        </w:tc>
      </w:tr>
      <w:tr>
        <w:tc>
          <w:tcPr>
            <w:tcW w:type="dxa" w:w="1080"/>
            <w:shd w:fill="F8FBFD"/>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jc w:val="center"/>
            </w:pPr>
            <w:r>
              <w:rPr>
                <w:b/>
                <w:color w:val="0F2D4A"/>
              </w:rPr>
              <w:t>3</w:t>
            </w:r>
          </w:p>
        </w:tc>
        <w:tc>
          <w:tcPr>
            <w:tcW w:type="dxa" w:w="9144"/>
            <w:shd w:fill="F8FBFD"/>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pPr>
            <w:r>
              <w:t>The left navigation contains all 3 categories and both subcategories under each.</w:t>
            </w:r>
          </w:p>
        </w:tc>
      </w:tr>
      <w:tr>
        <w:tc>
          <w:tcPr>
            <w:tcW w:type="dxa" w:w="1080"/>
            <w:shd w:fill="FFFFFF"/>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jc w:val="center"/>
            </w:pPr>
            <w:r>
              <w:rPr>
                <w:b/>
                <w:color w:val="0F2D4A"/>
              </w:rPr>
              <w:t>4</w:t>
            </w:r>
          </w:p>
        </w:tc>
        <w:tc>
          <w:tcPr>
            <w:tcW w:type="dxa" w:w="9144"/>
            <w:shd w:fill="FFFFFF"/>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pPr>
            <w:r>
              <w:t>The main page shows grouped families rather than every yearly source row separately where grouping is required.</w:t>
            </w:r>
          </w:p>
        </w:tc>
      </w:tr>
      <w:tr>
        <w:tc>
          <w:tcPr>
            <w:tcW w:type="dxa" w:w="1080"/>
            <w:shd w:fill="F8FBFD"/>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jc w:val="center"/>
            </w:pPr>
            <w:r>
              <w:rPr>
                <w:b/>
                <w:color w:val="0F2D4A"/>
              </w:rPr>
              <w:t>5</w:t>
            </w:r>
          </w:p>
        </w:tc>
        <w:tc>
          <w:tcPr>
            <w:tcW w:type="dxa" w:w="9144"/>
            <w:shd w:fill="F8FBFD"/>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pPr>
            <w:r>
              <w:t>The detail page shows all versions for the selected family, newest first.</w:t>
            </w:r>
          </w:p>
        </w:tc>
      </w:tr>
      <w:tr>
        <w:tc>
          <w:tcPr>
            <w:tcW w:type="dxa" w:w="1080"/>
            <w:shd w:fill="FFFFFF"/>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jc w:val="center"/>
            </w:pPr>
            <w:r>
              <w:rPr>
                <w:b/>
                <w:color w:val="0F2D4A"/>
              </w:rPr>
              <w:t>6</w:t>
            </w:r>
          </w:p>
        </w:tc>
        <w:tc>
          <w:tcPr>
            <w:tcW w:type="dxa" w:w="9144"/>
            <w:shd w:fill="FFFFFF"/>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pPr>
            <w:r>
              <w:t>Investment / commemorative metal coins remain separate when weight or composition differs.</w:t>
            </w:r>
          </w:p>
        </w:tc>
      </w:tr>
      <w:tr>
        <w:tc>
          <w:tcPr>
            <w:tcW w:type="dxa" w:w="1080"/>
            <w:shd w:fill="F8FBFD"/>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jc w:val="center"/>
            </w:pPr>
            <w:r>
              <w:rPr>
                <w:b/>
                <w:color w:val="0F2D4A"/>
              </w:rPr>
              <w:t>7</w:t>
            </w:r>
          </w:p>
        </w:tc>
        <w:tc>
          <w:tcPr>
            <w:tcW w:type="dxa" w:w="9144"/>
            <w:shd w:fill="F8FBFD"/>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pPr>
            <w:r>
              <w:t>The application supports Azerbaijani and English.</w:t>
            </w:r>
          </w:p>
        </w:tc>
      </w:tr>
      <w:tr>
        <w:tc>
          <w:tcPr>
            <w:tcW w:type="dxa" w:w="1080"/>
            <w:shd w:fill="FFFFFF"/>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jc w:val="center"/>
            </w:pPr>
            <w:r>
              <w:rPr>
                <w:b/>
                <w:color w:val="0F2D4A"/>
              </w:rPr>
              <w:t>8</w:t>
            </w:r>
          </w:p>
        </w:tc>
        <w:tc>
          <w:tcPr>
            <w:tcW w:type="dxa" w:w="9144"/>
            <w:shd w:fill="FFFFFF"/>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pPr>
            <w:r>
              <w:t>No runtime calls are made to cbar.az.</w:t>
            </w:r>
          </w:p>
        </w:tc>
      </w:tr>
      <w:tr>
        <w:tc>
          <w:tcPr>
            <w:tcW w:type="dxa" w:w="1080"/>
            <w:shd w:fill="F8FBFD"/>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jc w:val="center"/>
            </w:pPr>
            <w:r>
              <w:rPr>
                <w:b/>
                <w:color w:val="0F2D4A"/>
              </w:rPr>
              <w:t>9</w:t>
            </w:r>
          </w:p>
        </w:tc>
        <w:tc>
          <w:tcPr>
            <w:tcW w:type="dxa" w:w="9144"/>
            <w:shd w:fill="F8FBFD"/>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pPr>
            <w:r>
              <w:t>All required images are stored locally.</w:t>
            </w:r>
          </w:p>
        </w:tc>
      </w:tr>
      <w:tr>
        <w:tc>
          <w:tcPr>
            <w:tcW w:type="dxa" w:w="1080"/>
            <w:shd w:fill="FFFFFF"/>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jc w:val="center"/>
            </w:pPr>
            <w:r>
              <w:rPr>
                <w:b/>
                <w:color w:val="0F2D4A"/>
              </w:rPr>
              <w:t>10</w:t>
            </w:r>
          </w:p>
        </w:tc>
        <w:tc>
          <w:tcPr>
            <w:tcW w:type="dxa" w:w="9144"/>
            <w:shd w:fill="FFFFFF"/>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pPr>
            <w:r>
              <w:t>No video tab or video content exists in the final app.</w:t>
            </w:r>
          </w:p>
        </w:tc>
      </w:tr>
      <w:tr>
        <w:tc>
          <w:tcPr>
            <w:tcW w:type="dxa" w:w="1080"/>
            <w:shd w:fill="F8FBFD"/>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jc w:val="center"/>
            </w:pPr>
            <w:r>
              <w:rPr>
                <w:b/>
                <w:color w:val="0F2D4A"/>
              </w:rPr>
              <w:t>11</w:t>
            </w:r>
          </w:p>
        </w:tc>
        <w:tc>
          <w:tcPr>
            <w:tcW w:type="dxa" w:w="9144"/>
            <w:shd w:fill="F8FBFD"/>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pPr>
            <w:r>
              <w:t>The app works as a PWA and remains usable offline after first successful load.</w:t>
            </w:r>
          </w:p>
        </w:tc>
      </w:tr>
      <w:tr>
        <w:tc>
          <w:tcPr>
            <w:tcW w:type="dxa" w:w="1080"/>
            <w:shd w:fill="FFFFFF"/>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jc w:val="center"/>
            </w:pPr>
            <w:r>
              <w:rPr>
                <w:b/>
                <w:color w:val="0F2D4A"/>
              </w:rPr>
              <w:t>12</w:t>
            </w:r>
          </w:p>
        </w:tc>
        <w:tc>
          <w:tcPr>
            <w:tcW w:type="dxa" w:w="9144"/>
            <w:shd w:fill="FFFFFF"/>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pPr>
            <w:r>
              <w:t>The layout is optimized for landscape Chrome on the target Android monitor.</w:t>
            </w:r>
          </w:p>
        </w:tc>
      </w:tr>
      <w:tr>
        <w:tc>
          <w:tcPr>
            <w:tcW w:type="dxa" w:w="1080"/>
            <w:shd w:fill="F8FBFD"/>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jc w:val="center"/>
            </w:pPr>
            <w:r>
              <w:rPr>
                <w:b/>
                <w:color w:val="0F2D4A"/>
              </w:rPr>
              <w:t>13</w:t>
            </w:r>
          </w:p>
        </w:tc>
        <w:tc>
          <w:tcPr>
            <w:tcW w:type="dxa" w:w="9144"/>
            <w:shd w:fill="F8FBFD"/>
            <w:tcMar>
              <w:top w:w="95" w:type="dxa"/>
              <w:start w:w="110" w:type="dxa"/>
              <w:bottom w:w="95" w:type="dxa"/>
              <w:end w:w="110" w:type="dxa"/>
            </w:tcMar>
            <w:vAlign w:val="center"/>
            <w:tcBorders>
              <w:left w:val="single" w:sz="5" w:color="D6E3EF"/>
              <w:top w:val="single" w:sz="5" w:color="D6E3EF"/>
              <w:right w:val="single" w:sz="5" w:color="D6E3EF"/>
              <w:bottom w:val="single" w:sz="5" w:color="D6E3EF"/>
            </w:tcBorders>
          </w:tcPr>
          <w:p>
            <w:pPr>
              <w:spacing w:before="0" w:after="0" w:line="269" w:lineRule="auto"/>
            </w:pPr>
            <w:r>
              <w:t>Tailwind-based styling is implemented with future token placeholders.</w:t>
            </w:r>
          </w:p>
        </w:tc>
      </w:tr>
    </w:tbl>
    <w:p/>
    <w:p>
      <w:pPr>
        <w:pStyle w:val="Heading1Custom"/>
        <w:spacing w:before="40" w:after="160" w:line="276" w:lineRule="auto"/>
      </w:pPr>
      <w:r>
        <w:rPr>
          <w:b/>
          <w:i w:val="0"/>
          <w:color w:val="0F2D4A"/>
          <w:sz w:val="31"/>
        </w:rPr>
        <w:t>15. Appendix: reviewed source notes</w:t>
      </w:r>
    </w:p>
    <w:p>
      <w:pPr>
        <w:spacing w:before="0" w:after="100" w:line="283" w:lineRule="auto"/>
      </w:pPr>
      <w:r>
        <w:t>The specification above is based on a review of the six list pages and representative detail pages from cbar.az. The observed source patterns that matter for implementation are summarized below.</w:t>
      </w:r>
    </w:p>
    <w:p>
      <w:pPr>
        <w:spacing w:before="0" w:after="40" w:line="276" w:lineRule="auto"/>
        <w:ind w:left="259" w:hanging="173"/>
      </w:pPr>
      <w:r>
        <w:rPr>
          <w:b/>
        </w:rPr>
        <w:t xml:space="preserve">• </w:t>
      </w:r>
      <w:r>
        <w:t>Circulation banknotes list yearly variants separately, for example 1 AZN (2006), 1 AZN (2021), 1 AZN (2023).</w:t>
      </w:r>
    </w:p>
    <w:p>
      <w:pPr>
        <w:spacing w:before="0" w:after="40" w:line="276" w:lineRule="auto"/>
        <w:ind w:left="259" w:hanging="173"/>
      </w:pPr>
      <w:r>
        <w:rPr>
          <w:b/>
        </w:rPr>
        <w:t xml:space="preserve">• </w:t>
      </w:r>
      <w:r>
        <w:t>Circulation coins list yearly variants separately, for example 1 Qəpik (2006) and 1 Qəpik (2024).</w:t>
      </w:r>
    </w:p>
    <w:p>
      <w:pPr>
        <w:spacing w:before="0" w:after="40" w:line="276" w:lineRule="auto"/>
        <w:ind w:left="259" w:hanging="173"/>
      </w:pPr>
      <w:r>
        <w:rPr>
          <w:b/>
        </w:rPr>
        <w:t xml:space="preserve">• </w:t>
      </w:r>
      <w:r>
        <w:t>The commemorative / investment banknotes list includes the “ZƏFƏR” commemorative banknote.</w:t>
      </w:r>
    </w:p>
    <w:p>
      <w:pPr>
        <w:spacing w:before="0" w:after="40" w:line="276" w:lineRule="auto"/>
        <w:ind w:left="259" w:hanging="173"/>
      </w:pPr>
      <w:r>
        <w:rPr>
          <w:b/>
        </w:rPr>
        <w:t xml:space="preserve">• </w:t>
      </w:r>
      <w:r>
        <w:t>The commemorative / investment coins list contains many distinct title-based products, including several Heydər Əliyev investment coins by weight and multiple commemorative sets.</w:t>
      </w:r>
    </w:p>
    <w:p>
      <w:pPr>
        <w:spacing w:before="0" w:after="40" w:line="276" w:lineRule="auto"/>
        <w:ind w:left="259" w:hanging="173"/>
      </w:pPr>
      <w:r>
        <w:rPr>
          <w:b/>
        </w:rPr>
        <w:t xml:space="preserve">• </w:t>
      </w:r>
      <w:r>
        <w:t>Withdrawn banknotes include denomination-based historical entries such as 1000 manat - 1993 il and 1000 manat - 2001 il.</w:t>
      </w:r>
    </w:p>
    <w:p>
      <w:pPr>
        <w:spacing w:before="0" w:after="40" w:line="276" w:lineRule="auto"/>
        <w:ind w:left="259" w:hanging="173"/>
      </w:pPr>
      <w:r>
        <w:rPr>
          <w:b/>
        </w:rPr>
        <w:t xml:space="preserve">• </w:t>
      </w:r>
      <w:r>
        <w:t>Withdrawn coins include denomination + material + year variants such as 50 qəpik - Nikel - AZM and 50 qəpik - Alüminium - 1992 - AZM.</w:t>
      </w:r>
    </w:p>
    <w:p>
      <w:pPr>
        <w:spacing w:before="0" w:after="40" w:line="276" w:lineRule="auto"/>
        <w:ind w:left="259" w:hanging="173"/>
      </w:pPr>
      <w:r>
        <w:rPr>
          <w:b/>
        </w:rPr>
        <w:t xml:space="preserve">• </w:t>
      </w:r>
      <w:r>
        <w:t>Representative detail pages show that field structures differ by item type; some pages include denomination, color, dimension, weight, motif, composition, quality, issue year, issue limit, security elements, or brochure links.</w:t>
      </w:r>
    </w:p>
    <w:p>
      <w:pPr>
        <w:spacing w:before="0" w:after="40" w:line="276" w:lineRule="auto"/>
        <w:ind w:left="259" w:hanging="173"/>
      </w:pPr>
      <w:r>
        <w:rPr>
          <w:b/>
        </w:rPr>
        <w:t xml:space="preserve">• </w:t>
      </w:r>
      <w:r>
        <w:t>Some banknote detail pages on the source site include a Video tab. This application must exclude it.</w:t>
      </w:r>
    </w:p>
    <w:p>
      <w:pPr>
        <w:pStyle w:val="Heading2Custom"/>
        <w:spacing w:before="40" w:after="160" w:line="276" w:lineRule="auto"/>
      </w:pPr>
      <w:r>
        <w:rPr>
          <w:b/>
          <w:i w:val="0"/>
          <w:color w:val="174E7C"/>
          <w:sz w:val="25"/>
        </w:rPr>
        <w:t>Reference URLs</w:t>
      </w:r>
    </w:p>
    <w:p>
      <w:pPr>
        <w:pStyle w:val="BodySmall"/>
        <w:spacing w:before="0" w:after="20" w:line="252" w:lineRule="auto"/>
        <w:ind w:left="259"/>
      </w:pPr>
      <w:r>
        <w:t>https://cbar.az/moneymarks/banknotes?category=1</w:t>
      </w:r>
    </w:p>
    <w:p>
      <w:pPr>
        <w:pStyle w:val="BodySmall"/>
        <w:spacing w:before="0" w:after="20" w:line="252" w:lineRule="auto"/>
        <w:ind w:left="259"/>
      </w:pPr>
      <w:r>
        <w:t>https://cbar.az/moneymarks/coins?category=1</w:t>
      </w:r>
    </w:p>
    <w:p>
      <w:pPr>
        <w:pStyle w:val="BodySmall"/>
        <w:spacing w:before="0" w:after="20" w:line="252" w:lineRule="auto"/>
        <w:ind w:left="259"/>
      </w:pPr>
      <w:r>
        <w:t>https://cbar.az/moneymarks/banknotes?category=2</w:t>
      </w:r>
    </w:p>
    <w:p>
      <w:pPr>
        <w:pStyle w:val="BodySmall"/>
        <w:spacing w:before="0" w:after="20" w:line="252" w:lineRule="auto"/>
        <w:ind w:left="259"/>
      </w:pPr>
      <w:r>
        <w:t>https://cbar.az/moneymarks/coins?category=2</w:t>
      </w:r>
    </w:p>
    <w:p>
      <w:pPr>
        <w:pStyle w:val="BodySmall"/>
        <w:spacing w:before="0" w:after="20" w:line="252" w:lineRule="auto"/>
        <w:ind w:left="259"/>
      </w:pPr>
      <w:r>
        <w:t>https://cbar.az/moneymarks/banknotes?category=3</w:t>
      </w:r>
    </w:p>
    <w:p>
      <w:pPr>
        <w:pStyle w:val="BodySmall"/>
        <w:spacing w:before="0" w:after="20" w:line="252" w:lineRule="auto"/>
        <w:ind w:left="259"/>
      </w:pPr>
      <w:r>
        <w:t>https://cbar.az/moneymarks/coins?category=3</w:t>
      </w:r>
    </w:p>
    <w:p>
      <w:pPr>
        <w:pStyle w:val="BodySmall"/>
        <w:spacing w:before="0" w:after="20" w:line="252" w:lineRule="auto"/>
        <w:ind w:left="259"/>
      </w:pPr>
      <w:r>
        <w:t>Representative detail example: https://www.cbar.az/moneymarks/banknotes/detail/78</w:t>
      </w:r>
    </w:p>
    <w:p>
      <w:pPr>
        <w:pStyle w:val="BodySmall"/>
        <w:spacing w:before="0" w:after="20" w:line="252" w:lineRule="auto"/>
        <w:ind w:left="259"/>
      </w:pPr>
      <w:r>
        <w:t>Representative detail example: https://www.cbar.az/moneymarks/coins/detail/8?language=en</w:t>
      </w:r>
    </w:p>
    <w:p>
      <w:pPr>
        <w:pStyle w:val="BodySmall"/>
        <w:spacing w:before="0" w:after="20" w:line="252" w:lineRule="auto"/>
        <w:ind w:left="259"/>
      </w:pPr>
      <w:r>
        <w:t>Representative detail example: https://www.cbar.az/moneymarks/banknotes/detail/147</w:t>
      </w:r>
    </w:p>
    <w:p>
      <w:pPr>
        <w:pStyle w:val="BodySmall"/>
        <w:spacing w:before="0" w:after="20" w:line="252" w:lineRule="auto"/>
        <w:ind w:left="259"/>
      </w:pPr>
      <w:r>
        <w:t>Representative detail example: https://www.cbar.az/moneymarks/coins/detail/222</w:t>
      </w:r>
    </w:p>
    <w:sectPr w:rsidR="00FC693F" w:rsidRPr="0006063C" w:rsidSect="00034616">
      <w:footerReference w:type="default" r:id="rId9"/>
      <w:pgSz w:w="12240" w:h="15840"/>
      <w:pgMar w:top="936" w:right="1123" w:bottom="864"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eastAsia="Aptos"/>
      <w:b/>
      <w:color w:val="0F2D4A"/>
      <w:sz w:val="44"/>
    </w:rPr>
  </w:style>
  <w:style w:type="paragraph" w:customStyle="1" w:styleId="SubtitleCustom">
    <w:name w:val="SubtitleCustom"/>
    <w:basedOn w:val="Normal"/>
    <w:rPr>
      <w:rFonts w:ascii="Aptos" w:hAnsi="Aptos" w:eastAsia="Aptos"/>
      <w:b w:val="0"/>
      <w:color w:val="4B5563"/>
      <w:sz w:val="23"/>
    </w:rPr>
  </w:style>
  <w:style w:type="paragraph" w:customStyle="1" w:styleId="Heading1Custom">
    <w:name w:val="Heading1Custom"/>
    <w:basedOn w:val="Normal"/>
    <w:rPr>
      <w:rFonts w:ascii="Aptos" w:hAnsi="Aptos" w:eastAsia="Aptos"/>
      <w:b/>
      <w:color w:val="0F2D4A"/>
      <w:sz w:val="31"/>
    </w:rPr>
  </w:style>
  <w:style w:type="paragraph" w:customStyle="1" w:styleId="Heading2Custom">
    <w:name w:val="Heading2Custom"/>
    <w:basedOn w:val="Normal"/>
    <w:rPr>
      <w:rFonts w:ascii="Aptos" w:hAnsi="Aptos" w:eastAsia="Aptos"/>
      <w:b/>
      <w:color w:val="174E7C"/>
      <w:sz w:val="25"/>
    </w:rPr>
  </w:style>
  <w:style w:type="paragraph" w:customStyle="1" w:styleId="BodySmall">
    <w:name w:val="BodySmall"/>
    <w:basedOn w:val="Normal"/>
    <w:rPr>
      <w:rFonts w:ascii="Aptos" w:hAnsi="Aptos" w:eastAsia="Aptos"/>
      <w:b w:val="0"/>
      <w:color w:val="4B556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