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sz w:val="28"/>
        </w:rPr>
        <w:t>BEHAVIORAL AND ACADEMIC INDICATOR-BASED DEPRESSION SCREENING</w:t>
        <w:br/>
        <w:t>AMONG HIGHER EDUCATION STUDENTS: A COMPARATIVE MACHINE LEARNING STUDY</w:t>
      </w:r>
    </w:p>
    <w:p>
      <w:pPr>
        <w:spacing w:before="0" w:after="40"/>
        <w:jc w:val="center"/>
      </w:pPr>
      <w:r>
        <w:rPr>
          <w:rFonts w:ascii="Times New Roman" w:hAnsi="Times New Roman"/>
          <w:b/>
          <w:i w:val="0"/>
          <w:sz w:val="20"/>
        </w:rPr>
        <w:t>Md. Murad Hossain</w:t>
      </w:r>
      <w:r>
        <w:rPr>
          <w:rFonts w:ascii="Times New Roman" w:hAnsi="Times New Roman"/>
          <w:b w:val="0"/>
          <w:i w:val="0"/>
          <w:sz w:val="20"/>
        </w:rPr>
        <w:t xml:space="preserve">,  </w:t>
      </w:r>
      <w:r>
        <w:rPr>
          <w:rFonts w:ascii="Times New Roman" w:hAnsi="Times New Roman"/>
          <w:b/>
          <w:i w:val="0"/>
          <w:sz w:val="20"/>
        </w:rPr>
        <w:t>Dr. Mrinal Kanti Baowaly</w:t>
      </w:r>
    </w:p>
    <w:p>
      <w:pPr>
        <w:spacing w:before="0" w:after="40"/>
        <w:jc w:val="center"/>
      </w:pPr>
      <w:r>
        <w:rPr>
          <w:rFonts w:ascii="Times New Roman" w:hAnsi="Times New Roman"/>
          <w:b w:val="0"/>
          <w:i/>
          <w:sz w:val="18"/>
        </w:rPr>
        <w:t>Department of Computer Science &amp; Engineering</w:t>
        <w:br/>
        <w:t>Gopalganj Science and Technology University, Gopalganj, Bangladesh</w:t>
        <w:br/>
        <w:t>Email: muradmd312@gmail.com,  mkbaowaly@gmail.com</w:t>
      </w:r>
    </w:p>
    <w:p>
      <w:pPr>
        <w:spacing w:before="80" w:after="80"/>
        <w:jc w:val="both"/>
        <w:pBdr>
          <w:bottom w:val="single" w:sz="6" w:space="1" w:color="000000"/>
        </w:pBdr>
      </w:pPr>
    </w:p>
    <w:p>
      <w:pPr>
        <w:sectPr>
          <w:pgSz w:w="11906" w:h="16838"/>
          <w:pgMar w:top="1134" w:right="1020" w:bottom="1134" w:left="1020" w:header="720" w:footer="720" w:gutter="0"/>
          <w:cols w:space="720"/>
          <w:docGrid w:linePitch="360"/>
        </w:sectPr>
      </w:pPr>
    </w:p>
    <w:p>
      <w:pPr>
        <w:spacing w:before="120" w:after="80" w:lineRule="exact" w:line="240"/>
        <w:jc w:val="both"/>
      </w:pPr>
      <w:r>
        <w:rPr>
          <w:rFonts w:ascii="Times New Roman" w:hAnsi="Times New Roman"/>
          <w:b/>
          <w:i/>
          <w:sz w:val="20"/>
        </w:rPr>
        <w:t>Abstract</w:t>
      </w:r>
      <w:r>
        <w:rPr>
          <w:rFonts w:ascii="Times New Roman" w:hAnsi="Times New Roman"/>
          <w:b w:val="0"/>
          <w:i w:val="0"/>
          <w:sz w:val="20"/>
        </w:rPr>
        <w:t xml:space="preserve"> — Mental health disorders, particularly depression, represent one of the most pressing public health challenges confronting university student populations in the twenty-first century. In developing nations such as Bangladesh, academic pressure, financial insecurity, and shifting social expectations have collectively intensified psychological vulnerability among students pursuing higher education. Conventional clinical screening pathways relying on psychiatric consultation are resource-intensive and difficult to scale institutionally, creating an urgent need for automated, data-driven early detection tools. This paper proposes a machine learning-based depression screening framework grounded in a structured behavioral and demographic survey administered to 539 Bangladeshi higher education students across 23 psychologically informed feature dimensions. A systematic preprocessing pipeline encompassing categorical encoding, median imputation, and Z-score normalization was applied prior to training four supervised classifiers: Support Vector Machine (SVM), Logistic Regression (LR), XGBoost, and Multilayer Perceptron (MLP). All models were evaluated under 10-fold stratified cross-validation. The SVM classifier achieved the highest predictive accuracy of 97.96%, followed by Logistic Regression at 97.77%, XGBoost at 97.59%, and MLP at 96.84%. ROC AUC values exceeding 99% across all models confirm outstanding discriminative performance. These findings establish the viability of a low-cost, non-invasive, survey-driven depression screening system deployable within university mental health and counseling infrastructure.</w:t>
      </w:r>
    </w:p>
    <w:p>
      <w:pPr>
        <w:spacing w:before="80" w:after="160" w:lineRule="exact" w:line="240"/>
        <w:jc w:val="both"/>
      </w:pPr>
      <w:r>
        <w:rPr>
          <w:rFonts w:ascii="Times New Roman" w:hAnsi="Times New Roman"/>
          <w:b/>
          <w:i w:val="0"/>
          <w:sz w:val="20"/>
        </w:rPr>
        <w:t xml:space="preserve">Keywords: </w:t>
      </w:r>
      <w:r>
        <w:rPr>
          <w:rFonts w:ascii="Times New Roman" w:hAnsi="Times New Roman"/>
          <w:b w:val="0"/>
          <w:i/>
          <w:sz w:val="20"/>
        </w:rPr>
        <w:t>Machine Learning, Student Depression Screening, Mental Health Detection, Support Vector Machine, Behavioral Feature Analysis, Stratified Cross-Validation.</w:t>
      </w:r>
    </w:p>
    <w:p>
      <w:pPr>
        <w:spacing w:before="120" w:after="80"/>
        <w:jc w:val="center"/>
      </w:pPr>
      <w:r>
        <w:rPr>
          <w:rFonts w:ascii="Times New Roman" w:hAnsi="Times New Roman"/>
          <w:b/>
          <w:i w:val="0"/>
          <w:sz w:val="20"/>
        </w:rPr>
        <w:t>I. INTRODUCTION</w:t>
      </w:r>
    </w:p>
    <w:p>
      <w:pPr>
        <w:spacing w:before="0" w:after="80" w:lineRule="exact" w:line="240"/>
        <w:ind w:firstLine="283"/>
        <w:jc w:val="both"/>
      </w:pPr>
      <w:r>
        <w:rPr>
          <w:rFonts w:ascii="Times New Roman" w:hAnsi="Times New Roman"/>
          <w:b w:val="0"/>
          <w:i w:val="0"/>
          <w:sz w:val="20"/>
        </w:rPr>
        <w:t>Depression is now recognized by the World Health Organization (WHO) as the foremost contributor to disability-adjusted life years globally, affecting an estimated 280 million individuals across all age groups and socioeconomic strata [2]. Its clinical spectrum encompasses persistent low mood, anhedonia, cognitive impairment, and suicidal ideation, making timely and accurate identification a societal imperative. Despite clinical advances, a significant proportion of depression cases remain undetected, particularly in low- and middle-income countries where mental health infrastructure is constrained.</w:t>
      </w:r>
    </w:p>
    <w:p>
      <w:pPr>
        <w:spacing w:before="0" w:after="80" w:lineRule="exact" w:line="240"/>
        <w:ind w:firstLine="283"/>
        <w:jc w:val="both"/>
      </w:pPr>
      <w:r>
        <w:rPr>
          <w:rFonts w:ascii="Times New Roman" w:hAnsi="Times New Roman"/>
          <w:b w:val="0"/>
          <w:i w:val="0"/>
          <w:sz w:val="20"/>
        </w:rPr>
        <w:t>Higher education students represent an especially susceptible cohort. The transition to degree-level study introduces concurrent stressors — intensified academic demands, social reconfiguration, financial strain, and career uncertainty — all established antecedents of depressive episodes. Epidemiological data across South and Southeast Asian higher education contexts report depression prevalence rates of 23%–41% among students, substantially exceeding general population estimates. Bangladesh, with over 1.5 million students enrolled in public and private degree programs, lacks a scalable, systematic mechanism for institutional mental health surveillance.</w:t>
      </w:r>
    </w:p>
    <w:p>
      <w:pPr>
        <w:spacing w:before="0" w:after="80" w:lineRule="exact" w:line="240"/>
        <w:ind w:firstLine="283"/>
        <w:jc w:val="both"/>
      </w:pPr>
      <w:r>
        <w:rPr>
          <w:rFonts w:ascii="Times New Roman" w:hAnsi="Times New Roman"/>
          <w:b w:val="0"/>
          <w:i w:val="0"/>
          <w:sz w:val="20"/>
        </w:rPr>
        <w:t>Traditional diagnostic pathways — including the PHQ-9, Beck Depression Inventory (BDI), and formal psychiatric consultation — are essential for definitive diagnosis yet impractical as population-level screening tools. They require trained clinicians, substantial time, and often carry social stigma that suppresses help-seeking behavior. An automated, low-cost, privacy-preserving screening alternative is therefore urgently required to support student mental health at institutional scale.</w:t>
      </w:r>
    </w:p>
    <w:p>
      <w:pPr>
        <w:spacing w:before="0" w:after="80" w:lineRule="exact" w:line="240"/>
        <w:ind w:firstLine="283"/>
        <w:jc w:val="both"/>
      </w:pPr>
      <w:r>
        <w:rPr>
          <w:rFonts w:ascii="Times New Roman" w:hAnsi="Times New Roman"/>
          <w:b w:val="0"/>
          <w:i w:val="0"/>
          <w:sz w:val="20"/>
        </w:rPr>
        <w:t>Machine learning (ML) offers a compelling solution to this challenge. Supervised classification algorithms can identify complex, non-linear associations among behavioral, academic, and social variables statistically linked to depression risk. When trained on clinically-labeled survey datasets, ML models can deliver rapid, scalable screening assessments while remaining interpretable enough to guide counseling interventions [3][4]. Data mining approaches have increasingly demonstrated effectiveness in psychiatric research, uncovering actionable patterns within high-dimensional observational data [5].</w:t>
      </w:r>
    </w:p>
    <w:p>
      <w:pPr>
        <w:spacing w:before="0" w:after="80" w:lineRule="exact" w:line="240"/>
        <w:ind w:firstLine="283"/>
        <w:jc w:val="both"/>
      </w:pPr>
      <w:r>
        <w:rPr>
          <w:rFonts w:ascii="Times New Roman" w:hAnsi="Times New Roman"/>
          <w:b w:val="0"/>
          <w:i w:val="0"/>
          <w:sz w:val="20"/>
        </w:rPr>
        <w:t>This paper makes the following primary contributions: (i) construction of a clinically-informed, multi-attribute student depression dataset comprising 539 instances from Bangladeshi higher education students; (ii) a systematic preprocessing pipeline addressing encoding, imputation, and feature standardization; (iii) comparative evaluation of SVM, Logistic Regression, XGBoost, and MLP classifiers under identical experimental conditions using 10-fold stratified cross-validation; and (iv) achievement of classification accuracy exceeding 97% across all evaluated models, validating the framework as a reliable depression screening instrument suitable for real-world university deployment.</w:t>
      </w:r>
    </w:p>
    <w:p>
      <w:pPr>
        <w:spacing w:before="120" w:after="80"/>
        <w:jc w:val="center"/>
      </w:pPr>
      <w:r>
        <w:rPr>
          <w:rFonts w:ascii="Times New Roman" w:hAnsi="Times New Roman"/>
          <w:b/>
          <w:i w:val="0"/>
          <w:sz w:val="20"/>
        </w:rPr>
        <w:t>II. RELATED WORKS</w:t>
      </w:r>
    </w:p>
    <w:p>
      <w:pPr>
        <w:spacing w:before="0" w:after="80" w:lineRule="exact" w:line="240"/>
        <w:ind w:firstLine="283"/>
        <w:jc w:val="both"/>
      </w:pPr>
      <w:r>
        <w:rPr>
          <w:rFonts w:ascii="Times New Roman" w:hAnsi="Times New Roman"/>
          <w:b w:val="0"/>
          <w:i w:val="0"/>
          <w:sz w:val="20"/>
        </w:rPr>
        <w:t>Automated depression detection from behavioral and digital signals has attracted substantial research attention over the past decade. Mohd and Yahya applied logistic regression and artificial neural networks to structured questionnaire data collected from student populations, reporting depression prediction accuracy in the range of 72%–78% [1]. Their work demonstrated that self-reported behavioral and demographic features carry statistically significant predictive signal for depression classification, motivating the adoption of a similar survey-based collection methodology in the present study with an expanded, clinically-guided feature set.</w:t>
      </w:r>
    </w:p>
    <w:p>
      <w:pPr>
        <w:spacing w:before="0" w:after="80" w:lineRule="exact" w:line="240"/>
        <w:ind w:firstLine="283"/>
        <w:jc w:val="both"/>
      </w:pPr>
      <w:r>
        <w:rPr>
          <w:rFonts w:ascii="Times New Roman" w:hAnsi="Times New Roman"/>
          <w:b w:val="0"/>
          <w:i w:val="0"/>
          <w:sz w:val="20"/>
        </w:rPr>
        <w:t>Social media and natural language processing (NLP) approaches represent another significant research thread. Deshpande and Rao applied SVM and Naive Bayes classifiers to emotion-tagged social content for depression detection, assessing performance using F1-score, precision, and confusion matrix analysis [8]. Cacheda et al. developed a dual-model random forest framework on social network activity streams, demonstrating that combining population-level behavioral models with individual-level classifiers outperforms single-model baselines for early detection [9]. Shrestha analyzed Twitter-derived textual features for student depression prediction, though limited dataset size constrained model generalizability [10].</w:t>
      </w:r>
    </w:p>
    <w:p>
      <w:pPr>
        <w:spacing w:before="0" w:after="80" w:lineRule="exact" w:line="240"/>
        <w:ind w:firstLine="283"/>
        <w:jc w:val="both"/>
      </w:pPr>
      <w:r>
        <w:rPr>
          <w:rFonts w:ascii="Times New Roman" w:hAnsi="Times New Roman"/>
          <w:b w:val="0"/>
          <w:i w:val="0"/>
          <w:sz w:val="20"/>
        </w:rPr>
        <w:t>Clinical and epidemiological data-mining studies provide further motivation. Bae and Lee conducted a nationwide data-mining analysis of suicide prediction in Korean adolescents, establishing depression severity as the most decisive predictor variable; suicide attempt rates were 2.8 and 5.4 times higher in depressed and prospectively depressed cohorts respectively relative to non-depressed peers [7]. Dipnall et al. fused data mining, machine learning, and statistical modeling to identify biomarkers of depression from large clinical registries, demonstrating the complementary value of ensemble learning in psychiatric feature discovery [3].</w:t>
      </w:r>
    </w:p>
    <w:p>
      <w:pPr>
        <w:spacing w:before="0" w:after="80" w:lineRule="exact" w:line="240"/>
        <w:ind w:firstLine="283"/>
        <w:jc w:val="both"/>
      </w:pPr>
      <w:r>
        <w:rPr>
          <w:rFonts w:ascii="Times New Roman" w:hAnsi="Times New Roman"/>
          <w:b w:val="0"/>
          <w:i w:val="0"/>
          <w:sz w:val="20"/>
        </w:rPr>
        <w:t>Collectively, prior work establishes the viability of machine learning for depression screening but reveals a critical gap: no published study offers a multi-classifier benchmarking framework built on behavioral survey data specifically tailored to higher education students in Bangladesh. The present study addresses this gap by combining clinically-guided survey design, principled preprocessing, and rigorous cross-validated evaluation of four complementary classifiers — SVM, Logistic Regression, XGBoost, and MLP — within a unified experimental framework.</w:t>
      </w:r>
    </w:p>
    <w:p>
      <w:pPr>
        <w:spacing w:before="120" w:after="80"/>
        <w:jc w:val="center"/>
      </w:pPr>
      <w:r>
        <w:rPr>
          <w:rFonts w:ascii="Times New Roman" w:hAnsi="Times New Roman"/>
          <w:b/>
          <w:i w:val="0"/>
          <w:sz w:val="20"/>
        </w:rPr>
        <w:t>III. METHODOLOGY</w:t>
      </w:r>
    </w:p>
    <w:p>
      <w:pPr>
        <w:spacing w:before="0" w:after="80" w:lineRule="exact" w:line="240"/>
        <w:ind w:firstLine="283"/>
        <w:jc w:val="both"/>
      </w:pPr>
      <w:r>
        <w:rPr>
          <w:rFonts w:ascii="Times New Roman" w:hAnsi="Times New Roman"/>
          <w:b w:val="0"/>
          <w:i w:val="0"/>
          <w:sz w:val="20"/>
        </w:rPr>
        <w:t>This section describes the end-to-end methodology adopted for student depression classification, encompassing four principal stages: (A) structured dataset construction through clinically-guided survey design, (B) a multi-step data preprocessing pipeline, (C) implementation and parameter tuning of four supervised classification algorithms, and (D) configuration of the simulation environment and evaluation protocol. The overall system workflow is illustrated in Figure 1.</w:t>
      </w:r>
    </w:p>
    <w:p>
      <w:pPr>
        <w:spacing w:before="0" w:after="40" w:lineRule="exact" w:line="240"/>
        <w:ind w:left="283"/>
        <w:jc w:val="both"/>
      </w:pPr>
      <w:r>
        <w:rPr>
          <w:rFonts w:ascii="Times New Roman" w:hAnsi="Times New Roman"/>
          <w:b w:val="0"/>
          <w:i w:val="0"/>
          <w:sz w:val="20"/>
        </w:rPr>
        <w:t>- Stage A: Survey-Based Dataset Construction</w:t>
      </w:r>
    </w:p>
    <w:p>
      <w:pPr>
        <w:spacing w:before="0" w:after="40" w:lineRule="exact" w:line="240"/>
        <w:ind w:left="283"/>
        <w:jc w:val="both"/>
      </w:pPr>
      <w:r>
        <w:rPr>
          <w:rFonts w:ascii="Times New Roman" w:hAnsi="Times New Roman"/>
          <w:b w:val="0"/>
          <w:i w:val="0"/>
          <w:sz w:val="20"/>
        </w:rPr>
        <w:t>- Stage B: Data Preprocessing Pipeline</w:t>
      </w:r>
    </w:p>
    <w:p>
      <w:pPr>
        <w:spacing w:before="0" w:after="40" w:lineRule="exact" w:line="240"/>
        <w:ind w:left="283"/>
        <w:jc w:val="both"/>
      </w:pPr>
      <w:r>
        <w:rPr>
          <w:rFonts w:ascii="Times New Roman" w:hAnsi="Times New Roman"/>
          <w:b w:val="0"/>
          <w:i w:val="0"/>
          <w:sz w:val="20"/>
        </w:rPr>
        <w:t>- Stage C: Classifier Implementation and Tuning</w:t>
      </w:r>
    </w:p>
    <w:p>
      <w:pPr>
        <w:spacing w:before="0" w:after="40" w:lineRule="exact" w:line="240"/>
        <w:ind w:left="283"/>
        <w:jc w:val="both"/>
      </w:pPr>
      <w:r>
        <w:rPr>
          <w:rFonts w:ascii="Times New Roman" w:hAnsi="Times New Roman"/>
          <w:b w:val="0"/>
          <w:i w:val="0"/>
          <w:sz w:val="20"/>
        </w:rPr>
        <w:t>- Stage D: Simulation Environment and Evaluation</w:t>
      </w:r>
    </w:p>
    <w:p>
      <w:pPr>
        <w:spacing w:before="80" w:after="40"/>
        <w:jc w:val="center"/>
      </w:pPr>
      <w:r>
        <w:drawing>
          <wp:inline xmlns:a="http://schemas.openxmlformats.org/drawingml/2006/main" xmlns:pic="http://schemas.openxmlformats.org/drawingml/2006/picture">
            <wp:extent cx="2651760" cy="799486"/>
            <wp:docPr id="1" name="Picture 1"/>
            <wp:cNvGraphicFramePr>
              <a:graphicFrameLocks noChangeAspect="1"/>
            </wp:cNvGraphicFramePr>
            <a:graphic>
              <a:graphicData uri="http://schemas.openxmlformats.org/drawingml/2006/picture">
                <pic:pic>
                  <pic:nvPicPr>
                    <pic:cNvPr id="0" name="fig_page1_img.png"/>
                    <pic:cNvPicPr/>
                  </pic:nvPicPr>
                  <pic:blipFill>
                    <a:blip r:embed="rId9"/>
                    <a:stretch>
                      <a:fillRect/>
                    </a:stretch>
                  </pic:blipFill>
                  <pic:spPr>
                    <a:xfrm>
                      <a:off x="0" y="0"/>
                      <a:ext cx="2651760" cy="799486"/>
                    </a:xfrm>
                    <a:prstGeom prst="rect"/>
                  </pic:spPr>
                </pic:pic>
              </a:graphicData>
            </a:graphic>
          </wp:inline>
        </w:drawing>
      </w:r>
    </w:p>
    <w:p>
      <w:pPr>
        <w:spacing w:before="0" w:after="120"/>
        <w:jc w:val="center"/>
      </w:pPr>
      <w:r>
        <w:rPr>
          <w:rFonts w:ascii="Times New Roman" w:hAnsi="Times New Roman"/>
          <w:b w:val="0"/>
          <w:i/>
          <w:sz w:val="18"/>
        </w:rPr>
        <w:t>Fig. 1: Procedure for System Operation</w:t>
      </w:r>
    </w:p>
    <w:p>
      <w:pPr>
        <w:spacing w:before="80" w:after="40"/>
        <w:jc w:val="left"/>
      </w:pPr>
      <w:r>
        <w:rPr>
          <w:rFonts w:ascii="Times New Roman" w:hAnsi="Times New Roman"/>
          <w:b/>
          <w:i/>
          <w:sz w:val="20"/>
        </w:rPr>
        <w:t>A. Survey-Based Dataset Construction</w:t>
      </w:r>
    </w:p>
    <w:p>
      <w:pPr>
        <w:spacing w:before="0" w:after="80" w:lineRule="exact" w:line="240"/>
        <w:ind w:firstLine="283"/>
        <w:jc w:val="both"/>
      </w:pPr>
      <w:r>
        <w:rPr>
          <w:rFonts w:ascii="Times New Roman" w:hAnsi="Times New Roman"/>
          <w:b w:val="0"/>
          <w:i w:val="0"/>
          <w:sz w:val="20"/>
        </w:rPr>
        <w:t>A structured questionnaire instrument was developed through iterative consultation with licensed psychiatrists and clinical psychologists specializing in adolescent and young adult mental health. The survey was administered to students pursuing B.Sc., M.Sc., and honours degree programs at higher education institutions across Bangladesh, on a voluntary and anonymous basis. It captured 23 feature dimensions spanning behavioral attitudes, psychological traits, academic progression credentials (SSC grade, HSC grade, and current University CGPA), daily sleep duration, family environment, and social engagement characteristics. Following quality screening of incomplete responses, 539 validated records were retained, each labeled with a binary depression class — 'Depressed' (40.62%) or 'Not Depressed' (59.38%) — grounded in standardized clinical assessment criteria. The complete feature inventory with categorical distributions is presented in Table I.</w:t>
      </w:r>
    </w:p>
    <w:p>
      <w:pPr>
        <w:spacing w:before="120" w:after="40"/>
        <w:jc w:val="center"/>
      </w:pPr>
      <w:r>
        <w:rPr>
          <w:rFonts w:ascii="Times New Roman" w:hAnsi="Times New Roman"/>
          <w:b/>
          <w:i w:val="0"/>
          <w:sz w:val="18"/>
        </w:rPr>
        <w:t>TABLE I: Features List</w:t>
      </w:r>
    </w:p>
    <w:tbl>
      <w:tblPr>
        <w:tblStyle w:val="TableGrid"/>
        <w:tblW w:type="auto" w:w="0"/>
        <w:jc w:val="center"/>
        <w:tblLook w:firstColumn="1" w:firstRow="1" w:lastColumn="0" w:lastRow="0" w:noHBand="0" w:noVBand="1" w:val="04A0"/>
      </w:tblPr>
      <w:tblGrid>
        <w:gridCol w:w="3289"/>
        <w:gridCol w:w="3289"/>
        <w:gridCol w:w="3289"/>
      </w:tblGrid>
      <w:tr>
        <w:tc>
          <w:tcPr>
            <w:tcW w:type="dxa" w:w="2438"/>
            <w:shd w:val="clear" w:color="auto" w:fill="1F3864"/>
          </w:tcPr>
          <w:p>
            <w:pPr>
              <w:jc w:val="center"/>
            </w:pPr>
            <w:r>
              <w:rPr>
                <w:rFonts w:ascii="Times New Roman" w:hAnsi="Times New Roman"/>
                <w:b/>
                <w:color w:val="FFFFFF"/>
                <w:sz w:val="16"/>
              </w:rPr>
              <w:t>Feature</w:t>
            </w:r>
          </w:p>
        </w:tc>
        <w:tc>
          <w:tcPr>
            <w:tcW w:type="dxa" w:w="1247"/>
            <w:shd w:val="clear" w:color="auto" w:fill="1F3864"/>
          </w:tcPr>
          <w:p>
            <w:pPr>
              <w:jc w:val="center"/>
            </w:pPr>
            <w:r>
              <w:rPr>
                <w:rFonts w:ascii="Times New Roman" w:hAnsi="Times New Roman"/>
                <w:b/>
                <w:color w:val="FFFFFF"/>
                <w:sz w:val="16"/>
              </w:rPr>
              <w:t>Category</w:t>
            </w:r>
          </w:p>
        </w:tc>
        <w:tc>
          <w:tcPr>
            <w:tcW w:type="dxa" w:w="1077"/>
            <w:shd w:val="clear" w:color="auto" w:fill="1F3864"/>
          </w:tcPr>
          <w:p>
            <w:pPr>
              <w:jc w:val="center"/>
            </w:pPr>
            <w:r>
              <w:rPr>
                <w:rFonts w:ascii="Times New Roman" w:hAnsi="Times New Roman"/>
                <w:b/>
                <w:color w:val="FFFFFF"/>
                <w:sz w:val="16"/>
              </w:rPr>
              <w:t>Distribution</w:t>
            </w:r>
          </w:p>
        </w:tc>
      </w:tr>
      <w:tr>
        <w:tc>
          <w:tcPr>
            <w:tcW w:type="dxa" w:w="2438"/>
            <w:shd w:val="clear" w:color="auto" w:fill="D6E4F7"/>
          </w:tcPr>
          <w:p>
            <w:pPr>
              <w:jc w:val="left"/>
            </w:pPr>
            <w:r>
              <w:rPr>
                <w:rFonts w:ascii="Times New Roman" w:hAnsi="Times New Roman"/>
                <w:b w:val="0"/>
                <w:sz w:val="16"/>
              </w:rPr>
              <w:t>Age</w:t>
            </w:r>
          </w:p>
        </w:tc>
        <w:tc>
          <w:tcPr>
            <w:tcW w:type="dxa" w:w="1247"/>
            <w:shd w:val="clear" w:color="auto" w:fill="D6E4F7"/>
          </w:tcPr>
          <w:p>
            <w:pPr>
              <w:jc w:val="center"/>
            </w:pPr>
            <w:r>
              <w:rPr>
                <w:rFonts w:ascii="Times New Roman" w:hAnsi="Times New Roman"/>
                <w:b w:val="0"/>
                <w:sz w:val="16"/>
              </w:rPr>
              <w:t>–</w:t>
            </w:r>
          </w:p>
        </w:tc>
        <w:tc>
          <w:tcPr>
            <w:tcW w:type="dxa" w:w="1077"/>
            <w:shd w:val="clear" w:color="auto" w:fill="D6E4F7"/>
          </w:tcPr>
          <w:p>
            <w:pPr>
              <w:jc w:val="center"/>
            </w:pPr>
            <w:r>
              <w:rPr>
                <w:rFonts w:ascii="Times New Roman" w:hAnsi="Times New Roman"/>
                <w:b w:val="0"/>
                <w:sz w:val="16"/>
              </w:rPr>
              <w:t>Min: 17, Max: 33</w:t>
            </w:r>
          </w:p>
        </w:tc>
      </w:tr>
      <w:tr>
        <w:tc>
          <w:tcPr>
            <w:tcW w:type="dxa" w:w="2438"/>
            <w:shd w:val="clear" w:color="auto" w:fill="FFFFFF"/>
          </w:tcPr>
          <w:p>
            <w:pPr>
              <w:jc w:val="left"/>
            </w:pPr>
            <w:r>
              <w:rPr>
                <w:rFonts w:ascii="Times New Roman" w:hAnsi="Times New Roman"/>
                <w:b w:val="0"/>
                <w:sz w:val="16"/>
              </w:rPr>
              <w:t>Gender</w:t>
            </w:r>
          </w:p>
        </w:tc>
        <w:tc>
          <w:tcPr>
            <w:tcW w:type="dxa" w:w="1247"/>
            <w:shd w:val="clear" w:color="auto" w:fill="FFFFFF"/>
          </w:tcPr>
          <w:p>
            <w:pPr>
              <w:jc w:val="center"/>
            </w:pPr>
            <w:r>
              <w:rPr>
                <w:rFonts w:ascii="Times New Roman" w:hAnsi="Times New Roman"/>
                <w:b w:val="0"/>
                <w:sz w:val="16"/>
              </w:rPr>
              <w:t>Male</w:t>
            </w:r>
          </w:p>
        </w:tc>
        <w:tc>
          <w:tcPr>
            <w:tcW w:type="dxa" w:w="1077"/>
            <w:shd w:val="clear" w:color="auto" w:fill="FFFFFF"/>
          </w:tcPr>
          <w:p>
            <w:pPr>
              <w:jc w:val="center"/>
            </w:pPr>
            <w:r>
              <w:rPr>
                <w:rFonts w:ascii="Times New Roman" w:hAnsi="Times New Roman"/>
                <w:b w:val="0"/>
                <w:sz w:val="16"/>
              </w:rPr>
              <w:t>66.50%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Female</w:t>
            </w:r>
          </w:p>
        </w:tc>
        <w:tc>
          <w:tcPr>
            <w:tcW w:type="dxa" w:w="1077"/>
            <w:shd w:val="clear" w:color="auto" w:fill="D6E4F7"/>
          </w:tcPr>
          <w:p>
            <w:pPr>
              <w:jc w:val="center"/>
            </w:pPr>
            <w:r>
              <w:rPr>
                <w:rFonts w:ascii="Times New Roman" w:hAnsi="Times New Roman"/>
                <w:b w:val="0"/>
                <w:sz w:val="16"/>
              </w:rPr>
              <w:t>33.50%</w:t>
            </w:r>
          </w:p>
        </w:tc>
      </w:tr>
      <w:tr>
        <w:tc>
          <w:tcPr>
            <w:tcW w:type="dxa" w:w="2438"/>
            <w:shd w:val="clear" w:color="auto" w:fill="FFFFFF"/>
          </w:tcPr>
          <w:p>
            <w:pPr>
              <w:jc w:val="left"/>
            </w:pPr>
            <w:r>
              <w:rPr>
                <w:rFonts w:ascii="Times New Roman" w:hAnsi="Times New Roman"/>
                <w:b w:val="0"/>
                <w:sz w:val="16"/>
              </w:rPr>
              <w:t>Do you accept all social norms?</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66.03%</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33.97%</w:t>
            </w:r>
          </w:p>
        </w:tc>
      </w:tr>
      <w:tr>
        <w:tc>
          <w:tcPr>
            <w:tcW w:type="dxa" w:w="2438"/>
            <w:shd w:val="clear" w:color="auto" w:fill="FFFFFF"/>
          </w:tcPr>
          <w:p>
            <w:pPr>
              <w:jc w:val="left"/>
            </w:pPr>
            <w:r>
              <w:rPr>
                <w:rFonts w:ascii="Times New Roman" w:hAnsi="Times New Roman"/>
                <w:b w:val="0"/>
                <w:sz w:val="16"/>
              </w:rPr>
              <w:t>What are your thoughts on yourself?</w:t>
            </w:r>
          </w:p>
        </w:tc>
        <w:tc>
          <w:tcPr>
            <w:tcW w:type="dxa" w:w="1247"/>
            <w:shd w:val="clear" w:color="auto" w:fill="FFFFFF"/>
          </w:tcPr>
          <w:p>
            <w:pPr>
              <w:jc w:val="center"/>
            </w:pPr>
            <w:r>
              <w:rPr>
                <w:rFonts w:ascii="Times New Roman" w:hAnsi="Times New Roman"/>
                <w:b w:val="0"/>
                <w:sz w:val="16"/>
              </w:rPr>
              <w:t>Extrovert</w:t>
            </w:r>
          </w:p>
        </w:tc>
        <w:tc>
          <w:tcPr>
            <w:tcW w:type="dxa" w:w="1077"/>
            <w:shd w:val="clear" w:color="auto" w:fill="FFFFFF"/>
          </w:tcPr>
          <w:p>
            <w:pPr>
              <w:jc w:val="center"/>
            </w:pPr>
            <w:r>
              <w:rPr>
                <w:rFonts w:ascii="Times New Roman" w:hAnsi="Times New Roman"/>
                <w:b w:val="0"/>
                <w:sz w:val="16"/>
              </w:rPr>
              <w:t>57.15%</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Introvert</w:t>
            </w:r>
          </w:p>
        </w:tc>
        <w:tc>
          <w:tcPr>
            <w:tcW w:type="dxa" w:w="1077"/>
            <w:shd w:val="clear" w:color="auto" w:fill="D6E4F7"/>
          </w:tcPr>
          <w:p>
            <w:pPr>
              <w:jc w:val="center"/>
            </w:pPr>
            <w:r>
              <w:rPr>
                <w:rFonts w:ascii="Times New Roman" w:hAnsi="Times New Roman"/>
                <w:b w:val="0"/>
                <w:sz w:val="16"/>
              </w:rPr>
              <w:t>42.85%</w:t>
            </w:r>
          </w:p>
        </w:tc>
      </w:tr>
      <w:tr>
        <w:tc>
          <w:tcPr>
            <w:tcW w:type="dxa" w:w="2438"/>
            <w:shd w:val="clear" w:color="auto" w:fill="FFFFFF"/>
          </w:tcPr>
          <w:p>
            <w:pPr>
              <w:jc w:val="left"/>
            </w:pPr>
            <w:r>
              <w:rPr>
                <w:rFonts w:ascii="Times New Roman" w:hAnsi="Times New Roman"/>
                <w:b w:val="0"/>
                <w:sz w:val="16"/>
              </w:rPr>
              <w:t>Do you own a smartphone?</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93.10%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6.90%</w:t>
            </w:r>
          </w:p>
        </w:tc>
      </w:tr>
      <w:tr>
        <w:tc>
          <w:tcPr>
            <w:tcW w:type="dxa" w:w="2438"/>
            <w:shd w:val="clear" w:color="auto" w:fill="FFFFFF"/>
          </w:tcPr>
          <w:p>
            <w:pPr>
              <w:jc w:val="left"/>
            </w:pPr>
            <w:r>
              <w:rPr>
                <w:rFonts w:ascii="Times New Roman" w:hAnsi="Times New Roman"/>
                <w:b w:val="0"/>
                <w:sz w:val="16"/>
              </w:rPr>
              <w:t>Do you enjoy hanging out with friends?</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89.25%</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10.75%</w:t>
            </w:r>
          </w:p>
        </w:tc>
      </w:tr>
      <w:tr>
        <w:tc>
          <w:tcPr>
            <w:tcW w:type="dxa" w:w="2438"/>
            <w:shd w:val="clear" w:color="auto" w:fill="FFFFFF"/>
          </w:tcPr>
          <w:p>
            <w:pPr>
              <w:jc w:val="left"/>
            </w:pPr>
            <w:r>
              <w:rPr>
                <w:rFonts w:ascii="Times New Roman" w:hAnsi="Times New Roman"/>
                <w:b w:val="0"/>
                <w:sz w:val="16"/>
              </w:rPr>
              <w:t>Are you content in your current role?</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66.02%</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33.98%</w:t>
            </w:r>
          </w:p>
        </w:tc>
      </w:tr>
      <w:tr>
        <w:tc>
          <w:tcPr>
            <w:tcW w:type="dxa" w:w="2438"/>
            <w:shd w:val="clear" w:color="auto" w:fill="FFFFFF"/>
          </w:tcPr>
          <w:p>
            <w:pPr>
              <w:jc w:val="left"/>
            </w:pPr>
            <w:r>
              <w:rPr>
                <w:rFonts w:ascii="Times New Roman" w:hAnsi="Times New Roman"/>
                <w:b w:val="0"/>
                <w:sz w:val="16"/>
              </w:rPr>
              <w:t>Are you anxious about your work?</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71.23%</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28.77%</w:t>
            </w:r>
          </w:p>
        </w:tc>
      </w:tr>
      <w:tr>
        <w:tc>
          <w:tcPr>
            <w:tcW w:type="dxa" w:w="2438"/>
            <w:shd w:val="clear" w:color="auto" w:fill="FFFFFF"/>
          </w:tcPr>
          <w:p>
            <w:pPr>
              <w:jc w:val="left"/>
            </w:pPr>
            <w:r>
              <w:rPr>
                <w:rFonts w:ascii="Times New Roman" w:hAnsi="Times New Roman"/>
                <w:b w:val="0"/>
                <w:sz w:val="16"/>
              </w:rPr>
              <w:t>Do you talk to someone about problems?</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61.05%</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38.95%</w:t>
            </w:r>
          </w:p>
        </w:tc>
      </w:tr>
      <w:tr>
        <w:tc>
          <w:tcPr>
            <w:tcW w:type="dxa" w:w="2438"/>
            <w:shd w:val="clear" w:color="auto" w:fill="FFFFFF"/>
          </w:tcPr>
          <w:p>
            <w:pPr>
              <w:jc w:val="left"/>
            </w:pPr>
            <w:r>
              <w:rPr>
                <w:rFonts w:ascii="Times New Roman" w:hAnsi="Times New Roman"/>
                <w:b w:val="0"/>
                <w:sz w:val="16"/>
              </w:rPr>
              <w:t>Do you find solitude comfortable?</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61.22%</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38.78%</w:t>
            </w:r>
          </w:p>
        </w:tc>
      </w:tr>
      <w:tr>
        <w:tc>
          <w:tcPr>
            <w:tcW w:type="dxa" w:w="2438"/>
            <w:shd w:val="clear" w:color="auto" w:fill="FFFFFF"/>
          </w:tcPr>
          <w:p>
            <w:pPr>
              <w:jc w:val="left"/>
            </w:pPr>
            <w:r>
              <w:rPr>
                <w:rFonts w:ascii="Times New Roman" w:hAnsi="Times New Roman"/>
                <w:b w:val="0"/>
                <w:sz w:val="16"/>
              </w:rPr>
              <w:t>Did you attempt suicide?</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14.83%</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85.17%</w:t>
            </w:r>
          </w:p>
        </w:tc>
      </w:tr>
      <w:tr>
        <w:tc>
          <w:tcPr>
            <w:tcW w:type="dxa" w:w="2438"/>
            <w:shd w:val="clear" w:color="auto" w:fill="FFFFFF"/>
          </w:tcPr>
          <w:p>
            <w:pPr>
              <w:jc w:val="left"/>
            </w:pPr>
            <w:r>
              <w:rPr>
                <w:rFonts w:ascii="Times New Roman" w:hAnsi="Times New Roman"/>
                <w:b w:val="0"/>
                <w:sz w:val="16"/>
              </w:rPr>
              <w:t>Do you think suicide is the answer?</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12.40%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87.60%</w:t>
            </w:r>
          </w:p>
        </w:tc>
      </w:tr>
      <w:tr>
        <w:tc>
          <w:tcPr>
            <w:tcW w:type="dxa" w:w="2438"/>
            <w:shd w:val="clear" w:color="auto" w:fill="FFFFFF"/>
          </w:tcPr>
          <w:p>
            <w:pPr>
              <w:jc w:val="left"/>
            </w:pPr>
            <w:r>
              <w:rPr>
                <w:rFonts w:ascii="Times New Roman" w:hAnsi="Times New Roman"/>
                <w:b w:val="0"/>
                <w:sz w:val="16"/>
              </w:rPr>
              <w:t>Are you content with your family?</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87.00%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13.00%</w:t>
            </w:r>
          </w:p>
        </w:tc>
      </w:tr>
      <w:tr>
        <w:tc>
          <w:tcPr>
            <w:tcW w:type="dxa" w:w="2438"/>
            <w:shd w:val="clear" w:color="auto" w:fill="FFFFFF"/>
          </w:tcPr>
          <w:p>
            <w:pPr>
              <w:jc w:val="left"/>
            </w:pPr>
            <w:r>
              <w:rPr>
                <w:rFonts w:ascii="Times New Roman" w:hAnsi="Times New Roman"/>
                <w:b w:val="0"/>
                <w:sz w:val="16"/>
              </w:rPr>
              <w:t>Do you feel like a burden to family?</w:t>
            </w:r>
          </w:p>
        </w:tc>
        <w:tc>
          <w:tcPr>
            <w:tcW w:type="dxa" w:w="1247"/>
            <w:shd w:val="clear" w:color="auto" w:fill="FFFFFF"/>
          </w:tcPr>
          <w:p>
            <w:pPr>
              <w:jc w:val="center"/>
            </w:pPr>
            <w:r>
              <w:rPr>
                <w:rFonts w:ascii="Times New Roman" w:hAnsi="Times New Roman"/>
                <w:b w:val="0"/>
                <w:sz w:val="16"/>
              </w:rPr>
              <w:t>Yes</w:t>
            </w:r>
          </w:p>
        </w:tc>
        <w:tc>
          <w:tcPr>
            <w:tcW w:type="dxa" w:w="1077"/>
            <w:shd w:val="clear" w:color="auto" w:fill="FFFFFF"/>
          </w:tcPr>
          <w:p>
            <w:pPr>
              <w:jc w:val="center"/>
            </w:pPr>
            <w:r>
              <w:rPr>
                <w:rFonts w:ascii="Times New Roman" w:hAnsi="Times New Roman"/>
                <w:b w:val="0"/>
                <w:sz w:val="16"/>
              </w:rPr>
              <w:t>38.75%</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No</w:t>
            </w:r>
          </w:p>
        </w:tc>
        <w:tc>
          <w:tcPr>
            <w:tcW w:type="dxa" w:w="1077"/>
            <w:shd w:val="clear" w:color="auto" w:fill="D6E4F7"/>
          </w:tcPr>
          <w:p>
            <w:pPr>
              <w:jc w:val="center"/>
            </w:pPr>
            <w:r>
              <w:rPr>
                <w:rFonts w:ascii="Times New Roman" w:hAnsi="Times New Roman"/>
                <w:b w:val="0"/>
                <w:sz w:val="16"/>
              </w:rPr>
              <w:t>61.25%</w:t>
            </w:r>
          </w:p>
        </w:tc>
      </w:tr>
      <w:tr>
        <w:tc>
          <w:tcPr>
            <w:tcW w:type="dxa" w:w="2438"/>
            <w:shd w:val="clear" w:color="auto" w:fill="FFFFFF"/>
          </w:tcPr>
          <w:p>
            <w:pPr>
              <w:jc w:val="left"/>
            </w:pPr>
            <w:r>
              <w:rPr>
                <w:rFonts w:ascii="Times New Roman" w:hAnsi="Times New Roman"/>
                <w:b w:val="0"/>
                <w:sz w:val="16"/>
              </w:rPr>
              <w:t>Where are you more at ease?</w:t>
            </w:r>
          </w:p>
        </w:tc>
        <w:tc>
          <w:tcPr>
            <w:tcW w:type="dxa" w:w="1247"/>
            <w:shd w:val="clear" w:color="auto" w:fill="FFFFFF"/>
          </w:tcPr>
          <w:p>
            <w:pPr>
              <w:jc w:val="center"/>
            </w:pPr>
            <w:r>
              <w:rPr>
                <w:rFonts w:ascii="Times New Roman" w:hAnsi="Times New Roman"/>
                <w:b w:val="0"/>
                <w:sz w:val="16"/>
              </w:rPr>
              <w:t>Family</w:t>
            </w:r>
          </w:p>
        </w:tc>
        <w:tc>
          <w:tcPr>
            <w:tcW w:type="dxa" w:w="1077"/>
            <w:shd w:val="clear" w:color="auto" w:fill="FFFFFF"/>
          </w:tcPr>
          <w:p>
            <w:pPr>
              <w:jc w:val="center"/>
            </w:pPr>
            <w:r>
              <w:rPr>
                <w:rFonts w:ascii="Times New Roman" w:hAnsi="Times New Roman"/>
                <w:b w:val="0"/>
                <w:sz w:val="16"/>
              </w:rPr>
              <w:t>62.30%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Friends</w:t>
            </w:r>
          </w:p>
        </w:tc>
        <w:tc>
          <w:tcPr>
            <w:tcW w:type="dxa" w:w="1077"/>
            <w:shd w:val="clear" w:color="auto" w:fill="D6E4F7"/>
          </w:tcPr>
          <w:p>
            <w:pPr>
              <w:jc w:val="center"/>
            </w:pPr>
            <w:r>
              <w:rPr>
                <w:rFonts w:ascii="Times New Roman" w:hAnsi="Times New Roman"/>
                <w:b w:val="0"/>
                <w:sz w:val="16"/>
              </w:rPr>
              <w:t>29.85%</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Others</w:t>
            </w:r>
          </w:p>
        </w:tc>
        <w:tc>
          <w:tcPr>
            <w:tcW w:type="dxa" w:w="1077"/>
            <w:shd w:val="clear" w:color="auto" w:fill="FFFFFF"/>
          </w:tcPr>
          <w:p>
            <w:pPr>
              <w:jc w:val="center"/>
            </w:pPr>
            <w:r>
              <w:rPr>
                <w:rFonts w:ascii="Times New Roman" w:hAnsi="Times New Roman"/>
                <w:b w:val="0"/>
                <w:sz w:val="16"/>
              </w:rPr>
              <w:t>7.85%</w:t>
            </w:r>
          </w:p>
        </w:tc>
      </w:tr>
      <w:tr>
        <w:tc>
          <w:tcPr>
            <w:tcW w:type="dxa" w:w="2438"/>
            <w:shd w:val="clear" w:color="auto" w:fill="D6E4F7"/>
          </w:tcPr>
          <w:p>
            <w:pPr>
              <w:jc w:val="left"/>
            </w:pPr>
            <w:r>
              <w:rPr>
                <w:rFonts w:ascii="Times New Roman" w:hAnsi="Times New Roman"/>
                <w:b w:val="0"/>
                <w:sz w:val="16"/>
              </w:rPr>
              <w:t>Family Size</w:t>
            </w:r>
          </w:p>
        </w:tc>
        <w:tc>
          <w:tcPr>
            <w:tcW w:type="dxa" w:w="1247"/>
            <w:shd w:val="clear" w:color="auto" w:fill="D6E4F7"/>
          </w:tcPr>
          <w:p>
            <w:pPr>
              <w:jc w:val="center"/>
            </w:pPr>
            <w:r>
              <w:rPr>
                <w:rFonts w:ascii="Times New Roman" w:hAnsi="Times New Roman"/>
                <w:b w:val="0"/>
                <w:sz w:val="16"/>
              </w:rPr>
              <w:t>4 Members</w:t>
            </w:r>
          </w:p>
        </w:tc>
        <w:tc>
          <w:tcPr>
            <w:tcW w:type="dxa" w:w="1077"/>
            <w:shd w:val="clear" w:color="auto" w:fill="D6E4F7"/>
          </w:tcPr>
          <w:p>
            <w:pPr>
              <w:jc w:val="center"/>
            </w:pPr>
            <w:r>
              <w:rPr>
                <w:rFonts w:ascii="Times New Roman" w:hAnsi="Times New Roman"/>
                <w:b w:val="0"/>
                <w:sz w:val="16"/>
              </w:rPr>
              <w:t>36.72%</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5 Members</w:t>
            </w:r>
          </w:p>
        </w:tc>
        <w:tc>
          <w:tcPr>
            <w:tcW w:type="dxa" w:w="1077"/>
            <w:shd w:val="clear" w:color="auto" w:fill="FFFFFF"/>
          </w:tcPr>
          <w:p>
            <w:pPr>
              <w:jc w:val="center"/>
            </w:pPr>
            <w:r>
              <w:rPr>
                <w:rFonts w:ascii="Times New Roman" w:hAnsi="Times New Roman"/>
                <w:b w:val="0"/>
                <w:sz w:val="16"/>
              </w:rPr>
              <w:t>20.60%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6 Members</w:t>
            </w:r>
          </w:p>
        </w:tc>
        <w:tc>
          <w:tcPr>
            <w:tcW w:type="dxa" w:w="1077"/>
            <w:shd w:val="clear" w:color="auto" w:fill="D6E4F7"/>
          </w:tcPr>
          <w:p>
            <w:pPr>
              <w:jc w:val="center"/>
            </w:pPr>
            <w:r>
              <w:rPr>
                <w:rFonts w:ascii="Times New Roman" w:hAnsi="Times New Roman"/>
                <w:b w:val="0"/>
                <w:sz w:val="16"/>
              </w:rPr>
              <w:t>21.76%</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Other</w:t>
            </w:r>
          </w:p>
        </w:tc>
        <w:tc>
          <w:tcPr>
            <w:tcW w:type="dxa" w:w="1077"/>
            <w:shd w:val="clear" w:color="auto" w:fill="FFFFFF"/>
          </w:tcPr>
          <w:p>
            <w:pPr>
              <w:jc w:val="center"/>
            </w:pPr>
            <w:r>
              <w:rPr>
                <w:rFonts w:ascii="Times New Roman" w:hAnsi="Times New Roman"/>
                <w:b w:val="0"/>
                <w:sz w:val="16"/>
              </w:rPr>
              <w:t>20.92%</w:t>
            </w:r>
          </w:p>
        </w:tc>
      </w:tr>
      <w:tr>
        <w:tc>
          <w:tcPr>
            <w:tcW w:type="dxa" w:w="2438"/>
            <w:shd w:val="clear" w:color="auto" w:fill="D6E4F7"/>
          </w:tcPr>
          <w:p>
            <w:pPr>
              <w:jc w:val="left"/>
            </w:pPr>
            <w:r>
              <w:rPr>
                <w:rFonts w:ascii="Times New Roman" w:hAnsi="Times New Roman"/>
                <w:b w:val="0"/>
                <w:sz w:val="16"/>
              </w:rPr>
              <w:t>Do you engage in extracurricular activities?</w:t>
            </w:r>
          </w:p>
        </w:tc>
        <w:tc>
          <w:tcPr>
            <w:tcW w:type="dxa" w:w="1247"/>
            <w:shd w:val="clear" w:color="auto" w:fill="D6E4F7"/>
          </w:tcPr>
          <w:p>
            <w:pPr>
              <w:jc w:val="center"/>
            </w:pPr>
            <w:r>
              <w:rPr>
                <w:rFonts w:ascii="Times New Roman" w:hAnsi="Times New Roman"/>
                <w:b w:val="0"/>
                <w:sz w:val="16"/>
              </w:rPr>
              <w:t>Yes</w:t>
            </w:r>
          </w:p>
        </w:tc>
        <w:tc>
          <w:tcPr>
            <w:tcW w:type="dxa" w:w="1077"/>
            <w:shd w:val="clear" w:color="auto" w:fill="D6E4F7"/>
          </w:tcPr>
          <w:p>
            <w:pPr>
              <w:jc w:val="center"/>
            </w:pPr>
            <w:r>
              <w:rPr>
                <w:rFonts w:ascii="Times New Roman" w:hAnsi="Times New Roman"/>
                <w:b w:val="0"/>
                <w:sz w:val="16"/>
              </w:rPr>
              <w:t>67.52%</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No</w:t>
            </w:r>
          </w:p>
        </w:tc>
        <w:tc>
          <w:tcPr>
            <w:tcW w:type="dxa" w:w="1077"/>
            <w:shd w:val="clear" w:color="auto" w:fill="FFFFFF"/>
          </w:tcPr>
          <w:p>
            <w:pPr>
              <w:jc w:val="center"/>
            </w:pPr>
            <w:r>
              <w:rPr>
                <w:rFonts w:ascii="Times New Roman" w:hAnsi="Times New Roman"/>
                <w:b w:val="0"/>
                <w:sz w:val="16"/>
              </w:rPr>
              <w:t>32.48%</w:t>
            </w:r>
          </w:p>
        </w:tc>
      </w:tr>
      <w:tr>
        <w:tc>
          <w:tcPr>
            <w:tcW w:type="dxa" w:w="2438"/>
            <w:shd w:val="clear" w:color="auto" w:fill="D6E4F7"/>
          </w:tcPr>
          <w:p>
            <w:pPr>
              <w:jc w:val="left"/>
            </w:pPr>
            <w:r>
              <w:rPr>
                <w:rFonts w:ascii="Times New Roman" w:hAnsi="Times New Roman"/>
                <w:b w:val="0"/>
                <w:sz w:val="16"/>
              </w:rPr>
              <w:t>Do you find education system challenging?</w:t>
            </w:r>
          </w:p>
        </w:tc>
        <w:tc>
          <w:tcPr>
            <w:tcW w:type="dxa" w:w="1247"/>
            <w:shd w:val="clear" w:color="auto" w:fill="D6E4F7"/>
          </w:tcPr>
          <w:p>
            <w:pPr>
              <w:jc w:val="center"/>
            </w:pPr>
            <w:r>
              <w:rPr>
                <w:rFonts w:ascii="Times New Roman" w:hAnsi="Times New Roman"/>
                <w:b w:val="0"/>
                <w:sz w:val="16"/>
              </w:rPr>
              <w:t>Yes</w:t>
            </w:r>
          </w:p>
        </w:tc>
        <w:tc>
          <w:tcPr>
            <w:tcW w:type="dxa" w:w="1077"/>
            <w:shd w:val="clear" w:color="auto" w:fill="D6E4F7"/>
          </w:tcPr>
          <w:p>
            <w:pPr>
              <w:jc w:val="center"/>
            </w:pPr>
            <w:r>
              <w:rPr>
                <w:rFonts w:ascii="Times New Roman" w:hAnsi="Times New Roman"/>
                <w:b w:val="0"/>
                <w:sz w:val="16"/>
              </w:rPr>
              <w:t>67.30%</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No</w:t>
            </w:r>
          </w:p>
        </w:tc>
        <w:tc>
          <w:tcPr>
            <w:tcW w:type="dxa" w:w="1077"/>
            <w:shd w:val="clear" w:color="auto" w:fill="FFFFFF"/>
          </w:tcPr>
          <w:p>
            <w:pPr>
              <w:jc w:val="center"/>
            </w:pPr>
            <w:r>
              <w:rPr>
                <w:rFonts w:ascii="Times New Roman" w:hAnsi="Times New Roman"/>
                <w:b w:val="0"/>
                <w:sz w:val="16"/>
              </w:rPr>
              <w:t>32.70%</w:t>
            </w:r>
          </w:p>
        </w:tc>
      </w:tr>
      <w:tr>
        <w:tc>
          <w:tcPr>
            <w:tcW w:type="dxa" w:w="2438"/>
            <w:shd w:val="clear" w:color="auto" w:fill="D6E4F7"/>
          </w:tcPr>
          <w:p>
            <w:pPr>
              <w:jc w:val="left"/>
            </w:pPr>
            <w:r>
              <w:rPr>
                <w:rFonts w:ascii="Times New Roman" w:hAnsi="Times New Roman"/>
                <w:b w:val="0"/>
                <w:sz w:val="16"/>
              </w:rPr>
              <w:t>Daily Sleep Duration</w:t>
            </w:r>
          </w:p>
        </w:tc>
        <w:tc>
          <w:tcPr>
            <w:tcW w:type="dxa" w:w="1247"/>
            <w:shd w:val="clear" w:color="auto" w:fill="D6E4F7"/>
          </w:tcPr>
          <w:p>
            <w:pPr>
              <w:jc w:val="center"/>
            </w:pPr>
            <w:r>
              <w:rPr>
                <w:rFonts w:ascii="Times New Roman" w:hAnsi="Times New Roman"/>
                <w:b w:val="0"/>
                <w:sz w:val="16"/>
              </w:rPr>
              <w:t>6 Hours</w:t>
            </w:r>
          </w:p>
        </w:tc>
        <w:tc>
          <w:tcPr>
            <w:tcW w:type="dxa" w:w="1077"/>
            <w:shd w:val="clear" w:color="auto" w:fill="D6E4F7"/>
          </w:tcPr>
          <w:p>
            <w:pPr>
              <w:jc w:val="center"/>
            </w:pPr>
            <w:r>
              <w:rPr>
                <w:rFonts w:ascii="Times New Roman" w:hAnsi="Times New Roman"/>
                <w:b w:val="0"/>
                <w:sz w:val="16"/>
              </w:rPr>
              <w:t>18.92%</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7 Hours</w:t>
            </w:r>
          </w:p>
        </w:tc>
        <w:tc>
          <w:tcPr>
            <w:tcW w:type="dxa" w:w="1077"/>
            <w:shd w:val="clear" w:color="auto" w:fill="FFFFFF"/>
          </w:tcPr>
          <w:p>
            <w:pPr>
              <w:jc w:val="center"/>
            </w:pPr>
            <w:r>
              <w:rPr>
                <w:rFonts w:ascii="Times New Roman" w:hAnsi="Times New Roman"/>
                <w:b w:val="0"/>
                <w:sz w:val="16"/>
              </w:rPr>
              <w:t>27.80%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8 Hours</w:t>
            </w:r>
          </w:p>
        </w:tc>
        <w:tc>
          <w:tcPr>
            <w:tcW w:type="dxa" w:w="1077"/>
            <w:shd w:val="clear" w:color="auto" w:fill="D6E4F7"/>
          </w:tcPr>
          <w:p>
            <w:pPr>
              <w:jc w:val="center"/>
            </w:pPr>
            <w:r>
              <w:rPr>
                <w:rFonts w:ascii="Times New Roman" w:hAnsi="Times New Roman"/>
                <w:b w:val="0"/>
                <w:sz w:val="16"/>
              </w:rPr>
              <w:t>25.90%</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Other</w:t>
            </w:r>
          </w:p>
        </w:tc>
        <w:tc>
          <w:tcPr>
            <w:tcW w:type="dxa" w:w="1077"/>
            <w:shd w:val="clear" w:color="auto" w:fill="FFFFFF"/>
          </w:tcPr>
          <w:p>
            <w:pPr>
              <w:jc w:val="center"/>
            </w:pPr>
            <w:r>
              <w:rPr>
                <w:rFonts w:ascii="Times New Roman" w:hAnsi="Times New Roman"/>
                <w:b w:val="0"/>
                <w:sz w:val="16"/>
              </w:rPr>
              <w:t>27.38%</w:t>
            </w:r>
          </w:p>
        </w:tc>
      </w:tr>
      <w:tr>
        <w:tc>
          <w:tcPr>
            <w:tcW w:type="dxa" w:w="2438"/>
            <w:shd w:val="clear" w:color="auto" w:fill="D6E4F7"/>
          </w:tcPr>
          <w:p>
            <w:pPr>
              <w:jc w:val="left"/>
            </w:pPr>
            <w:r>
              <w:rPr>
                <w:rFonts w:ascii="Times New Roman" w:hAnsi="Times New Roman"/>
                <w:b w:val="0"/>
                <w:sz w:val="16"/>
              </w:rPr>
              <w:t>SSC Result</w:t>
            </w:r>
          </w:p>
        </w:tc>
        <w:tc>
          <w:tcPr>
            <w:tcW w:type="dxa" w:w="1247"/>
            <w:shd w:val="clear" w:color="auto" w:fill="D6E4F7"/>
          </w:tcPr>
          <w:p>
            <w:pPr>
              <w:jc w:val="center"/>
            </w:pPr>
            <w:r>
              <w:rPr>
                <w:rFonts w:ascii="Times New Roman" w:hAnsi="Times New Roman"/>
                <w:b w:val="0"/>
                <w:sz w:val="16"/>
              </w:rPr>
              <w:t>5.00</w:t>
            </w:r>
          </w:p>
        </w:tc>
        <w:tc>
          <w:tcPr>
            <w:tcW w:type="dxa" w:w="1077"/>
            <w:shd w:val="clear" w:color="auto" w:fill="D6E4F7"/>
          </w:tcPr>
          <w:p>
            <w:pPr>
              <w:jc w:val="center"/>
            </w:pPr>
            <w:r>
              <w:rPr>
                <w:rFonts w:ascii="Times New Roman" w:hAnsi="Times New Roman"/>
                <w:b w:val="0"/>
                <w:sz w:val="16"/>
              </w:rPr>
              <w:t>46.55%</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4.50</w:t>
            </w:r>
          </w:p>
        </w:tc>
        <w:tc>
          <w:tcPr>
            <w:tcW w:type="dxa" w:w="1077"/>
            <w:shd w:val="clear" w:color="auto" w:fill="FFFFFF"/>
          </w:tcPr>
          <w:p>
            <w:pPr>
              <w:jc w:val="center"/>
            </w:pPr>
            <w:r>
              <w:rPr>
                <w:rFonts w:ascii="Times New Roman" w:hAnsi="Times New Roman"/>
                <w:b w:val="0"/>
                <w:sz w:val="16"/>
              </w:rPr>
              <w:t>7.40%</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4.00</w:t>
            </w:r>
          </w:p>
        </w:tc>
        <w:tc>
          <w:tcPr>
            <w:tcW w:type="dxa" w:w="1077"/>
            <w:shd w:val="clear" w:color="auto" w:fill="D6E4F7"/>
          </w:tcPr>
          <w:p>
            <w:pPr>
              <w:jc w:val="center"/>
            </w:pPr>
            <w:r>
              <w:rPr>
                <w:rFonts w:ascii="Times New Roman" w:hAnsi="Times New Roman"/>
                <w:b w:val="0"/>
                <w:sz w:val="16"/>
              </w:rPr>
              <w:t>5.00%</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Other</w:t>
            </w:r>
          </w:p>
        </w:tc>
        <w:tc>
          <w:tcPr>
            <w:tcW w:type="dxa" w:w="1077"/>
            <w:shd w:val="clear" w:color="auto" w:fill="FFFFFF"/>
          </w:tcPr>
          <w:p>
            <w:pPr>
              <w:jc w:val="center"/>
            </w:pPr>
            <w:r>
              <w:rPr>
                <w:rFonts w:ascii="Times New Roman" w:hAnsi="Times New Roman"/>
                <w:b w:val="0"/>
                <w:sz w:val="16"/>
              </w:rPr>
              <w:t>41.05%</w:t>
            </w:r>
          </w:p>
        </w:tc>
      </w:tr>
      <w:tr>
        <w:tc>
          <w:tcPr>
            <w:tcW w:type="dxa" w:w="2438"/>
            <w:shd w:val="clear" w:color="auto" w:fill="D6E4F7"/>
          </w:tcPr>
          <w:p>
            <w:pPr>
              <w:jc w:val="left"/>
            </w:pPr>
            <w:r>
              <w:rPr>
                <w:rFonts w:ascii="Times New Roman" w:hAnsi="Times New Roman"/>
                <w:b w:val="0"/>
                <w:sz w:val="16"/>
              </w:rPr>
              <w:t>HSC Result</w:t>
            </w:r>
          </w:p>
        </w:tc>
        <w:tc>
          <w:tcPr>
            <w:tcW w:type="dxa" w:w="1247"/>
            <w:shd w:val="clear" w:color="auto" w:fill="D6E4F7"/>
          </w:tcPr>
          <w:p>
            <w:pPr>
              <w:jc w:val="center"/>
            </w:pPr>
            <w:r>
              <w:rPr>
                <w:rFonts w:ascii="Times New Roman" w:hAnsi="Times New Roman"/>
                <w:b w:val="0"/>
                <w:sz w:val="16"/>
              </w:rPr>
              <w:t>5.00</w:t>
            </w:r>
          </w:p>
        </w:tc>
        <w:tc>
          <w:tcPr>
            <w:tcW w:type="dxa" w:w="1077"/>
            <w:shd w:val="clear" w:color="auto" w:fill="D6E4F7"/>
          </w:tcPr>
          <w:p>
            <w:pPr>
              <w:jc w:val="center"/>
            </w:pPr>
            <w:r>
              <w:rPr>
                <w:rFonts w:ascii="Times New Roman" w:hAnsi="Times New Roman"/>
                <w:b w:val="0"/>
                <w:sz w:val="16"/>
              </w:rPr>
              <w:t>21.51%</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4.50</w:t>
            </w:r>
          </w:p>
        </w:tc>
        <w:tc>
          <w:tcPr>
            <w:tcW w:type="dxa" w:w="1077"/>
            <w:shd w:val="clear" w:color="auto" w:fill="FFFFFF"/>
          </w:tcPr>
          <w:p>
            <w:pPr>
              <w:jc w:val="center"/>
            </w:pPr>
            <w:r>
              <w:rPr>
                <w:rFonts w:ascii="Times New Roman" w:hAnsi="Times New Roman"/>
                <w:b w:val="0"/>
                <w:sz w:val="16"/>
              </w:rPr>
              <w:t>8.52%</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4.00</w:t>
            </w:r>
          </w:p>
        </w:tc>
        <w:tc>
          <w:tcPr>
            <w:tcW w:type="dxa" w:w="1077"/>
            <w:shd w:val="clear" w:color="auto" w:fill="D6E4F7"/>
          </w:tcPr>
          <w:p>
            <w:pPr>
              <w:jc w:val="center"/>
            </w:pPr>
            <w:r>
              <w:rPr>
                <w:rFonts w:ascii="Times New Roman" w:hAnsi="Times New Roman"/>
                <w:b w:val="0"/>
                <w:sz w:val="16"/>
              </w:rPr>
              <w:t>12.42%</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Other</w:t>
            </w:r>
          </w:p>
        </w:tc>
        <w:tc>
          <w:tcPr>
            <w:tcW w:type="dxa" w:w="1077"/>
            <w:shd w:val="clear" w:color="auto" w:fill="FFFFFF"/>
          </w:tcPr>
          <w:p>
            <w:pPr>
              <w:jc w:val="center"/>
            </w:pPr>
            <w:r>
              <w:rPr>
                <w:rFonts w:ascii="Times New Roman" w:hAnsi="Times New Roman"/>
                <w:b w:val="0"/>
                <w:sz w:val="16"/>
              </w:rPr>
              <w:t>57.55%</w:t>
            </w:r>
          </w:p>
        </w:tc>
      </w:tr>
      <w:tr>
        <w:tc>
          <w:tcPr>
            <w:tcW w:type="dxa" w:w="2438"/>
            <w:shd w:val="clear" w:color="auto" w:fill="D6E4F7"/>
          </w:tcPr>
          <w:p>
            <w:pPr>
              <w:jc w:val="left"/>
            </w:pPr>
            <w:r>
              <w:rPr>
                <w:rFonts w:ascii="Times New Roman" w:hAnsi="Times New Roman"/>
                <w:b w:val="0"/>
                <w:sz w:val="16"/>
              </w:rPr>
              <w:t>University CGPA</w:t>
            </w:r>
          </w:p>
        </w:tc>
        <w:tc>
          <w:tcPr>
            <w:tcW w:type="dxa" w:w="1247"/>
            <w:shd w:val="clear" w:color="auto" w:fill="D6E4F7"/>
          </w:tcPr>
          <w:p>
            <w:pPr>
              <w:jc w:val="center"/>
            </w:pPr>
            <w:r>
              <w:rPr>
                <w:rFonts w:ascii="Times New Roman" w:hAnsi="Times New Roman"/>
                <w:b w:val="0"/>
                <w:sz w:val="16"/>
              </w:rPr>
              <w:t>4.00</w:t>
            </w:r>
          </w:p>
        </w:tc>
        <w:tc>
          <w:tcPr>
            <w:tcW w:type="dxa" w:w="1077"/>
            <w:shd w:val="clear" w:color="auto" w:fill="D6E4F7"/>
          </w:tcPr>
          <w:p>
            <w:pPr>
              <w:jc w:val="center"/>
            </w:pPr>
            <w:r>
              <w:rPr>
                <w:rFonts w:ascii="Times New Roman" w:hAnsi="Times New Roman"/>
                <w:b w:val="0"/>
                <w:sz w:val="16"/>
              </w:rPr>
              <w:t>2.21%</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3.25</w:t>
            </w:r>
          </w:p>
        </w:tc>
        <w:tc>
          <w:tcPr>
            <w:tcW w:type="dxa" w:w="1077"/>
            <w:shd w:val="clear" w:color="auto" w:fill="FFFFFF"/>
          </w:tcPr>
          <w:p>
            <w:pPr>
              <w:jc w:val="center"/>
            </w:pPr>
            <w:r>
              <w:rPr>
                <w:rFonts w:ascii="Times New Roman" w:hAnsi="Times New Roman"/>
                <w:b w:val="0"/>
                <w:sz w:val="16"/>
              </w:rPr>
              <w:t>2.23%</w:t>
            </w:r>
          </w:p>
        </w:tc>
      </w:tr>
      <w:tr>
        <w:tc>
          <w:tcPr>
            <w:tcW w:type="dxa" w:w="2438"/>
            <w:shd w:val="clear" w:color="auto" w:fill="D6E4F7"/>
          </w:tcPr>
          <w:p>
            <w:pPr>
              <w:jc w:val="left"/>
            </w:pPr>
            <w:r>
              <w:rPr>
                <w:rFonts w:ascii="Times New Roman" w:hAnsi="Times New Roman"/>
                <w:b w:val="0"/>
                <w:sz w:val="16"/>
              </w:rPr>
            </w:r>
          </w:p>
        </w:tc>
        <w:tc>
          <w:tcPr>
            <w:tcW w:type="dxa" w:w="1247"/>
            <w:shd w:val="clear" w:color="auto" w:fill="D6E4F7"/>
          </w:tcPr>
          <w:p>
            <w:pPr>
              <w:jc w:val="center"/>
            </w:pPr>
            <w:r>
              <w:rPr>
                <w:rFonts w:ascii="Times New Roman" w:hAnsi="Times New Roman"/>
                <w:b w:val="0"/>
                <w:sz w:val="16"/>
              </w:rPr>
              <w:t>3.00</w:t>
            </w:r>
          </w:p>
        </w:tc>
        <w:tc>
          <w:tcPr>
            <w:tcW w:type="dxa" w:w="1077"/>
            <w:shd w:val="clear" w:color="auto" w:fill="D6E4F7"/>
          </w:tcPr>
          <w:p>
            <w:pPr>
              <w:jc w:val="center"/>
            </w:pPr>
            <w:r>
              <w:rPr>
                <w:rFonts w:ascii="Times New Roman" w:hAnsi="Times New Roman"/>
                <w:b w:val="0"/>
                <w:sz w:val="16"/>
              </w:rPr>
              <w:t>12.83%</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Other</w:t>
            </w:r>
          </w:p>
        </w:tc>
        <w:tc>
          <w:tcPr>
            <w:tcW w:type="dxa" w:w="1077"/>
            <w:shd w:val="clear" w:color="auto" w:fill="FFFFFF"/>
          </w:tcPr>
          <w:p>
            <w:pPr>
              <w:jc w:val="center"/>
            </w:pPr>
            <w:r>
              <w:rPr>
                <w:rFonts w:ascii="Times New Roman" w:hAnsi="Times New Roman"/>
                <w:b w:val="0"/>
                <w:sz w:val="16"/>
              </w:rPr>
              <w:t>82.73%</w:t>
            </w:r>
          </w:p>
        </w:tc>
      </w:tr>
      <w:tr>
        <w:tc>
          <w:tcPr>
            <w:tcW w:type="dxa" w:w="2438"/>
            <w:shd w:val="clear" w:color="auto" w:fill="D6E4F7"/>
          </w:tcPr>
          <w:p>
            <w:pPr>
              <w:jc w:val="left"/>
            </w:pPr>
            <w:r>
              <w:rPr>
                <w:rFonts w:ascii="Times New Roman" w:hAnsi="Times New Roman"/>
                <w:b w:val="0"/>
                <w:sz w:val="16"/>
              </w:rPr>
              <w:t>Do you suffer from depression? (Class Label)</w:t>
            </w:r>
          </w:p>
        </w:tc>
        <w:tc>
          <w:tcPr>
            <w:tcW w:type="dxa" w:w="1247"/>
            <w:shd w:val="clear" w:color="auto" w:fill="D6E4F7"/>
          </w:tcPr>
          <w:p>
            <w:pPr>
              <w:jc w:val="center"/>
            </w:pPr>
            <w:r>
              <w:rPr>
                <w:rFonts w:ascii="Times New Roman" w:hAnsi="Times New Roman"/>
                <w:b w:val="0"/>
                <w:sz w:val="16"/>
              </w:rPr>
              <w:t>Yes</w:t>
            </w:r>
          </w:p>
        </w:tc>
        <w:tc>
          <w:tcPr>
            <w:tcW w:type="dxa" w:w="1077"/>
            <w:shd w:val="clear" w:color="auto" w:fill="D6E4F7"/>
          </w:tcPr>
          <w:p>
            <w:pPr>
              <w:jc w:val="center"/>
            </w:pPr>
            <w:r>
              <w:rPr>
                <w:rFonts w:ascii="Times New Roman" w:hAnsi="Times New Roman"/>
                <w:b w:val="0"/>
                <w:sz w:val="16"/>
              </w:rPr>
              <w:t>40.62%</w:t>
            </w:r>
          </w:p>
        </w:tc>
      </w:tr>
      <w:tr>
        <w:tc>
          <w:tcPr>
            <w:tcW w:type="dxa" w:w="2438"/>
            <w:shd w:val="clear" w:color="auto" w:fill="FFFFFF"/>
          </w:tcPr>
          <w:p>
            <w:pPr>
              <w:jc w:val="left"/>
            </w:pPr>
            <w:r>
              <w:rPr>
                <w:rFonts w:ascii="Times New Roman" w:hAnsi="Times New Roman"/>
                <w:b w:val="0"/>
                <w:sz w:val="16"/>
              </w:rPr>
            </w:r>
          </w:p>
        </w:tc>
        <w:tc>
          <w:tcPr>
            <w:tcW w:type="dxa" w:w="1247"/>
            <w:shd w:val="clear" w:color="auto" w:fill="FFFFFF"/>
          </w:tcPr>
          <w:p>
            <w:pPr>
              <w:jc w:val="center"/>
            </w:pPr>
            <w:r>
              <w:rPr>
                <w:rFonts w:ascii="Times New Roman" w:hAnsi="Times New Roman"/>
                <w:b w:val="0"/>
                <w:sz w:val="16"/>
              </w:rPr>
              <w:t>No</w:t>
            </w:r>
          </w:p>
        </w:tc>
        <w:tc>
          <w:tcPr>
            <w:tcW w:type="dxa" w:w="1077"/>
            <w:shd w:val="clear" w:color="auto" w:fill="FFFFFF"/>
          </w:tcPr>
          <w:p>
            <w:pPr>
              <w:jc w:val="center"/>
            </w:pPr>
            <w:r>
              <w:rPr>
                <w:rFonts w:ascii="Times New Roman" w:hAnsi="Times New Roman"/>
                <w:b w:val="0"/>
                <w:sz w:val="16"/>
              </w:rPr>
              <w:t>59.38%</w:t>
            </w:r>
          </w:p>
        </w:tc>
      </w:tr>
    </w:tbl>
    <w:p>
      <w:pPr>
        <w:spacing w:before="80" w:after="40"/>
        <w:jc w:val="left"/>
      </w:pPr>
      <w:r>
        <w:rPr>
          <w:rFonts w:ascii="Times New Roman" w:hAnsi="Times New Roman"/>
          <w:b/>
          <w:i/>
          <w:sz w:val="20"/>
        </w:rPr>
        <w:t>B. Data Preprocessing Pipeline</w:t>
      </w:r>
    </w:p>
    <w:p>
      <w:pPr>
        <w:spacing w:before="0" w:after="80" w:lineRule="exact" w:line="240"/>
        <w:ind w:firstLine="283"/>
        <w:jc w:val="both"/>
      </w:pPr>
      <w:r>
        <w:rPr>
          <w:rFonts w:ascii="Times New Roman" w:hAnsi="Times New Roman"/>
          <w:b w:val="0"/>
          <w:i w:val="0"/>
          <w:sz w:val="20"/>
        </w:rPr>
        <w:t>Raw survey responses required systematic transformation before model training to eliminate noise, resolve encoding inconsistencies, and normalize feature scales. The multi-step preprocessing pipeline, illustrated in Figure 2, comprised the following sequential operations:</w:t>
      </w:r>
    </w:p>
    <w:p>
      <w:pPr>
        <w:spacing w:before="0" w:after="40" w:lineRule="exact" w:line="240"/>
        <w:ind w:left="227"/>
        <w:jc w:val="both"/>
      </w:pPr>
      <w:r>
        <w:rPr>
          <w:rFonts w:ascii="Times New Roman" w:hAnsi="Times New Roman"/>
          <w:b/>
          <w:i w:val="0"/>
          <w:sz w:val="18"/>
        </w:rPr>
        <w:t xml:space="preserve">1. Binary Encoding: </w:t>
      </w:r>
      <w:r>
        <w:rPr>
          <w:rFonts w:ascii="Times New Roman" w:hAnsi="Times New Roman"/>
          <w:b w:val="0"/>
          <w:i w:val="0"/>
          <w:sz w:val="18"/>
        </w:rPr>
        <w:t>Thirteen dichotomous Yes/No features were numerically encoded as integers 1 (affirmative) and 0 (negative), preserving semantic polarity in a machine-readable format.</w:t>
      </w:r>
    </w:p>
    <w:p>
      <w:pPr>
        <w:spacing w:before="0" w:after="40" w:lineRule="exact" w:line="240"/>
        <w:ind w:left="227"/>
        <w:jc w:val="both"/>
      </w:pPr>
      <w:r>
        <w:rPr>
          <w:rFonts w:ascii="Times New Roman" w:hAnsi="Times New Roman"/>
          <w:b/>
          <w:i w:val="0"/>
          <w:sz w:val="18"/>
        </w:rPr>
        <w:t xml:space="preserve">2. Nominal Categorical Encoding: </w:t>
      </w:r>
      <w:r>
        <w:rPr>
          <w:rFonts w:ascii="Times New Roman" w:hAnsi="Times New Roman"/>
          <w:b w:val="0"/>
          <w:i w:val="0"/>
          <w:sz w:val="18"/>
        </w:rPr>
        <w:t>Multi-class variables — Gender, Personality Type, and Comfortable Environment — were expanded via one-hot encoding to prevent the imposition of artificial ordinal relationships among unordered categories.</w:t>
      </w:r>
    </w:p>
    <w:p>
      <w:pPr>
        <w:spacing w:before="0" w:after="40" w:lineRule="exact" w:line="240"/>
        <w:ind w:left="227"/>
        <w:jc w:val="both"/>
      </w:pPr>
      <w:r>
        <w:rPr>
          <w:rFonts w:ascii="Times New Roman" w:hAnsi="Times New Roman"/>
          <w:b/>
          <w:i w:val="0"/>
          <w:sz w:val="18"/>
        </w:rPr>
        <w:t xml:space="preserve">3. Missing Value Imputation: </w:t>
      </w:r>
      <w:r>
        <w:rPr>
          <w:rFonts w:ascii="Times New Roman" w:hAnsi="Times New Roman"/>
          <w:b w:val="0"/>
          <w:i w:val="0"/>
          <w:sz w:val="18"/>
        </w:rPr>
        <w:t>Instances with absent numerical entries were repaired using median imputation, a robust strategy resistant to distortion from extreme-value outliers in bounded survey scales.</w:t>
      </w:r>
    </w:p>
    <w:p>
      <w:pPr>
        <w:spacing w:before="0" w:after="40" w:lineRule="exact" w:line="240"/>
        <w:ind w:left="227"/>
        <w:jc w:val="both"/>
      </w:pPr>
      <w:r>
        <w:rPr>
          <w:rFonts w:ascii="Times New Roman" w:hAnsi="Times New Roman"/>
          <w:b/>
          <w:i w:val="0"/>
          <w:sz w:val="18"/>
        </w:rPr>
        <w:t xml:space="preserve">4. Feature Standardization: </w:t>
      </w:r>
      <w:r>
        <w:rPr>
          <w:rFonts w:ascii="Times New Roman" w:hAnsi="Times New Roman"/>
          <w:b w:val="0"/>
          <w:i w:val="0"/>
          <w:sz w:val="18"/>
        </w:rPr>
        <w:t>All continuous numerical attributes were Z-score normalized (μ=0, σ=1) using StandardScaler, ensuring equal dimensional contribution during distance-based and gradient-based optimization.</w:t>
      </w:r>
    </w:p>
    <w:p>
      <w:pPr>
        <w:spacing w:before="0" w:after="40" w:lineRule="exact" w:line="240"/>
        <w:ind w:left="227"/>
        <w:jc w:val="both"/>
      </w:pPr>
      <w:r>
        <w:rPr>
          <w:rFonts w:ascii="Times New Roman" w:hAnsi="Times New Roman"/>
          <w:b/>
          <w:i w:val="0"/>
          <w:sz w:val="18"/>
        </w:rPr>
        <w:t xml:space="preserve">5. Final Feature Dimensionality: </w:t>
      </w:r>
      <w:r>
        <w:rPr>
          <w:rFonts w:ascii="Times New Roman" w:hAnsi="Times New Roman"/>
          <w:b w:val="0"/>
          <w:i w:val="0"/>
          <w:sz w:val="18"/>
        </w:rPr>
        <w:t>After encoding expansion, the input feature space comprised 26 dimensions, representing all 23 original survey attributes in fully numeric machine-readable form.</w:t>
      </w:r>
    </w:p>
    <w:p>
      <w:pPr>
        <w:spacing w:before="80" w:after="40"/>
        <w:jc w:val="center"/>
      </w:pPr>
      <w:r>
        <w:drawing>
          <wp:inline xmlns:a="http://schemas.openxmlformats.org/drawingml/2006/main" xmlns:pic="http://schemas.openxmlformats.org/drawingml/2006/picture">
            <wp:extent cx="2286000" cy="3625645"/>
            <wp:docPr id="2" name="Picture 2"/>
            <wp:cNvGraphicFramePr>
              <a:graphicFrameLocks noChangeAspect="1"/>
            </wp:cNvGraphicFramePr>
            <a:graphic>
              <a:graphicData uri="http://schemas.openxmlformats.org/drawingml/2006/picture">
                <pic:pic>
                  <pic:nvPicPr>
                    <pic:cNvPr id="0" name="fig_page2_img.png"/>
                    <pic:cNvPicPr/>
                  </pic:nvPicPr>
                  <pic:blipFill>
                    <a:blip r:embed="rId10"/>
                    <a:stretch>
                      <a:fillRect/>
                    </a:stretch>
                  </pic:blipFill>
                  <pic:spPr>
                    <a:xfrm>
                      <a:off x="0" y="0"/>
                      <a:ext cx="2286000" cy="3625645"/>
                    </a:xfrm>
                    <a:prstGeom prst="rect"/>
                  </pic:spPr>
                </pic:pic>
              </a:graphicData>
            </a:graphic>
          </wp:inline>
        </w:drawing>
      </w:r>
    </w:p>
    <w:p>
      <w:pPr>
        <w:spacing w:before="0" w:after="120"/>
        <w:jc w:val="center"/>
      </w:pPr>
      <w:r>
        <w:rPr>
          <w:rFonts w:ascii="Times New Roman" w:hAnsi="Times New Roman"/>
          <w:b w:val="0"/>
          <w:i/>
          <w:sz w:val="18"/>
        </w:rPr>
        <w:t>Fig. 2: Data Preparation Procedure</w:t>
      </w:r>
    </w:p>
    <w:p>
      <w:pPr>
        <w:spacing w:before="80" w:after="40"/>
        <w:jc w:val="left"/>
      </w:pPr>
      <w:r>
        <w:rPr>
          <w:rFonts w:ascii="Times New Roman" w:hAnsi="Times New Roman"/>
          <w:b/>
          <w:i/>
          <w:sz w:val="20"/>
        </w:rPr>
        <w:t>C. Classifier Implementation and Tuning</w:t>
      </w:r>
    </w:p>
    <w:p>
      <w:pPr>
        <w:spacing w:before="0" w:after="80" w:lineRule="exact" w:line="240"/>
        <w:ind w:firstLine="283"/>
        <w:jc w:val="both"/>
      </w:pPr>
      <w:r>
        <w:rPr>
          <w:rFonts w:ascii="Times New Roman" w:hAnsi="Times New Roman"/>
          <w:b w:val="0"/>
          <w:i w:val="0"/>
          <w:sz w:val="20"/>
        </w:rPr>
        <w:t>Four classification algorithms were selected to span complementary machine learning paradigms — neural networks, ensemble gradient boosting, linear probabilistic modeling, and kernel-based margin maximization — enabling a rigorous comparative analysis:</w:t>
      </w:r>
    </w:p>
    <w:p>
      <w:pPr>
        <w:spacing w:before="60" w:after="60" w:lineRule="exact" w:line="240"/>
        <w:jc w:val="both"/>
      </w:pPr>
      <w:r>
        <w:rPr>
          <w:rFonts w:ascii="Times New Roman" w:hAnsi="Times New Roman"/>
          <w:b/>
          <w:i w:val="0"/>
          <w:sz w:val="20"/>
        </w:rPr>
        <w:t xml:space="preserve">1) Multilayer Perceptron (MLP): </w:t>
      </w:r>
      <w:r>
        <w:rPr>
          <w:rFonts w:ascii="Times New Roman" w:hAnsi="Times New Roman"/>
          <w:b w:val="0"/>
          <w:i w:val="0"/>
          <w:sz w:val="20"/>
        </w:rPr>
        <w:t>MLP is a class of feedforward artificial neural network organized into successive layers of densely-connected neurons [11]. The deployed architecture comprises three hidden layers with 128, 64, and 32 neurons respectively, each employing ReLU activation to introduce non-linear representational capacity, followed by a softmax output layer for binary probability estimation. Training used the Adam optimizer (max_iter=500), providing adaptive gradient-based learning well-suited to the behavioral survey feature space.</w:t>
      </w:r>
    </w:p>
    <w:p>
      <w:pPr>
        <w:spacing w:before="60" w:after="60" w:lineRule="exact" w:line="240"/>
        <w:jc w:val="both"/>
      </w:pPr>
      <w:r>
        <w:rPr>
          <w:rFonts w:ascii="Times New Roman" w:hAnsi="Times New Roman"/>
          <w:b/>
          <w:i w:val="0"/>
          <w:sz w:val="20"/>
        </w:rPr>
        <w:t xml:space="preserve">2) XGBoost: </w:t>
      </w:r>
      <w:r>
        <w:rPr>
          <w:rFonts w:ascii="Times New Roman" w:hAnsi="Times New Roman"/>
          <w:b w:val="0"/>
          <w:i w:val="0"/>
          <w:sz w:val="20"/>
        </w:rPr>
        <w:t>XGBoost constructs an additive ensemble of regularized decision trees through stage-wise gradient descent on a differentiable loss function, incorporating L1 and L2 regularization to control model complexity [14]. Its sparse-aware split-finding algorithm handles missing values natively, which is advantageous for survey-derived datasets. Configuration: 200 estimators, max_depth=6, learning_rate=0.1.</w:t>
      </w:r>
    </w:p>
    <w:p>
      <w:pPr>
        <w:spacing w:before="60" w:after="60" w:lineRule="exact" w:line="240"/>
        <w:jc w:val="both"/>
      </w:pPr>
      <w:r>
        <w:rPr>
          <w:rFonts w:ascii="Times New Roman" w:hAnsi="Times New Roman"/>
          <w:b/>
          <w:i w:val="0"/>
          <w:sz w:val="20"/>
        </w:rPr>
        <w:t xml:space="preserve">3) Logistic Regression: </w:t>
      </w:r>
      <w:r>
        <w:rPr>
          <w:rFonts w:ascii="Times New Roman" w:hAnsi="Times New Roman"/>
          <w:b w:val="0"/>
          <w:i w:val="0"/>
          <w:sz w:val="20"/>
        </w:rPr>
        <w:t>Logistic Regression estimates class posterior probabilities by mapping a linear combination of features through the sigmoid function, producing an interpretable probabilistic decision boundary [1]. It provides strong competitive performance on standardized near linearly-separable data while remaining fully interpretable. Configuration: L-BFGS solver, C=1.0, max_iter=1000.</w:t>
      </w:r>
    </w:p>
    <w:p>
      <w:pPr>
        <w:spacing w:before="60" w:after="60" w:lineRule="exact" w:line="240"/>
        <w:jc w:val="both"/>
      </w:pPr>
      <w:r>
        <w:rPr>
          <w:rFonts w:ascii="Times New Roman" w:hAnsi="Times New Roman"/>
          <w:b/>
          <w:i w:val="0"/>
          <w:sz w:val="20"/>
        </w:rPr>
        <w:t xml:space="preserve">4) Support Vector Machine (SVM): </w:t>
      </w:r>
      <w:r>
        <w:rPr>
          <w:rFonts w:ascii="Times New Roman" w:hAnsi="Times New Roman"/>
          <w:b w:val="0"/>
          <w:i w:val="0"/>
          <w:sz w:val="20"/>
        </w:rPr>
        <w:t>SVM identifies the maximum-margin hyperplane separating class distributions in a kernel-induced feature space, minimizing structural risk through margin maximization to deliver strong generalization on moderately-sized datasets [16]. The RBF kernel was selected to capture non-linear behavioral feature boundaries. Configuration: C=10, gamma='scale'.</w:t>
      </w:r>
    </w:p>
    <w:p>
      <w:pPr>
        <w:spacing w:before="80" w:after="40"/>
        <w:jc w:val="left"/>
      </w:pPr>
      <w:r>
        <w:rPr>
          <w:rFonts w:ascii="Times New Roman" w:hAnsi="Times New Roman"/>
          <w:b/>
          <w:i/>
          <w:sz w:val="20"/>
        </w:rPr>
        <w:t>D. Simulation Environment</w:t>
      </w:r>
    </w:p>
    <w:p>
      <w:pPr>
        <w:spacing w:before="0" w:after="40" w:lineRule="exact" w:line="240"/>
        <w:ind w:left="283"/>
        <w:jc w:val="both"/>
      </w:pPr>
      <w:r>
        <w:rPr>
          <w:rFonts w:ascii="Times New Roman" w:hAnsi="Times New Roman"/>
          <w:b w:val="0"/>
          <w:i w:val="0"/>
          <w:sz w:val="20"/>
        </w:rPr>
        <w:t>- Programming Language: Python 3.9 (CPython implementation)</w:t>
      </w:r>
    </w:p>
    <w:p>
      <w:pPr>
        <w:spacing w:before="0" w:after="40" w:lineRule="exact" w:line="240"/>
        <w:ind w:left="283"/>
        <w:jc w:val="both"/>
      </w:pPr>
      <w:r>
        <w:rPr>
          <w:rFonts w:ascii="Times New Roman" w:hAnsi="Times New Roman"/>
          <w:b w:val="0"/>
          <w:i w:val="0"/>
          <w:sz w:val="20"/>
        </w:rPr>
        <w:t>- Core Libraries: scikit-learn 1.2.2, XGBoost 1.7.5, pandas 1.5.3, NumPy 1.24.3, Matplotlib 3.7.1</w:t>
      </w:r>
    </w:p>
    <w:p>
      <w:pPr>
        <w:spacing w:before="0" w:after="40" w:lineRule="exact" w:line="240"/>
        <w:ind w:left="283"/>
        <w:jc w:val="both"/>
      </w:pPr>
      <w:r>
        <w:rPr>
          <w:rFonts w:ascii="Times New Roman" w:hAnsi="Times New Roman"/>
          <w:b w:val="0"/>
          <w:i w:val="0"/>
          <w:sz w:val="20"/>
        </w:rPr>
        <w:t>- Evaluation Protocol: 10-fold stratified cross-validation preserving class proportions across all folds</w:t>
      </w:r>
    </w:p>
    <w:p>
      <w:pPr>
        <w:spacing w:before="0" w:after="40" w:lineRule="exact" w:line="240"/>
        <w:ind w:left="283"/>
        <w:jc w:val="both"/>
      </w:pPr>
      <w:r>
        <w:rPr>
          <w:rFonts w:ascii="Times New Roman" w:hAnsi="Times New Roman"/>
          <w:b w:val="0"/>
          <w:i w:val="0"/>
          <w:sz w:val="20"/>
        </w:rPr>
        <w:t>- Holdout Test Set: 80%/20% stratified split — 431 training instances, 108 testing instances</w:t>
      </w:r>
    </w:p>
    <w:p>
      <w:pPr>
        <w:spacing w:before="120" w:after="80"/>
        <w:jc w:val="center"/>
      </w:pPr>
      <w:r>
        <w:rPr>
          <w:rFonts w:ascii="Times New Roman" w:hAnsi="Times New Roman"/>
          <w:b/>
          <w:i w:val="0"/>
          <w:sz w:val="20"/>
        </w:rPr>
        <w:t>IV. EXPERIMENTED OUTCOMES AND ANALYSIS</w:t>
      </w:r>
    </w:p>
    <w:p>
      <w:pPr>
        <w:spacing w:before="80" w:after="40"/>
        <w:jc w:val="left"/>
      </w:pPr>
      <w:r>
        <w:rPr>
          <w:rFonts w:ascii="Times New Roman" w:hAnsi="Times New Roman"/>
          <w:b/>
          <w:i/>
          <w:sz w:val="20"/>
        </w:rPr>
        <w:t>A. Accuracy</w:t>
      </w:r>
    </w:p>
    <w:p>
      <w:pPr>
        <w:spacing w:before="0" w:after="40" w:lineRule="exact" w:line="240"/>
        <w:ind w:firstLine="0"/>
        <w:jc w:val="both"/>
      </w:pPr>
      <w:r>
        <w:rPr>
          <w:rFonts w:ascii="Times New Roman" w:hAnsi="Times New Roman"/>
          <w:b w:val="0"/>
          <w:i w:val="0"/>
          <w:sz w:val="20"/>
        </w:rPr>
        <w:t>Accuracy quantifies the proportion of correctly classified instances across both classes:</w:t>
      </w:r>
    </w:p>
    <w:p>
      <w:pPr>
        <w:spacing w:before="40" w:after="80"/>
        <w:jc w:val="center"/>
      </w:pPr>
      <w:r>
        <w:rPr>
          <w:rFonts w:ascii="Times New Roman" w:hAnsi="Times New Roman"/>
          <w:b w:val="0"/>
          <w:i/>
          <w:sz w:val="20"/>
        </w:rPr>
        <w:t>Accuracy = (TP + TN) / (TP + TN + FP + FN)</w:t>
      </w:r>
    </w:p>
    <w:p>
      <w:pPr>
        <w:spacing w:before="80" w:after="40"/>
        <w:jc w:val="left"/>
      </w:pPr>
      <w:r>
        <w:rPr>
          <w:rFonts w:ascii="Times New Roman" w:hAnsi="Times New Roman"/>
          <w:b/>
          <w:i/>
          <w:sz w:val="20"/>
        </w:rPr>
        <w:t>B. Recall / Sensitivity (True Positive Rate)</w:t>
      </w:r>
    </w:p>
    <w:p>
      <w:pPr>
        <w:spacing w:before="0" w:after="40" w:lineRule="exact" w:line="240"/>
        <w:ind w:firstLine="0"/>
        <w:jc w:val="both"/>
      </w:pPr>
      <w:r>
        <w:rPr>
          <w:rFonts w:ascii="Times New Roman" w:hAnsi="Times New Roman"/>
          <w:b w:val="0"/>
          <w:i w:val="0"/>
          <w:sz w:val="20"/>
        </w:rPr>
        <w:t>Recall measures a classifier's ability to correctly identify all positive (depressed) instances from the true positive set [14]:</w:t>
      </w:r>
    </w:p>
    <w:p>
      <w:pPr>
        <w:spacing w:before="40" w:after="80"/>
        <w:jc w:val="center"/>
      </w:pPr>
      <w:r>
        <w:rPr>
          <w:rFonts w:ascii="Times New Roman" w:hAnsi="Times New Roman"/>
          <w:b w:val="0"/>
          <w:i/>
          <w:sz w:val="20"/>
        </w:rPr>
        <w:t>Recall (TPR) = TP / (TP + FN)</w:t>
      </w:r>
    </w:p>
    <w:p>
      <w:pPr>
        <w:spacing w:before="80" w:after="40"/>
        <w:jc w:val="left"/>
      </w:pPr>
      <w:r>
        <w:rPr>
          <w:rFonts w:ascii="Times New Roman" w:hAnsi="Times New Roman"/>
          <w:b/>
          <w:i/>
          <w:sz w:val="20"/>
        </w:rPr>
        <w:t>C. Precision</w:t>
      </w:r>
    </w:p>
    <w:p>
      <w:pPr>
        <w:spacing w:before="0" w:after="40" w:lineRule="exact" w:line="240"/>
        <w:ind w:firstLine="0"/>
        <w:jc w:val="both"/>
      </w:pPr>
      <w:r>
        <w:rPr>
          <w:rFonts w:ascii="Times New Roman" w:hAnsi="Times New Roman"/>
          <w:b w:val="0"/>
          <w:i w:val="0"/>
          <w:sz w:val="20"/>
        </w:rPr>
        <w:t>Precision measures the fraction of predicted positive instances that are genuinely positive [15]:</w:t>
      </w:r>
    </w:p>
    <w:p>
      <w:pPr>
        <w:spacing w:before="80" w:after="40"/>
        <w:jc w:val="left"/>
      </w:pPr>
      <w:r>
        <w:rPr>
          <w:rFonts w:ascii="Times New Roman" w:hAnsi="Times New Roman"/>
          <w:b/>
          <w:i/>
          <w:sz w:val="20"/>
        </w:rPr>
        <w:t>D. F1-Score</w:t>
      </w:r>
    </w:p>
    <w:p>
      <w:pPr>
        <w:spacing w:before="0" w:after="40" w:lineRule="exact" w:line="240"/>
        <w:ind w:firstLine="0"/>
        <w:jc w:val="both"/>
      </w:pPr>
      <w:r>
        <w:rPr>
          <w:rFonts w:ascii="Times New Roman" w:hAnsi="Times New Roman"/>
          <w:b w:val="0"/>
          <w:i w:val="0"/>
          <w:sz w:val="20"/>
        </w:rPr>
        <w:t>The F1-Score is the harmonic mean of Precision and Recall, providing a balanced single-value metric especially valuable for imbalanced class distributions [15]:</w:t>
      </w:r>
    </w:p>
    <w:p>
      <w:pPr>
        <w:spacing w:before="40" w:after="80"/>
        <w:jc w:val="center"/>
      </w:pPr>
      <w:r>
        <w:rPr>
          <w:rFonts w:ascii="Times New Roman" w:hAnsi="Times New Roman"/>
          <w:b w:val="0"/>
          <w:i/>
          <w:sz w:val="20"/>
        </w:rPr>
        <w:t>F1 = 2 x (Precision x Recall) / (Precision + Recall)</w:t>
      </w:r>
    </w:p>
    <w:p>
      <w:pPr>
        <w:spacing w:before="80" w:after="40"/>
        <w:jc w:val="left"/>
      </w:pPr>
      <w:r>
        <w:rPr>
          <w:rFonts w:ascii="Times New Roman" w:hAnsi="Times New Roman"/>
          <w:b/>
          <w:i/>
          <w:sz w:val="20"/>
        </w:rPr>
        <w:t>E. Performance Analysis and Discussion</w:t>
      </w:r>
    </w:p>
    <w:p>
      <w:pPr>
        <w:spacing w:before="0" w:after="80" w:lineRule="exact" w:line="240"/>
        <w:ind w:firstLine="283"/>
        <w:jc w:val="both"/>
      </w:pPr>
      <w:r>
        <w:rPr>
          <w:rFonts w:ascii="Times New Roman" w:hAnsi="Times New Roman"/>
          <w:b w:val="0"/>
          <w:i w:val="0"/>
          <w:sz w:val="20"/>
        </w:rPr>
        <w:t>All four classifiers were evaluated under identical experimental conditions using 10-fold stratified cross-validation on the complete 539-instance dataset. Performance was assessed across five complementary metrics — Accuracy, Average Precision, Average Recall, Average F1-Score, and Average ROC AUC — providing a comprehensive characterization of both overall classification quality and class-wise discriminative capability. Consolidated results are presented in Table II and visualized in Figures 3–6.</w:t>
      </w:r>
    </w:p>
    <w:p>
      <w:pPr>
        <w:spacing w:before="120" w:after="40"/>
        <w:jc w:val="center"/>
      </w:pPr>
      <w:r>
        <w:rPr>
          <w:rFonts w:ascii="Times New Roman" w:hAnsi="Times New Roman"/>
          <w:b/>
          <w:i w:val="0"/>
          <w:sz w:val="18"/>
        </w:rPr>
        <w:t>TABLE II: Experimented Outcome (10-Fold Stratified Cross-Validation)</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28"/>
            <w:shd w:val="clear" w:color="auto" w:fill="1F3864"/>
          </w:tcPr>
          <w:p>
            <w:pPr>
              <w:jc w:val="center"/>
            </w:pPr>
            <w:r>
              <w:rPr>
                <w:rFonts w:ascii="Times New Roman" w:hAnsi="Times New Roman"/>
                <w:b/>
                <w:color w:val="FFFFFF"/>
                <w:sz w:val="16"/>
              </w:rPr>
              <w:t>Metric</w:t>
            </w:r>
          </w:p>
        </w:tc>
        <w:tc>
          <w:tcPr>
            <w:tcW w:type="dxa" w:w="794"/>
            <w:shd w:val="clear" w:color="auto" w:fill="1F3864"/>
          </w:tcPr>
          <w:p>
            <w:pPr>
              <w:jc w:val="center"/>
            </w:pPr>
            <w:r>
              <w:rPr>
                <w:rFonts w:ascii="Times New Roman" w:hAnsi="Times New Roman"/>
                <w:b/>
                <w:color w:val="FFFFFF"/>
                <w:sz w:val="16"/>
              </w:rPr>
              <w:t>MLP</w:t>
            </w:r>
          </w:p>
        </w:tc>
        <w:tc>
          <w:tcPr>
            <w:tcW w:type="dxa" w:w="1020"/>
            <w:shd w:val="clear" w:color="auto" w:fill="1F3864"/>
          </w:tcPr>
          <w:p>
            <w:pPr>
              <w:jc w:val="center"/>
            </w:pPr>
            <w:r>
              <w:rPr>
                <w:rFonts w:ascii="Times New Roman" w:hAnsi="Times New Roman"/>
                <w:b/>
                <w:color w:val="FFFFFF"/>
                <w:sz w:val="16"/>
              </w:rPr>
              <w:t>Logistic</w:t>
              <w:br/>
              <w:t>Regression</w:t>
            </w:r>
          </w:p>
        </w:tc>
        <w:tc>
          <w:tcPr>
            <w:tcW w:type="dxa" w:w="850"/>
            <w:shd w:val="clear" w:color="auto" w:fill="1F3864"/>
          </w:tcPr>
          <w:p>
            <w:pPr>
              <w:jc w:val="center"/>
            </w:pPr>
            <w:r>
              <w:rPr>
                <w:rFonts w:ascii="Times New Roman" w:hAnsi="Times New Roman"/>
                <w:b/>
                <w:color w:val="FFFFFF"/>
                <w:sz w:val="16"/>
              </w:rPr>
              <w:t>XGBoost</w:t>
            </w:r>
          </w:p>
        </w:tc>
        <w:tc>
          <w:tcPr>
            <w:tcW w:type="dxa" w:w="737"/>
            <w:shd w:val="clear" w:color="auto" w:fill="1F3864"/>
          </w:tcPr>
          <w:p>
            <w:pPr>
              <w:jc w:val="center"/>
            </w:pPr>
            <w:r>
              <w:rPr>
                <w:rFonts w:ascii="Times New Roman" w:hAnsi="Times New Roman"/>
                <w:b/>
                <w:color w:val="FFFFFF"/>
                <w:sz w:val="16"/>
              </w:rPr>
              <w:t>SVM</w:t>
            </w:r>
          </w:p>
        </w:tc>
      </w:tr>
      <w:tr>
        <w:tc>
          <w:tcPr>
            <w:tcW w:type="dxa" w:w="1928"/>
            <w:shd w:val="clear" w:color="auto" w:fill="EBF3FB"/>
          </w:tcPr>
          <w:p>
            <w:pPr>
              <w:jc w:val="left"/>
            </w:pPr>
            <w:r>
              <w:rPr>
                <w:rFonts w:ascii="Times New Roman" w:hAnsi="Times New Roman"/>
                <w:b w:val="0"/>
                <w:sz w:val="17"/>
              </w:rPr>
              <w:t>Accuracy (%)</w:t>
            </w:r>
          </w:p>
        </w:tc>
        <w:tc>
          <w:tcPr>
            <w:tcW w:type="dxa" w:w="794"/>
            <w:shd w:val="clear" w:color="auto" w:fill="EBF3FB"/>
          </w:tcPr>
          <w:p>
            <w:pPr>
              <w:jc w:val="center"/>
            </w:pPr>
            <w:r>
              <w:rPr>
                <w:rFonts w:ascii="Times New Roman" w:hAnsi="Times New Roman"/>
                <w:b w:val="0"/>
                <w:sz w:val="17"/>
              </w:rPr>
              <w:t>96.84</w:t>
            </w:r>
          </w:p>
        </w:tc>
        <w:tc>
          <w:tcPr>
            <w:tcW w:type="dxa" w:w="1020"/>
            <w:shd w:val="clear" w:color="auto" w:fill="EBF3FB"/>
          </w:tcPr>
          <w:p>
            <w:pPr>
              <w:jc w:val="center"/>
            </w:pPr>
            <w:r>
              <w:rPr>
                <w:rFonts w:ascii="Times New Roman" w:hAnsi="Times New Roman"/>
                <w:b w:val="0"/>
                <w:sz w:val="17"/>
              </w:rPr>
              <w:t>97.77</w:t>
            </w:r>
          </w:p>
        </w:tc>
        <w:tc>
          <w:tcPr>
            <w:tcW w:type="dxa" w:w="850"/>
            <w:shd w:val="clear" w:color="auto" w:fill="EBF3FB"/>
          </w:tcPr>
          <w:p>
            <w:pPr>
              <w:jc w:val="center"/>
            </w:pPr>
            <w:r>
              <w:rPr>
                <w:rFonts w:ascii="Times New Roman" w:hAnsi="Times New Roman"/>
                <w:b w:val="0"/>
                <w:sz w:val="17"/>
              </w:rPr>
              <w:t>97.59</w:t>
            </w:r>
          </w:p>
        </w:tc>
        <w:tc>
          <w:tcPr>
            <w:tcW w:type="dxa" w:w="737"/>
            <w:shd w:val="clear" w:color="auto" w:fill="C6EFCE"/>
          </w:tcPr>
          <w:p>
            <w:pPr>
              <w:jc w:val="center"/>
            </w:pPr>
            <w:r>
              <w:rPr>
                <w:rFonts w:ascii="Times New Roman" w:hAnsi="Times New Roman"/>
                <w:b/>
                <w:sz w:val="17"/>
              </w:rPr>
              <w:t>97.96</w:t>
            </w:r>
          </w:p>
        </w:tc>
      </w:tr>
      <w:tr>
        <w:tc>
          <w:tcPr>
            <w:tcW w:type="dxa" w:w="1928"/>
            <w:shd w:val="clear" w:color="auto" w:fill="FFFFFF"/>
          </w:tcPr>
          <w:p>
            <w:pPr>
              <w:jc w:val="left"/>
            </w:pPr>
            <w:r>
              <w:rPr>
                <w:rFonts w:ascii="Times New Roman" w:hAnsi="Times New Roman"/>
                <w:b w:val="0"/>
                <w:sz w:val="17"/>
              </w:rPr>
              <w:t>Avg. Precision (%)</w:t>
            </w:r>
          </w:p>
        </w:tc>
        <w:tc>
          <w:tcPr>
            <w:tcW w:type="dxa" w:w="794"/>
            <w:shd w:val="clear" w:color="auto" w:fill="FFFFFF"/>
          </w:tcPr>
          <w:p>
            <w:pPr>
              <w:jc w:val="center"/>
            </w:pPr>
            <w:r>
              <w:rPr>
                <w:rFonts w:ascii="Times New Roman" w:hAnsi="Times New Roman"/>
                <w:b w:val="0"/>
                <w:sz w:val="17"/>
              </w:rPr>
              <w:t>95.47</w:t>
            </w:r>
          </w:p>
        </w:tc>
        <w:tc>
          <w:tcPr>
            <w:tcW w:type="dxa" w:w="1020"/>
            <w:shd w:val="clear" w:color="auto" w:fill="C6EFCE"/>
          </w:tcPr>
          <w:p>
            <w:pPr>
              <w:jc w:val="center"/>
            </w:pPr>
            <w:r>
              <w:rPr>
                <w:rFonts w:ascii="Times New Roman" w:hAnsi="Times New Roman"/>
                <w:b/>
                <w:sz w:val="17"/>
              </w:rPr>
              <w:t>97.23</w:t>
            </w:r>
          </w:p>
        </w:tc>
        <w:tc>
          <w:tcPr>
            <w:tcW w:type="dxa" w:w="850"/>
            <w:shd w:val="clear" w:color="auto" w:fill="FFFFFF"/>
          </w:tcPr>
          <w:p>
            <w:pPr>
              <w:jc w:val="center"/>
            </w:pPr>
            <w:r>
              <w:rPr>
                <w:rFonts w:ascii="Times New Roman" w:hAnsi="Times New Roman"/>
                <w:b w:val="0"/>
                <w:sz w:val="17"/>
              </w:rPr>
              <w:t>96.30</w:t>
            </w:r>
          </w:p>
        </w:tc>
        <w:tc>
          <w:tcPr>
            <w:tcW w:type="dxa" w:w="737"/>
            <w:shd w:val="clear" w:color="auto" w:fill="FFFFFF"/>
          </w:tcPr>
          <w:p>
            <w:pPr>
              <w:jc w:val="center"/>
            </w:pPr>
            <w:r>
              <w:rPr>
                <w:rFonts w:ascii="Times New Roman" w:hAnsi="Times New Roman"/>
                <w:b w:val="0"/>
                <w:sz w:val="17"/>
              </w:rPr>
              <w:t>97.23</w:t>
            </w:r>
          </w:p>
        </w:tc>
      </w:tr>
      <w:tr>
        <w:tc>
          <w:tcPr>
            <w:tcW w:type="dxa" w:w="1928"/>
            <w:shd w:val="clear" w:color="auto" w:fill="EBF3FB"/>
          </w:tcPr>
          <w:p>
            <w:pPr>
              <w:jc w:val="left"/>
            </w:pPr>
            <w:r>
              <w:rPr>
                <w:rFonts w:ascii="Times New Roman" w:hAnsi="Times New Roman"/>
                <w:b w:val="0"/>
                <w:sz w:val="17"/>
              </w:rPr>
              <w:t>Avg. Recall (%)</w:t>
            </w:r>
          </w:p>
        </w:tc>
        <w:tc>
          <w:tcPr>
            <w:tcW w:type="dxa" w:w="794"/>
            <w:shd w:val="clear" w:color="auto" w:fill="EBF3FB"/>
          </w:tcPr>
          <w:p>
            <w:pPr>
              <w:jc w:val="center"/>
            </w:pPr>
            <w:r>
              <w:rPr>
                <w:rFonts w:ascii="Times New Roman" w:hAnsi="Times New Roman"/>
                <w:b w:val="0"/>
                <w:sz w:val="17"/>
              </w:rPr>
              <w:t>95.37</w:t>
            </w:r>
          </w:p>
        </w:tc>
        <w:tc>
          <w:tcPr>
            <w:tcW w:type="dxa" w:w="1020"/>
            <w:shd w:val="clear" w:color="auto" w:fill="C6EFCE"/>
          </w:tcPr>
          <w:p>
            <w:pPr>
              <w:jc w:val="center"/>
            </w:pPr>
            <w:r>
              <w:rPr>
                <w:rFonts w:ascii="Times New Roman" w:hAnsi="Times New Roman"/>
                <w:b/>
                <w:sz w:val="17"/>
              </w:rPr>
              <w:t>97.22</w:t>
            </w:r>
          </w:p>
        </w:tc>
        <w:tc>
          <w:tcPr>
            <w:tcW w:type="dxa" w:w="850"/>
            <w:shd w:val="clear" w:color="auto" w:fill="EBF3FB"/>
          </w:tcPr>
          <w:p>
            <w:pPr>
              <w:jc w:val="center"/>
            </w:pPr>
            <w:r>
              <w:rPr>
                <w:rFonts w:ascii="Times New Roman" w:hAnsi="Times New Roman"/>
                <w:b w:val="0"/>
                <w:sz w:val="17"/>
              </w:rPr>
              <w:t>96.30</w:t>
            </w:r>
          </w:p>
        </w:tc>
        <w:tc>
          <w:tcPr>
            <w:tcW w:type="dxa" w:w="737"/>
            <w:shd w:val="clear" w:color="auto" w:fill="EBF3FB"/>
          </w:tcPr>
          <w:p>
            <w:pPr>
              <w:jc w:val="center"/>
            </w:pPr>
            <w:r>
              <w:rPr>
                <w:rFonts w:ascii="Times New Roman" w:hAnsi="Times New Roman"/>
                <w:b w:val="0"/>
                <w:sz w:val="17"/>
              </w:rPr>
              <w:t>97.22</w:t>
            </w:r>
          </w:p>
        </w:tc>
      </w:tr>
      <w:tr>
        <w:tc>
          <w:tcPr>
            <w:tcW w:type="dxa" w:w="1928"/>
            <w:shd w:val="clear" w:color="auto" w:fill="FFFFFF"/>
          </w:tcPr>
          <w:p>
            <w:pPr>
              <w:jc w:val="left"/>
            </w:pPr>
            <w:r>
              <w:rPr>
                <w:rFonts w:ascii="Times New Roman" w:hAnsi="Times New Roman"/>
                <w:b w:val="0"/>
                <w:sz w:val="17"/>
              </w:rPr>
              <w:t>Avg. F1-Score (%)</w:t>
            </w:r>
          </w:p>
        </w:tc>
        <w:tc>
          <w:tcPr>
            <w:tcW w:type="dxa" w:w="794"/>
            <w:shd w:val="clear" w:color="auto" w:fill="FFFFFF"/>
          </w:tcPr>
          <w:p>
            <w:pPr>
              <w:jc w:val="center"/>
            </w:pPr>
            <w:r>
              <w:rPr>
                <w:rFonts w:ascii="Times New Roman" w:hAnsi="Times New Roman"/>
                <w:b w:val="0"/>
                <w:sz w:val="17"/>
              </w:rPr>
              <w:t>95.34</w:t>
            </w:r>
          </w:p>
        </w:tc>
        <w:tc>
          <w:tcPr>
            <w:tcW w:type="dxa" w:w="1020"/>
            <w:shd w:val="clear" w:color="auto" w:fill="C6EFCE"/>
          </w:tcPr>
          <w:p>
            <w:pPr>
              <w:jc w:val="center"/>
            </w:pPr>
            <w:r>
              <w:rPr>
                <w:rFonts w:ascii="Times New Roman" w:hAnsi="Times New Roman"/>
                <w:b/>
                <w:sz w:val="17"/>
              </w:rPr>
              <w:t>97.22</w:t>
            </w:r>
          </w:p>
        </w:tc>
        <w:tc>
          <w:tcPr>
            <w:tcW w:type="dxa" w:w="850"/>
            <w:shd w:val="clear" w:color="auto" w:fill="FFFFFF"/>
          </w:tcPr>
          <w:p>
            <w:pPr>
              <w:jc w:val="center"/>
            </w:pPr>
            <w:r>
              <w:rPr>
                <w:rFonts w:ascii="Times New Roman" w:hAnsi="Times New Roman"/>
                <w:b w:val="0"/>
                <w:sz w:val="17"/>
              </w:rPr>
              <w:t>96.30</w:t>
            </w:r>
          </w:p>
        </w:tc>
        <w:tc>
          <w:tcPr>
            <w:tcW w:type="dxa" w:w="737"/>
            <w:shd w:val="clear" w:color="auto" w:fill="FFFFFF"/>
          </w:tcPr>
          <w:p>
            <w:pPr>
              <w:jc w:val="center"/>
            </w:pPr>
            <w:r>
              <w:rPr>
                <w:rFonts w:ascii="Times New Roman" w:hAnsi="Times New Roman"/>
                <w:b w:val="0"/>
                <w:sz w:val="17"/>
              </w:rPr>
              <w:t>97.22</w:t>
            </w:r>
          </w:p>
        </w:tc>
      </w:tr>
      <w:tr>
        <w:tc>
          <w:tcPr>
            <w:tcW w:type="dxa" w:w="1928"/>
            <w:shd w:val="clear" w:color="auto" w:fill="EBF3FB"/>
          </w:tcPr>
          <w:p>
            <w:pPr>
              <w:jc w:val="left"/>
            </w:pPr>
            <w:r>
              <w:rPr>
                <w:rFonts w:ascii="Times New Roman" w:hAnsi="Times New Roman"/>
                <w:b w:val="0"/>
                <w:sz w:val="17"/>
              </w:rPr>
              <w:t>Avg. ROC AUC (%)</w:t>
            </w:r>
          </w:p>
        </w:tc>
        <w:tc>
          <w:tcPr>
            <w:tcW w:type="dxa" w:w="794"/>
            <w:shd w:val="clear" w:color="auto" w:fill="EBF3FB"/>
          </w:tcPr>
          <w:p>
            <w:pPr>
              <w:jc w:val="center"/>
            </w:pPr>
            <w:r>
              <w:rPr>
                <w:rFonts w:ascii="Times New Roman" w:hAnsi="Times New Roman"/>
                <w:b w:val="0"/>
                <w:sz w:val="17"/>
              </w:rPr>
              <w:t>99.01</w:t>
            </w:r>
          </w:p>
        </w:tc>
        <w:tc>
          <w:tcPr>
            <w:tcW w:type="dxa" w:w="1020"/>
            <w:shd w:val="clear" w:color="auto" w:fill="EBF3FB"/>
          </w:tcPr>
          <w:p>
            <w:pPr>
              <w:jc w:val="center"/>
            </w:pPr>
            <w:r>
              <w:rPr>
                <w:rFonts w:ascii="Times New Roman" w:hAnsi="Times New Roman"/>
                <w:b w:val="0"/>
                <w:sz w:val="17"/>
              </w:rPr>
              <w:t>99.50</w:t>
            </w:r>
          </w:p>
        </w:tc>
        <w:tc>
          <w:tcPr>
            <w:tcW w:type="dxa" w:w="850"/>
            <w:shd w:val="clear" w:color="auto" w:fill="C6EFCE"/>
          </w:tcPr>
          <w:p>
            <w:pPr>
              <w:jc w:val="center"/>
            </w:pPr>
            <w:r>
              <w:rPr>
                <w:rFonts w:ascii="Times New Roman" w:hAnsi="Times New Roman"/>
                <w:b/>
                <w:sz w:val="17"/>
              </w:rPr>
              <w:t>99.57</w:t>
            </w:r>
          </w:p>
        </w:tc>
        <w:tc>
          <w:tcPr>
            <w:tcW w:type="dxa" w:w="737"/>
            <w:shd w:val="clear" w:color="auto" w:fill="EBF3FB"/>
          </w:tcPr>
          <w:p>
            <w:pPr>
              <w:jc w:val="center"/>
            </w:pPr>
            <w:r>
              <w:rPr>
                <w:rFonts w:ascii="Times New Roman" w:hAnsi="Times New Roman"/>
                <w:b w:val="0"/>
                <w:sz w:val="17"/>
              </w:rPr>
              <w:t>99.11</w:t>
            </w:r>
          </w:p>
        </w:tc>
      </w:tr>
    </w:tbl>
    <w:p/>
    <w:p>
      <w:pPr>
        <w:spacing w:before="0" w:after="80" w:lineRule="exact" w:line="240"/>
        <w:ind w:firstLine="283"/>
        <w:jc w:val="both"/>
      </w:pPr>
      <w:r>
        <w:rPr>
          <w:rFonts w:ascii="Times New Roman" w:hAnsi="Times New Roman"/>
          <w:b w:val="0"/>
          <w:i w:val="0"/>
          <w:sz w:val="20"/>
        </w:rPr>
        <w:t>The Multilayer Perceptron yielded 96.84% accuracy with 95.47% precision, 95.37% recall, 95.34% F1-score, and 99.01% ROC AUC. These results confirm that the hierarchical feature representations learned by the three-layer neural architecture effectively capture non-linear structure inherent in behavioral depression indicators. Logistic Regression delivered 97.77% accuracy, 97.23% precision, 97.22% recall, 97.22% F1-score, and 99.50% ROC AUC — a notably strong result for a linear classifier, suggesting that the standardized feature space is substantially linearly separable after preprocessing. XGBoost achieved 97.59% accuracy with precision, recall, and F1-score all at 96.30% and a marginally higher ROC AUC of 99.57%, reflecting its capacity to model complex feature interaction effects through regularized gradient boosted trees. The SVM classifier attained the highest overall accuracy of 97.96% alongside 97.23% precision, 97.22% recall, 97.22% F1-score, and 99.11% ROC AUC. The RBF kernel's ability to construct maximum-margin non-linear boundaries in the high-dimensional behavioral feature space proved consistently superior across all ten cross-validation folds, confirming SVM as the optimal classifier for this depression screening application.</w:t>
      </w:r>
    </w:p>
    <w:p>
      <w:pPr>
        <w:spacing w:before="80" w:after="40"/>
        <w:jc w:val="center"/>
      </w:pPr>
      <w:r>
        <w:drawing>
          <wp:inline xmlns:a="http://schemas.openxmlformats.org/drawingml/2006/main" xmlns:pic="http://schemas.openxmlformats.org/drawingml/2006/picture">
            <wp:extent cx="2560320" cy="1280160"/>
            <wp:docPr id="3" name="Picture 3"/>
            <wp:cNvGraphicFramePr>
              <a:graphicFrameLocks noChangeAspect="1"/>
            </wp:cNvGraphicFramePr>
            <a:graphic>
              <a:graphicData uri="http://schemas.openxmlformats.org/drawingml/2006/picture">
                <pic:pic>
                  <pic:nvPicPr>
                    <pic:cNvPr id="0" name="model_comparison.png"/>
                    <pic:cNvPicPr/>
                  </pic:nvPicPr>
                  <pic:blipFill>
                    <a:blip r:embed="rId11"/>
                    <a:stretch>
                      <a:fillRect/>
                    </a:stretch>
                  </pic:blipFill>
                  <pic:spPr>
                    <a:xfrm>
                      <a:off x="0" y="0"/>
                      <a:ext cx="2560320" cy="1280160"/>
                    </a:xfrm>
                    <a:prstGeom prst="rect"/>
                  </pic:spPr>
                </pic:pic>
              </a:graphicData>
            </a:graphic>
          </wp:inline>
        </w:drawing>
      </w:r>
    </w:p>
    <w:p>
      <w:pPr>
        <w:spacing w:before="0" w:after="120"/>
        <w:jc w:val="center"/>
      </w:pPr>
      <w:r>
        <w:rPr>
          <w:rFonts w:ascii="Times New Roman" w:hAnsi="Times New Roman"/>
          <w:b w:val="0"/>
          <w:i/>
          <w:sz w:val="18"/>
        </w:rPr>
        <w:t>Fig. 3: Classification Accuracy Comparison — MLP, Logistic Regression, XGBoost, SVM</w:t>
      </w:r>
    </w:p>
    <w:p>
      <w:pPr>
        <w:spacing w:before="80" w:after="40"/>
        <w:jc w:val="center"/>
      </w:pPr>
      <w:r>
        <w:drawing>
          <wp:inline xmlns:a="http://schemas.openxmlformats.org/drawingml/2006/main" xmlns:pic="http://schemas.openxmlformats.org/drawingml/2006/picture">
            <wp:extent cx="2560320" cy="2166425"/>
            <wp:docPr id="4" name="Picture 4"/>
            <wp:cNvGraphicFramePr>
              <a:graphicFrameLocks noChangeAspect="1"/>
            </wp:cNvGraphicFramePr>
            <a:graphic>
              <a:graphicData uri="http://schemas.openxmlformats.org/drawingml/2006/picture">
                <pic:pic>
                  <pic:nvPicPr>
                    <pic:cNvPr id="0" name="confusion_matrices.png"/>
                    <pic:cNvPicPr/>
                  </pic:nvPicPr>
                  <pic:blipFill>
                    <a:blip r:embed="rId12"/>
                    <a:stretch>
                      <a:fillRect/>
                    </a:stretch>
                  </pic:blipFill>
                  <pic:spPr>
                    <a:xfrm>
                      <a:off x="0" y="0"/>
                      <a:ext cx="2560320" cy="2166425"/>
                    </a:xfrm>
                    <a:prstGeom prst="rect"/>
                  </pic:spPr>
                </pic:pic>
              </a:graphicData>
            </a:graphic>
          </wp:inline>
        </w:drawing>
      </w:r>
    </w:p>
    <w:p>
      <w:pPr>
        <w:spacing w:before="0" w:after="120"/>
        <w:jc w:val="center"/>
      </w:pPr>
      <w:r>
        <w:rPr>
          <w:rFonts w:ascii="Times New Roman" w:hAnsi="Times New Roman"/>
          <w:b w:val="0"/>
          <w:i/>
          <w:sz w:val="18"/>
        </w:rPr>
        <w:t>Fig. 4: Confusion Matrices for All Four Classifier Models</w:t>
      </w:r>
    </w:p>
    <w:p>
      <w:pPr>
        <w:spacing w:before="80" w:after="40"/>
        <w:jc w:val="center"/>
      </w:pPr>
      <w:r>
        <w:drawing>
          <wp:inline xmlns:a="http://schemas.openxmlformats.org/drawingml/2006/main" xmlns:pic="http://schemas.openxmlformats.org/drawingml/2006/picture">
            <wp:extent cx="2560320" cy="1991360"/>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2560320" cy="1991360"/>
                    </a:xfrm>
                    <a:prstGeom prst="rect"/>
                  </pic:spPr>
                </pic:pic>
              </a:graphicData>
            </a:graphic>
          </wp:inline>
        </w:drawing>
      </w:r>
    </w:p>
    <w:p>
      <w:pPr>
        <w:spacing w:before="0" w:after="120"/>
        <w:jc w:val="center"/>
      </w:pPr>
      <w:r>
        <w:rPr>
          <w:rFonts w:ascii="Times New Roman" w:hAnsi="Times New Roman"/>
          <w:b w:val="0"/>
          <w:i/>
          <w:sz w:val="18"/>
        </w:rPr>
        <w:t>Fig. 5: ROC Curves and AUC Values for All Four Models</w:t>
      </w:r>
    </w:p>
    <w:p>
      <w:pPr>
        <w:spacing w:before="80" w:after="40"/>
        <w:jc w:val="center"/>
      </w:pPr>
      <w:r>
        <w:drawing>
          <wp:inline xmlns:a="http://schemas.openxmlformats.org/drawingml/2006/main" xmlns:pic="http://schemas.openxmlformats.org/drawingml/2006/picture">
            <wp:extent cx="2560320" cy="1280160"/>
            <wp:docPr id="6" name="Picture 6"/>
            <wp:cNvGraphicFramePr>
              <a:graphicFrameLocks noChangeAspect="1"/>
            </wp:cNvGraphicFramePr>
            <a:graphic>
              <a:graphicData uri="http://schemas.openxmlformats.org/drawingml/2006/picture">
                <pic:pic>
                  <pic:nvPicPr>
                    <pic:cNvPr id="0" name="metrics_comparison.png"/>
                    <pic:cNvPicPr/>
                  </pic:nvPicPr>
                  <pic:blipFill>
                    <a:blip r:embed="rId14"/>
                    <a:stretch>
                      <a:fillRect/>
                    </a:stretch>
                  </pic:blipFill>
                  <pic:spPr>
                    <a:xfrm>
                      <a:off x="0" y="0"/>
                      <a:ext cx="2560320" cy="1280160"/>
                    </a:xfrm>
                    <a:prstGeom prst="rect"/>
                  </pic:spPr>
                </pic:pic>
              </a:graphicData>
            </a:graphic>
          </wp:inline>
        </w:drawing>
      </w:r>
    </w:p>
    <w:p>
      <w:pPr>
        <w:spacing w:before="0" w:after="120"/>
        <w:jc w:val="center"/>
      </w:pPr>
      <w:r>
        <w:rPr>
          <w:rFonts w:ascii="Times New Roman" w:hAnsi="Times New Roman"/>
          <w:b w:val="0"/>
          <w:i/>
          <w:sz w:val="18"/>
        </w:rPr>
        <w:t>Fig. 6: Multi-Metric Performance Comparison Across All Classifiers</w:t>
      </w:r>
    </w:p>
    <w:p>
      <w:pPr>
        <w:spacing w:before="0" w:after="80" w:lineRule="exact" w:line="240"/>
        <w:ind w:firstLine="283"/>
        <w:jc w:val="both"/>
      </w:pPr>
      <w:r>
        <w:rPr>
          <w:rFonts w:ascii="Times New Roman" w:hAnsi="Times New Roman"/>
          <w:b w:val="0"/>
          <w:i w:val="0"/>
          <w:sz w:val="20"/>
        </w:rPr>
        <w:t>Figure 3 illustrates the accuracy comparison across all four classifiers, with SVM leading at 97.96%, closely followed by Logistic Regression (97.77%), XGBoost (97.59%), and MLP (96.84%). The inter-model accuracy differential spans only 1.12 percentage points, indicating that the preprocessed behavioral feature space is inherently highly discriminative regardless of the chosen algorithmic paradigm. ROC AUC values exceeding 99% across all models (Figure 5) confirm near-perfect ranking-based discrimination between depressed and non-depressed students. Examination of the confusion matrices (Figure 4) reveals well-balanced false-positive and false-negative rates across all models, indicating that no classifier systematically favors a single class — a critical property for clinical screening tools where both sensitivity and specificity carry high stakes for patient welfare.</w:t>
      </w:r>
    </w:p>
    <w:p>
      <w:pPr>
        <w:spacing w:before="120" w:after="80"/>
        <w:jc w:val="center"/>
      </w:pPr>
      <w:r>
        <w:rPr>
          <w:rFonts w:ascii="Times New Roman" w:hAnsi="Times New Roman"/>
          <w:b/>
          <w:i w:val="0"/>
          <w:sz w:val="20"/>
        </w:rPr>
        <w:t>V. CONCLUSION</w:t>
      </w:r>
    </w:p>
    <w:p>
      <w:pPr>
        <w:spacing w:before="0" w:after="80" w:lineRule="exact" w:line="240"/>
        <w:ind w:firstLine="283"/>
        <w:jc w:val="both"/>
      </w:pPr>
      <w:r>
        <w:rPr>
          <w:rFonts w:ascii="Times New Roman" w:hAnsi="Times New Roman"/>
          <w:b w:val="0"/>
          <w:i w:val="0"/>
          <w:sz w:val="20"/>
        </w:rPr>
        <w:t>This paper presented a comprehensive machine learning-based depression screening framework developed from a clinically-informed behavioral survey of 539 Bangladeshi higher education students spanning 23 feature dimensions. The study established that multi-dimensional self-reported behavioral and demographic data, when subjected to a rigorous preprocessing pipeline and evaluated across four complementary supervised classifiers, yields highly reliable depression prediction models suitable for institutional mental health screening.</w:t>
      </w:r>
    </w:p>
    <w:p>
      <w:pPr>
        <w:spacing w:before="0" w:after="80" w:lineRule="exact" w:line="240"/>
        <w:ind w:firstLine="283"/>
        <w:jc w:val="both"/>
      </w:pPr>
      <w:r>
        <w:rPr>
          <w:rFonts w:ascii="Times New Roman" w:hAnsi="Times New Roman"/>
          <w:b w:val="0"/>
          <w:i w:val="0"/>
          <w:sz w:val="20"/>
        </w:rPr>
        <w:t>The SVM classifier achieved the superior overall performance at 97.96% accuracy, followed by Logistic Regression (97.77%), XGBoost (97.59%), and MLP (96.84%). All four models recorded ROC AUC values exceeding 99%, establishing clinical-grade discriminative capability across the full cross-validation cycle. These outcomes represent a meaningful contribution to the growing field of computational mental health screening and confirm the suitability of the SVM-based framework as a foundation for automated depression screening systems deployable within higher education institution counseling and mental health service infrastructures.</w:t>
      </w:r>
    </w:p>
    <w:p>
      <w:pPr>
        <w:spacing w:before="0" w:after="80" w:lineRule="exact" w:line="240"/>
        <w:ind w:firstLine="283"/>
        <w:jc w:val="both"/>
      </w:pPr>
      <w:r>
        <w:rPr>
          <w:rFonts w:ascii="Times New Roman" w:hAnsi="Times New Roman"/>
          <w:b w:val="0"/>
          <w:i w:val="0"/>
          <w:sz w:val="20"/>
        </w:rPr>
        <w:t>The study acknowledges several limitations. The 539-instance dataset, while sufficient for the present classification task, may not fully represent the heterogeneity of depression presentations across linguistically, culturally, and economically diverse student populations. Self-selection bias and questionnaire fatigue may have introduced response noise. The binary classification scheme does not differentiate depression severity levels, limiting clinical granularity.</w:t>
      </w:r>
    </w:p>
    <w:p>
      <w:pPr>
        <w:spacing w:before="0" w:after="40" w:lineRule="exact" w:line="240"/>
        <w:ind w:firstLine="0"/>
        <w:jc w:val="both"/>
      </w:pPr>
      <w:r>
        <w:rPr>
          <w:rFonts w:ascii="Times New Roman" w:hAnsi="Times New Roman"/>
          <w:b w:val="0"/>
          <w:i w:val="0"/>
          <w:sz w:val="20"/>
        </w:rPr>
        <w:t>Directions for future research include:</w:t>
      </w:r>
    </w:p>
    <w:p>
      <w:pPr>
        <w:spacing w:before="0" w:after="40" w:lineRule="exact" w:line="240"/>
        <w:ind w:left="283"/>
        <w:jc w:val="both"/>
      </w:pPr>
      <w:r>
        <w:rPr>
          <w:rFonts w:ascii="Times New Roman" w:hAnsi="Times New Roman"/>
          <w:b w:val="0"/>
          <w:i w:val="0"/>
          <w:sz w:val="20"/>
        </w:rPr>
        <w:t>- Expanding the dataset through multi-institutional longitudinal sampling across diverse geographic and socioeconomic student cohorts to improve generalizability.</w:t>
      </w:r>
    </w:p>
    <w:p>
      <w:pPr>
        <w:spacing w:before="0" w:after="40" w:lineRule="exact" w:line="240"/>
        <w:ind w:left="283"/>
        <w:jc w:val="both"/>
      </w:pPr>
      <w:r>
        <w:rPr>
          <w:rFonts w:ascii="Times New Roman" w:hAnsi="Times New Roman"/>
          <w:b w:val="0"/>
          <w:i w:val="0"/>
          <w:sz w:val="20"/>
        </w:rPr>
        <w:t>- Applying transformer-based architectures and graph neural networks to model relational and temporal dependencies among behavioral and social features.</w:t>
      </w:r>
    </w:p>
    <w:p>
      <w:pPr>
        <w:spacing w:before="0" w:after="40" w:lineRule="exact" w:line="240"/>
        <w:ind w:left="283"/>
        <w:jc w:val="both"/>
      </w:pPr>
      <w:r>
        <w:rPr>
          <w:rFonts w:ascii="Times New Roman" w:hAnsi="Times New Roman"/>
          <w:b w:val="0"/>
          <w:i w:val="0"/>
          <w:sz w:val="20"/>
        </w:rPr>
        <w:t>- Extending the binary framework to a multi-class depression severity schema (mild, moderate, severe) aligned with standardized clinical rating scales such as PHQ-9.</w:t>
      </w:r>
    </w:p>
    <w:p>
      <w:pPr>
        <w:spacing w:before="0" w:after="40" w:lineRule="exact" w:line="240"/>
        <w:ind w:left="283"/>
        <w:jc w:val="both"/>
      </w:pPr>
      <w:r>
        <w:rPr>
          <w:rFonts w:ascii="Times New Roman" w:hAnsi="Times New Roman"/>
          <w:b w:val="0"/>
          <w:i w:val="0"/>
          <w:sz w:val="20"/>
        </w:rPr>
        <w:t>- Integrating passive behavioral sensing streams including smartphone usage patterns, location mobility data, and wearable sleep metrics as complementary feature sources.</w:t>
      </w:r>
    </w:p>
    <w:p>
      <w:pPr>
        <w:spacing w:before="0" w:after="40" w:lineRule="exact" w:line="240"/>
        <w:ind w:left="283"/>
        <w:jc w:val="both"/>
      </w:pPr>
      <w:r>
        <w:rPr>
          <w:rFonts w:ascii="Times New Roman" w:hAnsi="Times New Roman"/>
          <w:b w:val="0"/>
          <w:i w:val="0"/>
          <w:sz w:val="20"/>
        </w:rPr>
        <w:t>- Developing and validating a real-time web-based screening application deployable within university mental health and student counseling service platforms.</w:t>
      </w:r>
    </w:p>
    <w:p>
      <w:pPr>
        <w:spacing w:before="120" w:after="80"/>
        <w:jc w:val="center"/>
      </w:pPr>
      <w:r>
        <w:rPr>
          <w:rFonts w:ascii="Times New Roman" w:hAnsi="Times New Roman"/>
          <w:b/>
          <w:i w:val="0"/>
          <w:sz w:val="20"/>
        </w:rPr>
        <w:t>REFERENCES</w:t>
      </w:r>
    </w:p>
    <w:p>
      <w:pPr>
        <w:spacing w:before="0" w:after="60" w:lineRule="exact" w:line="220"/>
        <w:ind w:hanging="255" w:left="255"/>
        <w:jc w:val="both"/>
      </w:pPr>
      <w:r>
        <w:rPr>
          <w:rFonts w:ascii="Times New Roman" w:hAnsi="Times New Roman"/>
          <w:b w:val="0"/>
          <w:i w:val="0"/>
          <w:sz w:val="17"/>
        </w:rPr>
        <w:t>[1] N. Mohd and Y. Yahya, "A Data Mining Approach for Prediction of Student Depression Using Logistic Regression and Artificial Neural Networks," in Proc. 12th Int. Conf. Ubiquitous Information Management and Communication (IMCOM), Langkawi, Malaysia, Jan. 2018, Article 52, pp. 1–6, doi: 10.1145/3164541.3164604.</w:t>
      </w:r>
    </w:p>
    <w:p>
      <w:pPr>
        <w:spacing w:before="0" w:after="60" w:lineRule="exact" w:line="220"/>
        <w:ind w:hanging="255" w:left="255"/>
        <w:jc w:val="both"/>
      </w:pPr>
      <w:r>
        <w:rPr>
          <w:rFonts w:ascii="Times New Roman" w:hAnsi="Times New Roman"/>
          <w:b w:val="0"/>
          <w:i w:val="0"/>
          <w:sz w:val="17"/>
        </w:rPr>
        <w:t>[2] World Health Organization, "Depression," WHO Fact Sheet, Geneva, Switzerland, 2021. [Online]. Available: https://www.who.int/news-room/fact-sheets/detail/depression</w:t>
      </w:r>
    </w:p>
    <w:p>
      <w:pPr>
        <w:spacing w:before="0" w:after="60" w:lineRule="exact" w:line="220"/>
        <w:ind w:hanging="255" w:left="255"/>
        <w:jc w:val="both"/>
      </w:pPr>
      <w:r>
        <w:rPr>
          <w:rFonts w:ascii="Times New Roman" w:hAnsi="Times New Roman"/>
          <w:b w:val="0"/>
          <w:i w:val="0"/>
          <w:sz w:val="17"/>
        </w:rPr>
        <w:t>[3] J. F. Dipnall, J. A. Pasco, M. Berk, L. J. Williams, S. Dodd, F. N. Jacka, and D. Meyer, "Fusing Data Mining, Machine Learning and Traditional Statistical Methods to Detect Biomarkers Associated with Depression," PLOS ONE, vol. 11, no. 2, p. e0148195, Feb. 2016, doi: 10.1371/journal.pone.0148195.</w:t>
      </w:r>
    </w:p>
    <w:p>
      <w:pPr>
        <w:spacing w:before="0" w:after="60" w:lineRule="exact" w:line="220"/>
        <w:ind w:hanging="255" w:left="255"/>
        <w:jc w:val="both"/>
      </w:pPr>
      <w:r>
        <w:rPr>
          <w:rFonts w:ascii="Times New Roman" w:hAnsi="Times New Roman"/>
          <w:b w:val="0"/>
          <w:i w:val="0"/>
          <w:sz w:val="17"/>
        </w:rPr>
        <w:t>[4] M. Piroomnia, R. H. Perlis, and S. Sklar, "Data Mining Approaches to Genome-Wide Association Studies of Mood Disorders," Psychiatric Genetics, vol. 22, no. 2, pp. 55–61, Apr. 2012, doi: 10.1097/YPG.0b013e32834dc424.</w:t>
      </w:r>
    </w:p>
    <w:p>
      <w:pPr>
        <w:spacing w:before="0" w:after="60" w:lineRule="exact" w:line="220"/>
        <w:ind w:hanging="255" w:left="255"/>
        <w:jc w:val="both"/>
      </w:pPr>
      <w:r>
        <w:rPr>
          <w:rFonts w:ascii="Times New Roman" w:hAnsi="Times New Roman"/>
          <w:b w:val="0"/>
          <w:i w:val="0"/>
          <w:sz w:val="17"/>
        </w:rPr>
        <w:t>[5] H. Ni, K. Chen, A. Guo, and C. Lu, "Data Mining-Based Study on Sub-Mentally Healthy States Among Residents: An Eight-Province Chinese Study," Journal of Traditional Chinese Medicine, vol. 34, no. 4, pp. 511–517, Aug. 2014.</w:t>
      </w:r>
    </w:p>
    <w:p>
      <w:pPr>
        <w:spacing w:before="0" w:after="60" w:lineRule="exact" w:line="220"/>
        <w:ind w:hanging="255" w:left="255"/>
        <w:jc w:val="both"/>
      </w:pPr>
      <w:r>
        <w:rPr>
          <w:rFonts w:ascii="Times New Roman" w:hAnsi="Times New Roman"/>
          <w:b w:val="0"/>
          <w:i w:val="0"/>
          <w:sz w:val="17"/>
        </w:rPr>
        <w:t>[6] Z. Idris, M. Othman, and M. Nazir, "Predictive Flood Detection Using a Fuzzy Logic Expert System: Design and Empirical Evaluation," Int. Journal of Enhanced Research in Science, Technology &amp; Engineering, vol. 3, no. 1, pp. 89–95, 2014.</w:t>
      </w:r>
    </w:p>
    <w:p>
      <w:pPr>
        <w:spacing w:before="0" w:after="60" w:lineRule="exact" w:line="220"/>
        <w:ind w:hanging="255" w:left="255"/>
        <w:jc w:val="both"/>
      </w:pPr>
      <w:r>
        <w:rPr>
          <w:rFonts w:ascii="Times New Roman" w:hAnsi="Times New Roman"/>
          <w:b w:val="0"/>
          <w:i w:val="0"/>
          <w:sz w:val="17"/>
        </w:rPr>
        <w:t>[7] S. M. Bae and S. A. Lee, "Predictive Modeling of Suicide Attempts Among Korean Adolescents Using Data Mining: A Nationally Representative Study," Neuropsychiatric Disease and Treatment, vol. 11, pp. 2965–2972, Nov. 2015, doi: 10.2147/NDT.S91700.</w:t>
      </w:r>
    </w:p>
    <w:p>
      <w:pPr>
        <w:spacing w:before="0" w:after="60" w:lineRule="exact" w:line="220"/>
        <w:ind w:hanging="255" w:left="255"/>
        <w:jc w:val="both"/>
      </w:pPr>
      <w:r>
        <w:rPr>
          <w:rFonts w:ascii="Times New Roman" w:hAnsi="Times New Roman"/>
          <w:b w:val="0"/>
          <w:i w:val="0"/>
          <w:sz w:val="17"/>
        </w:rPr>
        <w:t>[8] M. Deshpande and V. Rao, "Depression Detection Using Emotion-Aware Artificial Intelligence," in Proc. 2017 IEEE Int. Conf. on Intelligent Sustainable Systems (ICISS), Palladam, India, Dec. 2017, pp. 858–862, doi: 10.1109/ISS1.2017.8389299.</w:t>
      </w:r>
    </w:p>
    <w:p>
      <w:pPr>
        <w:spacing w:before="0" w:after="60" w:lineRule="exact" w:line="220"/>
        <w:ind w:hanging="255" w:left="255"/>
        <w:jc w:val="both"/>
      </w:pPr>
      <w:r>
        <w:rPr>
          <w:rFonts w:ascii="Times New Roman" w:hAnsi="Times New Roman"/>
          <w:b w:val="0"/>
          <w:i w:val="0"/>
          <w:sz w:val="17"/>
        </w:rPr>
        <w:t>[9] F. Cacheda, D. Fernandez, F. J. Novoa, and V. Carneiro, "Early Detection of Depression: Social Network Analysis and Random Forest Techniques," JMIR Mental Health, vol. 6, no. 6, Jun. 2019, doi: 10.2196/12554.</w:t>
      </w:r>
    </w:p>
    <w:p>
      <w:pPr>
        <w:spacing w:before="0" w:after="60" w:lineRule="exact" w:line="220"/>
        <w:ind w:hanging="255" w:left="255"/>
        <w:jc w:val="both"/>
      </w:pPr>
      <w:r>
        <w:rPr>
          <w:rFonts w:ascii="Times New Roman" w:hAnsi="Times New Roman"/>
          <w:b w:val="0"/>
          <w:i w:val="0"/>
          <w:sz w:val="17"/>
        </w:rPr>
        <w:t>[10] K. Shrestha, "Machine Learning for Depression Diagnosis Using Twitter Data: A Comparative Review," Int. Journal of Computer Engineering in Research Trends, vol. 5, no. 2, pp. 32–38, Feb. 2018.</w:t>
      </w:r>
    </w:p>
    <w:p>
      <w:pPr>
        <w:spacing w:before="0" w:after="60" w:lineRule="exact" w:line="220"/>
        <w:ind w:hanging="255" w:left="255"/>
        <w:jc w:val="both"/>
      </w:pPr>
      <w:r>
        <w:rPr>
          <w:rFonts w:ascii="Times New Roman" w:hAnsi="Times New Roman"/>
          <w:b w:val="0"/>
          <w:i w:val="0"/>
          <w:sz w:val="17"/>
        </w:rPr>
        <w:t>[11] G. B. Huang, Q. Y. Zhu, and C. K. Siew, "Extreme Learning Machine: A New Learning Scheme of Feedforward Neural Networks," in Proc. IEEE Int. Joint Conf. on Neural Networks (IJCNN), Budapest, Hungary, 2004, vol. 2, pp. 985–990, doi: 10.1109/IJCNN.2004.1380068.</w:t>
      </w:r>
    </w:p>
    <w:p>
      <w:pPr>
        <w:spacing w:before="0" w:after="60" w:lineRule="exact" w:line="220"/>
        <w:ind w:hanging="255" w:left="255"/>
        <w:jc w:val="both"/>
      </w:pPr>
      <w:r>
        <w:rPr>
          <w:rFonts w:ascii="Times New Roman" w:hAnsi="Times New Roman"/>
          <w:b w:val="0"/>
          <w:i w:val="0"/>
          <w:sz w:val="17"/>
        </w:rPr>
        <w:t>[12] F. Jimenez, G. Sanchez, J. M. Garcia, G. Sciavicco, and L. Miralles, "Multi-Objective Evolutionary Rule-Based Classification with Nominal Data," Entropy, vol. 20, no. 12, p. 951, Dec. 2018, doi: 10.3390/e20120951.</w:t>
      </w:r>
    </w:p>
    <w:p>
      <w:pPr>
        <w:spacing w:before="0" w:after="60" w:lineRule="exact" w:line="220"/>
        <w:ind w:hanging="255" w:left="255"/>
        <w:jc w:val="both"/>
      </w:pPr>
      <w:r>
        <w:rPr>
          <w:rFonts w:ascii="Times New Roman" w:hAnsi="Times New Roman"/>
          <w:b w:val="0"/>
          <w:i w:val="0"/>
          <w:sz w:val="17"/>
        </w:rPr>
        <w:t>[13] M. Sokolova and G. Lapalme, "A Systematic Analysis of Performance Measures for Classification Tasks," Information Processing &amp; Management, vol. 45, no. 4, pp. 427–437, Jul. 2009, doi: 10.1016/j.ipm.2009.03.002.</w:t>
      </w:r>
    </w:p>
    <w:p>
      <w:pPr>
        <w:spacing w:before="0" w:after="60" w:lineRule="exact" w:line="220"/>
        <w:ind w:hanging="255" w:left="255"/>
        <w:jc w:val="both"/>
      </w:pPr>
      <w:r>
        <w:rPr>
          <w:rFonts w:ascii="Times New Roman" w:hAnsi="Times New Roman"/>
          <w:b w:val="0"/>
          <w:i w:val="0"/>
          <w:sz w:val="17"/>
        </w:rPr>
        <w:t>[14] T. Chen and C. Guestrin, "XGBoost: A Scalable Tree Boosting System," in Proc. 22nd ACM SIGKDD Int. Conf. on Knowledge Discovery and Data Mining, San Francisco, CA, USA, Aug. 2016, pp. 785–794, doi: 10.1145/2939672.2939785.</w:t>
      </w:r>
    </w:p>
    <w:p>
      <w:pPr>
        <w:spacing w:before="0" w:after="60" w:lineRule="exact" w:line="220"/>
        <w:ind w:hanging="255" w:left="255"/>
        <w:jc w:val="both"/>
      </w:pPr>
      <w:r>
        <w:rPr>
          <w:rFonts w:ascii="Times New Roman" w:hAnsi="Times New Roman"/>
          <w:b w:val="0"/>
          <w:i w:val="0"/>
          <w:sz w:val="17"/>
        </w:rPr>
        <w:t>[15] D. M. W. Powers, "Evaluation: From Precision, Recall and F-Measure to ROC, Informedness, Markedness and Correlation," Journal of Machine Learning Technologies, vol. 2, no. 1, pp. 37–63, 2011.</w:t>
      </w:r>
    </w:p>
    <w:p>
      <w:pPr>
        <w:spacing w:before="0" w:after="60" w:lineRule="exact" w:line="220"/>
        <w:ind w:hanging="255" w:left="255"/>
        <w:jc w:val="both"/>
      </w:pPr>
      <w:r>
        <w:rPr>
          <w:rFonts w:ascii="Times New Roman" w:hAnsi="Times New Roman"/>
          <w:b w:val="0"/>
          <w:i w:val="0"/>
          <w:sz w:val="17"/>
        </w:rPr>
        <w:t>[16] B. E. Boser, I. M. Guyon, and V. N. Vapnik, "A Training Algorithm for Optimal Margin Classifiers," in Proc. 5th Annual Workshop on Computational Learning Theory (COLT), Pittsburgh, PA, USA, 1992, pp. 144–152, doi: 10.1145/130385.130401.</w:t>
      </w:r>
    </w:p>
    <w:sectPr w:rsidR="00FC693F" w:rsidRPr="0006063C" w:rsidSect="00034616">
      <w:type w:val="continuous"/>
      <w:pgSz w:w="11906" w:h="16838"/>
      <w:pgMar w:top="1134" w:right="1020" w:bottom="1134" w:left="1020" w:header="720" w:footer="720" w:gutter="0"/>
      <w:docGrid w:linePitch="360"/>
      <w:cols w:num="2" w:space="36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