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60" w:before="280"/>
      </w:pPr>
      <w:r>
        <w:rPr>
          <w:rFonts w:ascii="Times New Roman" w:cs="Times New Roman" w:eastAsia="Times New Roman" w:hAnsi="Times New Roman"/>
          <w:b/>
          <w:bCs/>
          <w:i w:val="false"/>
          <w:iCs w:val="false"/>
          <w:sz w:val="24"/>
          <w:szCs w:val="24"/>
        </w:rPr>
        <w:t xml:space="preserve">5.4.4 Proof-of-Concept Implementation</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The three components described in Sections 5.4.1 through 5.4.3 have been implemented as a minimal proof-of-concept to demonstrate that the proposed architecture is technically feasible and not merely theoretical. The implementation consists of three files corresponding to each component, provided as an appendix to this thesis.</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The proof-of-concept does not constitute a production-ready system — it is a demonstration of the core logic of each component in isolation, sufficient to validate the architectural assumptions and illustrate how the components would interact in practice. The implementation language is Python for the QIE and CAPE components, and YAML for the OSL metric definitions, reflecting the technology choices most natural to each component's role.</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160" w:before="0" w:line="360"/>
        <w:ind w:firstLine="720"/>
        <w:jc w:val="both"/>
      </w:pPr>
      <w:r>
        <w:rPr>
          <w:rFonts w:ascii="Times New Roman" w:cs="Times New Roman" w:eastAsia="Times New Roman" w:hAnsi="Times New Roman"/>
          <w:b/>
          <w:bCs/>
          <w:i w:val="false"/>
          <w:iCs w:val="false"/>
          <w:sz w:val="24"/>
          <w:szCs w:val="24"/>
        </w:rPr>
        <w:t xml:space="preserve">Open Semantic Layer — </w:t>
      </w:r>
      <w:r>
        <w:rPr>
          <w:rFonts w:ascii="Times New Roman" w:cs="Times New Roman" w:eastAsia="Times New Roman" w:hAnsi="Times New Roman"/>
          <w:b w:val="false"/>
          <w:bCs w:val="false"/>
          <w:i w:val="false"/>
          <w:iCs w:val="false"/>
          <w:sz w:val="24"/>
          <w:szCs w:val="24"/>
        </w:rPr>
        <w:t xml:space="preserve">metrics.yaml</w:t>
      </w:r>
      <w:r>
        <w:rPr>
          <w:rFonts w:ascii="Times New Roman" w:cs="Times New Roman" w:eastAsia="Times New Roman" w:hAnsi="Times New Roman"/>
          <w:b w:val="false"/>
          <w:bCs w:val="false"/>
          <w:i w:val="false"/>
          <w:iCs w:val="false"/>
          <w:sz w:val="24"/>
          <w:szCs w:val="24"/>
        </w:rPr>
        <w:t xml:space="preserve">. The OSL is implemented as a YAML configuration file containing three representative metric definitions: monthly_recurring_revenue, fraud_rate, and active_merchants. Each definition includes the canonical SQL calculation, the owning team, a freshness SLA, a confidence level, and any pending changes under review. This format is designed to be stored in a Git repository and consumed via API by connected visualization tools. The third metric (active_merchants) deliberately includes a pending pull request changing the calculation window from 14 to 30 days, illustrating how the OSL handles metric evolution — the change is visible to all teams before it takes effect, and all tools will receive the updated definition automatically after the PR is merged and reviewed.</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160" w:before="0" w:line="360"/>
        <w:ind w:firstLine="720"/>
        <w:jc w:val="both"/>
      </w:pPr>
      <w:r>
        <w:rPr>
          <w:rFonts w:ascii="Times New Roman" w:cs="Times New Roman" w:eastAsia="Times New Roman" w:hAnsi="Times New Roman"/>
          <w:b/>
          <w:bCs/>
          <w:i w:val="false"/>
          <w:iCs w:val="false"/>
          <w:sz w:val="24"/>
          <w:szCs w:val="24"/>
        </w:rPr>
        <w:t xml:space="preserve">Query Intelligence Engine — </w:t>
      </w:r>
      <w:r>
        <w:rPr>
          <w:rFonts w:ascii="Times New Roman" w:cs="Times New Roman" w:eastAsia="Times New Roman" w:hAnsi="Times New Roman"/>
          <w:b w:val="false"/>
          <w:bCs w:val="false"/>
          <w:i w:val="false"/>
          <w:iCs w:val="false"/>
          <w:sz w:val="24"/>
          <w:szCs w:val="24"/>
        </w:rPr>
        <w:t xml:space="preserve">qie_engine.py</w:t>
      </w:r>
      <w:r>
        <w:rPr>
          <w:rFonts w:ascii="Times New Roman" w:cs="Times New Roman" w:eastAsia="Times New Roman" w:hAnsi="Times New Roman"/>
          <w:b w:val="false"/>
          <w:bCs w:val="false"/>
          <w:i w:val="false"/>
          <w:iCs w:val="false"/>
          <w:sz w:val="24"/>
          <w:szCs w:val="24"/>
        </w:rPr>
        <w:t xml:space="preserve">. The QIE is implemented as a Python class with three primary methods: estimate(), execute(), and materialization_candidates(). The estimate() method analyses a SQL query prior to execution, returning a QueryEstimate dataclass that includes projected row count, estimated execution time, whether a partition filter is present, and a list of plain-language optimization suggestions. If the estimated execution time exceeds five seconds, the engine surfaces a warning message to the user interface before the query runs. The execute() method runs the query, caches the result, and returns a QueryResult dataclass that includes actual execution time, rows scanned, data freshness in minutes, and confidence level drawn from the OSL registry. The slow_queries() and materialization_candidates() methods support the administrator analytics layer described in Section 5.4.2.</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160" w:before="0" w:line="360"/>
        <w:ind w:firstLine="720"/>
        <w:jc w:val="both"/>
      </w:pPr>
      <w:r>
        <w:rPr>
          <w:rFonts w:ascii="Times New Roman" w:cs="Times New Roman" w:eastAsia="Times New Roman" w:hAnsi="Times New Roman"/>
          <w:b/>
          <w:bCs/>
          <w:i w:val="false"/>
          <w:iCs w:val="false"/>
          <w:sz w:val="24"/>
          <w:szCs w:val="24"/>
        </w:rPr>
        <w:t xml:space="preserve">Context-Adaptive Presentation Engine — </w:t>
      </w:r>
      <w:r>
        <w:rPr>
          <w:rFonts w:ascii="Times New Roman" w:cs="Times New Roman" w:eastAsia="Times New Roman" w:hAnsi="Times New Roman"/>
          <w:b w:val="false"/>
          <w:bCs w:val="false"/>
          <w:i w:val="false"/>
          <w:iCs w:val="false"/>
          <w:sz w:val="24"/>
          <w:szCs w:val="24"/>
        </w:rPr>
        <w:t xml:space="preserve">cape_profiles.py</w:t>
      </w:r>
      <w:r>
        <w:rPr>
          <w:rFonts w:ascii="Times New Roman" w:cs="Times New Roman" w:eastAsia="Times New Roman" w:hAnsi="Times New Roman"/>
          <w:b w:val="false"/>
          <w:bCs w:val="false"/>
          <w:i w:val="false"/>
          <w:iCs w:val="false"/>
          <w:sz w:val="24"/>
          <w:szCs w:val="24"/>
        </w:rPr>
        <w:t xml:space="preserve">. The CAPE is implemented as two cooperating classes: UserContext and ContextAdaptivePresentationEngine. The UserContext class maintains a behaviour log of recent user actions (SQL queries, natural language queries, dashboard views, exports) and infers the appropriate interface profile from the distribution of those actions over the most recent 50 interactions. Explicit profile overrides by the user always take precedence over inferred assignments. The ContextAdaptivePresentationEngine class maps each profile to a DashboardConfig dataclass specifying which interface elements are enabled: SQL editor, NLQ bar, statistical functions, raw metric SQL display, export button, chart suggestions, freshness display prominence, and filter complexity. The suggest_profile_change() method compares the user's current profile to the inferred profile and surfaces a recommendation when the two diverge.</w:t>
      </w:r>
    </w:p>
    <w:p>
      <w:pPr>
        <w:spacing w:after="160" w:before="0"/>
      </w:pPr>
      <w:r>
        <w:rPr>
          <w:rFonts w:ascii="Times New Roman" w:cs="Times New Roman" w:eastAsia="Times New Roman" w:hAnsi="Times New Roman"/>
          <w:b w:val="false"/>
          <w:bCs w:val="false"/>
          <w:i w:val="false"/>
          <w:iCs w:val="false"/>
          <w:sz w:val="24"/>
          <w:szCs w:val="24"/>
        </w:rPr>
        <w:t xml:space="preserve"/>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Table 5.2 summarizes the three files and their relationship to the design requirements established in Section 5.2.</w:t>
      </w:r>
    </w:p>
    <w:p>
      <w:pPr>
        <w:spacing w:after="120" w:before="0"/>
      </w:pPr>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1826"/>
      </w:tblGrid>
      <w:tr>
        <w:tc>
          <w:tcPr>
            <w:tcW w:type="dxa" w:w="1800"/>
            <w:tcBorders>
              <w:top w:val="single" w:color="4472C4" w:sz="4"/>
              <w:left w:val="single" w:color="4472C4" w:sz="4"/>
              <w:bottom w:val="single" w:color="4472C4" w:sz="8"/>
              <w:right w:val="single" w:color="4472C4" w:sz="4"/>
            </w:tcBorders>
            <w:shd w:fill="D6E4F7" w:val="clear"/>
            <w:tcMar>
              <w:top w:type="dxa" w:w="80"/>
              <w:left w:type="dxa" w:w="120"/>
              <w:bottom w:type="dxa" w:w="80"/>
              <w:right w:type="dxa" w:w="120"/>
            </w:tcMar>
          </w:tcPr>
          <w:p>
            <w:pPr>
              <w:spacing w:after="40" w:before="40" w:line="240"/>
            </w:pPr>
            <w:r>
              <w:rPr>
                <w:rFonts w:ascii="Times New Roman" w:cs="Times New Roman" w:eastAsia="Times New Roman" w:hAnsi="Times New Roman"/>
                <w:b/>
                <w:bCs/>
                <w:sz w:val="20"/>
                <w:szCs w:val="20"/>
              </w:rPr>
              <w:t xml:space="preserve">File</w:t>
            </w:r>
          </w:p>
        </w:tc>
        <w:tc>
          <w:tcPr>
            <w:tcW w:type="dxa" w:w="2400"/>
            <w:tcBorders>
              <w:top w:val="single" w:color="4472C4" w:sz="4"/>
              <w:left w:val="single" w:color="4472C4" w:sz="4"/>
              <w:bottom w:val="single" w:color="4472C4" w:sz="8"/>
              <w:right w:val="single" w:color="4472C4" w:sz="4"/>
            </w:tcBorders>
            <w:shd w:fill="D6E4F7" w:val="clear"/>
            <w:tcMar>
              <w:top w:type="dxa" w:w="80"/>
              <w:left w:type="dxa" w:w="120"/>
              <w:bottom w:type="dxa" w:w="80"/>
              <w:right w:type="dxa" w:w="120"/>
            </w:tcMar>
          </w:tcPr>
          <w:p>
            <w:pPr>
              <w:spacing w:after="40" w:before="40" w:line="240"/>
            </w:pPr>
            <w:r>
              <w:rPr>
                <w:rFonts w:ascii="Times New Roman" w:cs="Times New Roman" w:eastAsia="Times New Roman" w:hAnsi="Times New Roman"/>
                <w:b/>
                <w:bCs/>
                <w:sz w:val="20"/>
                <w:szCs w:val="20"/>
              </w:rPr>
              <w:t xml:space="preserve">Component</w:t>
            </w:r>
          </w:p>
        </w:tc>
        <w:tc>
          <w:tcPr>
            <w:tcW w:type="dxa" w:w="3000"/>
            <w:tcBorders>
              <w:top w:val="single" w:color="4472C4" w:sz="4"/>
              <w:left w:val="single" w:color="4472C4" w:sz="4"/>
              <w:bottom w:val="single" w:color="4472C4" w:sz="8"/>
              <w:right w:val="single" w:color="4472C4" w:sz="4"/>
            </w:tcBorders>
            <w:shd w:fill="D6E4F7" w:val="clear"/>
            <w:tcMar>
              <w:top w:type="dxa" w:w="80"/>
              <w:left w:type="dxa" w:w="120"/>
              <w:bottom w:type="dxa" w:w="80"/>
              <w:right w:type="dxa" w:w="120"/>
            </w:tcMar>
          </w:tcPr>
          <w:p>
            <w:pPr>
              <w:spacing w:after="40" w:before="40" w:line="240"/>
            </w:pPr>
            <w:r>
              <w:rPr>
                <w:rFonts w:ascii="Times New Roman" w:cs="Times New Roman" w:eastAsia="Times New Roman" w:hAnsi="Times New Roman"/>
                <w:b/>
                <w:bCs/>
                <w:sz w:val="20"/>
                <w:szCs w:val="20"/>
              </w:rPr>
              <w:t xml:space="preserve">Requirement addressed</w:t>
            </w:r>
          </w:p>
        </w:tc>
        <w:tc>
          <w:tcPr>
            <w:tcW w:type="dxa" w:w="1826"/>
            <w:tcBorders>
              <w:top w:val="single" w:color="4472C4" w:sz="4"/>
              <w:left w:val="single" w:color="4472C4" w:sz="4"/>
              <w:bottom w:val="single" w:color="4472C4" w:sz="8"/>
              <w:right w:val="single" w:color="4472C4" w:sz="4"/>
            </w:tcBorders>
            <w:shd w:fill="D6E4F7" w:val="clear"/>
            <w:tcMar>
              <w:top w:type="dxa" w:w="80"/>
              <w:left w:type="dxa" w:w="120"/>
              <w:bottom w:type="dxa" w:w="80"/>
              <w:right w:type="dxa" w:w="120"/>
            </w:tcMar>
          </w:tcPr>
          <w:p>
            <w:pPr>
              <w:spacing w:after="40" w:before="40" w:line="240"/>
            </w:pPr>
            <w:r>
              <w:rPr>
                <w:rFonts w:ascii="Times New Roman" w:cs="Times New Roman" w:eastAsia="Times New Roman" w:hAnsi="Times New Roman"/>
                <w:b/>
                <w:bCs/>
                <w:sz w:val="20"/>
                <w:szCs w:val="20"/>
              </w:rPr>
              <w:t xml:space="preserve">Lines of code</w:t>
            </w:r>
          </w:p>
        </w:tc>
      </w:tr>
      <w:tr>
        <w:tc>
          <w:tcPr>
            <w:tcW w:type="dxa" w:w="18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metrics.yaml</w:t>
            </w:r>
          </w:p>
        </w:tc>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Open Semantic Layer (OSL)</w:t>
            </w:r>
          </w:p>
        </w:tc>
        <w:tc>
          <w:tcPr>
            <w:tcW w:type="dxa" w:w="3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R1: Semantic portability; R5: Data quality surfacing</w:t>
            </w:r>
          </w:p>
        </w:tc>
        <w:tc>
          <w:tcPr>
            <w:tcW w:type="dxa" w:w="1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~70</w:t>
            </w:r>
          </w:p>
        </w:tc>
      </w:tr>
      <w:tr>
        <w:tc>
          <w:tcPr>
            <w:tcW w:type="dxa" w:w="18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qie_engine.py</w:t>
            </w:r>
          </w:p>
        </w:tc>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Query Intelligence Engine (QIE)</w:t>
            </w:r>
          </w:p>
        </w:tc>
        <w:tc>
          <w:tcPr>
            <w:tcW w:type="dxa" w:w="3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R2: Performance transparency</w:t>
            </w:r>
          </w:p>
        </w:tc>
        <w:tc>
          <w:tcPr>
            <w:tcW w:type="dxa" w:w="1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~150</w:t>
            </w:r>
          </w:p>
        </w:tc>
      </w:tr>
      <w:tr>
        <w:tc>
          <w:tcPr>
            <w:tcW w:type="dxa" w:w="18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cape_profiles.py</w:t>
            </w:r>
          </w:p>
        </w:tc>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Context-Adaptive Presentation Engine (CAPE)</w:t>
            </w:r>
          </w:p>
        </w:tc>
        <w:tc>
          <w:tcPr>
            <w:tcW w:type="dxa" w:w="3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R3: Context-adaptive interface</w:t>
            </w:r>
          </w:p>
        </w:tc>
        <w:tc>
          <w:tcPr>
            <w:tcW w:type="dxa" w:w="1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tcPr>
          <w:p>
            <w:pPr>
              <w:spacing w:after="40" w:before="40" w:line="240"/>
            </w:pPr>
            <w:r>
              <w:rPr>
                <w:rFonts w:ascii="Times New Roman" w:cs="Times New Roman" w:eastAsia="Times New Roman" w:hAnsi="Times New Roman"/>
                <w:b w:val="false"/>
                <w:bCs w:val="false"/>
                <w:sz w:val="20"/>
                <w:szCs w:val="20"/>
              </w:rPr>
              <w:t xml:space="preserve">~120</w:t>
            </w:r>
          </w:p>
        </w:tc>
      </w:tr>
    </w:tbl>
    <w:p>
      <w:pPr>
        <w:spacing w:after="240" w:before="120"/>
        <w:jc w:val="center"/>
      </w:pPr>
      <w:r>
        <w:rPr>
          <w:rFonts w:ascii="Times New Roman" w:cs="Times New Roman" w:eastAsia="Times New Roman" w:hAnsi="Times New Roman"/>
          <w:b w:val="false"/>
          <w:bCs w:val="false"/>
          <w:i/>
          <w:iCs/>
          <w:sz w:val="22"/>
          <w:szCs w:val="22"/>
        </w:rPr>
        <w:t xml:space="preserve">Table 5.2: Proof-of-concept implementation files. Source: Author's development</w:t>
      </w:r>
    </w:p>
    <w:p>
      <w:pPr>
        <w:spacing w:after="160" w:before="0"/>
      </w:pPr>
      <w:r>
        <w:rPr>
          <w:rFonts w:ascii="Times New Roman" w:cs="Times New Roman" w:eastAsia="Times New Roman" w:hAnsi="Times New Roman"/>
          <w:b w:val="false"/>
          <w:bCs w:val="false"/>
          <w:i w:val="false"/>
          <w:iCs w:val="false"/>
          <w:sz w:val="24"/>
          <w:szCs w:val="24"/>
        </w:rPr>
        <w:t xml:space="preserve"/>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The following extract from qie_engine.py illustrates the pre-execution estimation logic. The estimate() method calls three private helpers — _estimate_row_count(), _estimate_seconds(), and _generate_suggestions() — to produce a QueryEstimate with a plain_language_warning() that can be surfaced directly in the visualization interface:</w:t>
      </w:r>
    </w:p>
    <w:p>
      <w:pPr>
        <w:spacing w:after="80" w:before="0"/>
      </w:pPr>
      <w:r>
        <w:rPr>
          <w:rFonts w:ascii="Times New Roman" w:cs="Times New Roman" w:eastAsia="Times New Roman" w:hAnsi="Times New Roman"/>
          <w:b w:val="false"/>
          <w:bCs w:val="false"/>
          <w:i w:val="false"/>
          <w:iCs w:val="false"/>
          <w:sz w:val="24"/>
          <w:szCs w:val="24"/>
        </w:rPr>
        <w:t xml:space="preserve"/>
      </w:r>
    </w:p>
    <w:p>
      <w:pPr>
        <w:spacing w:after="60" w:before="0" w:line="240"/>
        <w:ind w:left="720"/>
        <w:jc w:val="left"/>
      </w:pPr>
      <w:r>
        <w:rPr>
          <w:rFonts w:ascii="Courier New" w:cs="Courier New" w:eastAsia="Courier New" w:hAnsi="Courier New"/>
          <w:sz w:val="20"/>
          <w:szCs w:val="20"/>
        </w:rPr>
        <w:t xml:space="preserve">def estimate(self, sql: str) -&gt; QueryEstimate:</w:t>
      </w:r>
    </w:p>
    <w:p>
      <w:pPr>
        <w:spacing w:after="60" w:before="0" w:line="240"/>
        <w:ind w:left="720"/>
        <w:jc w:val="left"/>
      </w:pPr>
      <w:r>
        <w:rPr>
          <w:rFonts w:ascii="Courier New" w:cs="Courier New" w:eastAsia="Courier New" w:hAnsi="Courier New"/>
          <w:sz w:val="20"/>
          <w:szCs w:val="20"/>
        </w:rPr>
        <w:t xml:space="preserve">    rows    = self._estimate_row_count(sql)</w:t>
      </w:r>
    </w:p>
    <w:p>
      <w:pPr>
        <w:spacing w:after="60" w:before="0" w:line="240"/>
        <w:ind w:left="720"/>
        <w:jc w:val="left"/>
      </w:pPr>
      <w:r>
        <w:rPr>
          <w:rFonts w:ascii="Courier New" w:cs="Courier New" w:eastAsia="Courier New" w:hAnsi="Courier New"/>
          <w:sz w:val="20"/>
          <w:szCs w:val="20"/>
        </w:rPr>
        <w:t xml:space="preserve">    seconds = self._estimate_seconds(rows)</w:t>
      </w:r>
    </w:p>
    <w:p>
      <w:pPr>
        <w:spacing w:after="60" w:before="0" w:line="240"/>
        <w:ind w:left="720"/>
        <w:jc w:val="left"/>
      </w:pPr>
      <w:r>
        <w:rPr>
          <w:rFonts w:ascii="Courier New" w:cs="Courier New" w:eastAsia="Courier New" w:hAnsi="Courier New"/>
          <w:sz w:val="20"/>
          <w:szCs w:val="20"/>
        </w:rPr>
        <w:t xml:space="preserve">    partition = self._has_partition_filter(sql)</w:t>
      </w:r>
    </w:p>
    <w:p>
      <w:pPr>
        <w:spacing w:after="60" w:before="0" w:line="240"/>
        <w:ind w:left="720"/>
        <w:jc w:val="left"/>
      </w:pPr>
      <w:r>
        <w:rPr>
          <w:rFonts w:ascii="Courier New" w:cs="Courier New" w:eastAsia="Courier New" w:hAnsi="Courier New"/>
          <w:sz w:val="20"/>
          <w:szCs w:val="20"/>
        </w:rPr>
        <w:t xml:space="preserve">    suggestions = self._generate_suggestions(sql, rows, partition)</w:t>
      </w:r>
    </w:p>
    <w:p>
      <w:pPr>
        <w:spacing w:after="60" w:before="0" w:line="240"/>
        <w:ind w:left="720"/>
        <w:jc w:val="left"/>
      </w:pPr>
      <w:r>
        <w:rPr>
          <w:rFonts w:ascii="Courier New" w:cs="Courier New" w:eastAsia="Courier New" w:hAnsi="Courier New"/>
          <w:sz w:val="20"/>
          <w:szCs w:val="20"/>
        </w:rPr>
        <w:t xml:space="preserve">    return QueryEstimate(</w:t>
      </w:r>
    </w:p>
    <w:p>
      <w:pPr>
        <w:spacing w:after="60" w:before="0" w:line="240"/>
        <w:ind w:left="720"/>
        <w:jc w:val="left"/>
      </w:pPr>
      <w:r>
        <w:rPr>
          <w:rFonts w:ascii="Courier New" w:cs="Courier New" w:eastAsia="Courier New" w:hAnsi="Courier New"/>
          <w:sz w:val="20"/>
          <w:szCs w:val="20"/>
        </w:rPr>
        <w:t xml:space="preserve">        rows_to_scan=rows,</w:t>
      </w:r>
    </w:p>
    <w:p>
      <w:pPr>
        <w:spacing w:after="60" w:before="0" w:line="240"/>
        <w:ind w:left="720"/>
        <w:jc w:val="left"/>
      </w:pPr>
      <w:r>
        <w:rPr>
          <w:rFonts w:ascii="Courier New" w:cs="Courier New" w:eastAsia="Courier New" w:hAnsi="Courier New"/>
          <w:sz w:val="20"/>
          <w:szCs w:val="20"/>
        </w:rPr>
        <w:t xml:space="preserve">        estimated_seconds=seconds,</w:t>
      </w:r>
    </w:p>
    <w:p>
      <w:pPr>
        <w:spacing w:after="60" w:before="0" w:line="240"/>
        <w:ind w:left="720"/>
        <w:jc w:val="left"/>
      </w:pPr>
      <w:r>
        <w:rPr>
          <w:rFonts w:ascii="Courier New" w:cs="Courier New" w:eastAsia="Courier New" w:hAnsi="Courier New"/>
          <w:sz w:val="20"/>
          <w:szCs w:val="20"/>
        </w:rPr>
        <w:t xml:space="preserve">        cache_hit=self._is_cached(sql),</w:t>
      </w:r>
    </w:p>
    <w:p>
      <w:pPr>
        <w:spacing w:after="60" w:before="0" w:line="240"/>
        <w:ind w:left="720"/>
        <w:jc w:val="left"/>
      </w:pPr>
      <w:r>
        <w:rPr>
          <w:rFonts w:ascii="Courier New" w:cs="Courier New" w:eastAsia="Courier New" w:hAnsi="Courier New"/>
          <w:sz w:val="20"/>
          <w:szCs w:val="20"/>
        </w:rPr>
        <w:t xml:space="preserve">        partition_used=partition,</w:t>
      </w:r>
    </w:p>
    <w:p>
      <w:pPr>
        <w:spacing w:after="60" w:before="0" w:line="240"/>
        <w:ind w:left="720"/>
        <w:jc w:val="left"/>
      </w:pPr>
      <w:r>
        <w:rPr>
          <w:rFonts w:ascii="Courier New" w:cs="Courier New" w:eastAsia="Courier New" w:hAnsi="Courier New"/>
          <w:sz w:val="20"/>
          <w:szCs w:val="20"/>
        </w:rPr>
        <w:t xml:space="preserve">        suggestions=suggestions,</w:t>
      </w:r>
    </w:p>
    <w:p>
      <w:pPr>
        <w:spacing w:after="60" w:before="0" w:line="240"/>
        <w:ind w:left="720"/>
        <w:jc w:val="left"/>
      </w:pPr>
      <w:r>
        <w:rPr>
          <w:rFonts w:ascii="Courier New" w:cs="Courier New" w:eastAsia="Courier New" w:hAnsi="Courier New"/>
          <w:sz w:val="20"/>
          <w:szCs w:val="20"/>
        </w:rPr>
        <w:t xml:space="preserve">    )</w:t>
      </w:r>
    </w:p>
    <w:p>
      <w:pPr>
        <w:spacing w:after="160" w:before="0"/>
      </w:pPr>
      <w:r>
        <w:rPr>
          <w:rFonts w:ascii="Times New Roman" w:cs="Times New Roman" w:eastAsia="Times New Roman" w:hAnsi="Times New Roman"/>
          <w:b w:val="false"/>
          <w:bCs w:val="false"/>
          <w:i w:val="false"/>
          <w:iCs w:val="false"/>
          <w:sz w:val="24"/>
          <w:szCs w:val="24"/>
        </w:rPr>
        <w:t xml:space="preserve"/>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And the following extract from cape_profiles.py shows how the CAPE infers a profile from user behaviour, with explicit overrides taking precedence:</w:t>
      </w:r>
    </w:p>
    <w:p>
      <w:pPr>
        <w:spacing w:after="80" w:before="0"/>
      </w:pPr>
      <w:r>
        <w:rPr>
          <w:rFonts w:ascii="Times New Roman" w:cs="Times New Roman" w:eastAsia="Times New Roman" w:hAnsi="Times New Roman"/>
          <w:b w:val="false"/>
          <w:bCs w:val="false"/>
          <w:i w:val="false"/>
          <w:iCs w:val="false"/>
          <w:sz w:val="24"/>
          <w:szCs w:val="24"/>
        </w:rPr>
        <w:t xml:space="preserve"/>
      </w:r>
    </w:p>
    <w:p>
      <w:pPr>
        <w:spacing w:after="60" w:before="0" w:line="240"/>
        <w:ind w:left="720"/>
        <w:jc w:val="left"/>
      </w:pPr>
      <w:r>
        <w:rPr>
          <w:rFonts w:ascii="Courier New" w:cs="Courier New" w:eastAsia="Courier New" w:hAnsi="Courier New"/>
          <w:sz w:val="20"/>
          <w:szCs w:val="20"/>
        </w:rPr>
        <w:t xml:space="preserve">def _infer_profile(self) -&gt; InterfaceProfile:</w:t>
      </w:r>
    </w:p>
    <w:p>
      <w:pPr>
        <w:spacing w:after="60" w:before="0" w:line="240"/>
        <w:ind w:left="720"/>
        <w:jc w:val="left"/>
      </w:pPr>
      <w:r>
        <w:rPr>
          <w:rFonts w:ascii="Courier New" w:cs="Courier New" w:eastAsia="Courier New" w:hAnsi="Courier New"/>
          <w:sz w:val="20"/>
          <w:szCs w:val="20"/>
        </w:rPr>
        <w:t xml:space="preserve">    actions    = [s.action for s in self.behaviour_log[-50:]]</w:t>
      </w:r>
    </w:p>
    <w:p>
      <w:pPr>
        <w:spacing w:after="60" w:before="0" w:line="240"/>
        <w:ind w:left="720"/>
        <w:jc w:val="left"/>
      </w:pPr>
      <w:r>
        <w:rPr>
          <w:rFonts w:ascii="Courier New" w:cs="Courier New" w:eastAsia="Courier New" w:hAnsi="Courier New"/>
          <w:sz w:val="20"/>
          <w:szCs w:val="20"/>
        </w:rPr>
        <w:t xml:space="preserve">    sql_ratio  = actions.count("sql_query")      / len(actions)</w:t>
      </w:r>
    </w:p>
    <w:p>
      <w:pPr>
        <w:spacing w:after="60" w:before="0" w:line="240"/>
        <w:ind w:left="720"/>
        <w:jc w:val="left"/>
      </w:pPr>
      <w:r>
        <w:rPr>
          <w:rFonts w:ascii="Courier New" w:cs="Courier New" w:eastAsia="Courier New" w:hAnsi="Courier New"/>
          <w:sz w:val="20"/>
          <w:szCs w:val="20"/>
        </w:rPr>
        <w:t xml:space="preserve">    nlq_ratio  = actions.count("nlq")            / len(actions)</w:t>
      </w:r>
    </w:p>
    <w:p>
      <w:pPr>
        <w:spacing w:after="60" w:before="0" w:line="240"/>
        <w:ind w:left="720"/>
        <w:jc w:val="left"/>
      </w:pPr>
      <w:r>
        <w:rPr>
          <w:rFonts w:ascii="Courier New" w:cs="Courier New" w:eastAsia="Courier New" w:hAnsi="Courier New"/>
          <w:sz w:val="20"/>
          <w:szCs w:val="20"/>
        </w:rPr>
        <w:t xml:space="preserve">    view_ratio = actions.count("dashboard_view") / len(actions)</w:t>
      </w:r>
    </w:p>
    <w:p>
      <w:pPr>
        <w:spacing w:after="60" w:before="0" w:line="240"/>
        <w:ind w:left="720"/>
        <w:jc w:val="left"/>
      </w:pPr>
      <w:r>
        <w:rPr>
          <w:rFonts w:ascii="Courier New" w:cs="Courier New" w:eastAsia="Courier New" w:hAnsi="Courier New"/>
          <w:sz w:val="20"/>
          <w:szCs w:val="20"/>
        </w:rPr>
        <w:t xml:space="preserve">    if sql_ratio  &gt; 0.4: return InterfaceProfile.ANALYTICAL</w:t>
      </w:r>
    </w:p>
    <w:p>
      <w:pPr>
        <w:spacing w:after="60" w:before="0" w:line="240"/>
        <w:ind w:left="720"/>
        <w:jc w:val="left"/>
      </w:pPr>
      <w:r>
        <w:rPr>
          <w:rFonts w:ascii="Courier New" w:cs="Courier New" w:eastAsia="Courier New" w:hAnsi="Courier New"/>
          <w:sz w:val="20"/>
          <w:szCs w:val="20"/>
        </w:rPr>
        <w:t xml:space="preserve">    if nlq_ratio  &gt; 0.3: return InterfaceProfile.EXPLORATORY</w:t>
      </w:r>
    </w:p>
    <w:p>
      <w:pPr>
        <w:spacing w:after="60" w:before="0" w:line="240"/>
        <w:ind w:left="720"/>
        <w:jc w:val="left"/>
      </w:pPr>
      <w:r>
        <w:rPr>
          <w:rFonts w:ascii="Courier New" w:cs="Courier New" w:eastAsia="Courier New" w:hAnsi="Courier New"/>
          <w:sz w:val="20"/>
          <w:szCs w:val="20"/>
        </w:rPr>
        <w:t xml:space="preserve">    if view_ratio &gt; 0.7: return InterfaceProfile.MONITORING</w:t>
      </w:r>
    </w:p>
    <w:p>
      <w:pPr>
        <w:spacing w:after="60" w:before="0" w:line="240"/>
        <w:ind w:left="720"/>
        <w:jc w:val="left"/>
      </w:pPr>
      <w:r>
        <w:rPr>
          <w:rFonts w:ascii="Courier New" w:cs="Courier New" w:eastAsia="Courier New" w:hAnsi="Courier New"/>
          <w:sz w:val="20"/>
          <w:szCs w:val="20"/>
        </w:rPr>
        <w:t xml:space="preserve">    return self._default_from_role()</w:t>
      </w:r>
    </w:p>
    <w:p>
      <w:pPr>
        <w:spacing w:after="200" w:before="0"/>
      </w:pPr>
      <w:r>
        <w:rPr>
          <w:rFonts w:ascii="Times New Roman" w:cs="Times New Roman" w:eastAsia="Times New Roman" w:hAnsi="Times New Roman"/>
          <w:b w:val="false"/>
          <w:bCs w:val="false"/>
          <w:i w:val="false"/>
          <w:iCs w:val="false"/>
          <w:sz w:val="24"/>
          <w:szCs w:val="24"/>
        </w:rPr>
        <w:t xml:space="preserve"/>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The OSL metric definition for monthly_recurring_revenue, shown below, illustrates how business logic is expressed once and consumed by all tools through the OSL API. The freshness_sla and confidence fields are read by the CAPE to populate the data quality indicators displayed in the visualization interface:</w:t>
      </w:r>
    </w:p>
    <w:p>
      <w:pPr>
        <w:spacing w:after="80" w:before="0"/>
      </w:pPr>
      <w:r>
        <w:rPr>
          <w:rFonts w:ascii="Times New Roman" w:cs="Times New Roman" w:eastAsia="Times New Roman" w:hAnsi="Times New Roman"/>
          <w:b w:val="false"/>
          <w:bCs w:val="false"/>
          <w:i w:val="false"/>
          <w:iCs w:val="false"/>
          <w:sz w:val="24"/>
          <w:szCs w:val="24"/>
        </w:rPr>
        <w:t xml:space="preserve"/>
      </w:r>
    </w:p>
    <w:p>
      <w:pPr>
        <w:spacing w:after="60" w:before="0" w:line="240"/>
        <w:ind w:left="720"/>
        <w:jc w:val="left"/>
      </w:pPr>
      <w:r>
        <w:rPr>
          <w:rFonts w:ascii="Courier New" w:cs="Courier New" w:eastAsia="Courier New" w:hAnsi="Courier New"/>
          <w:sz w:val="20"/>
          <w:szCs w:val="20"/>
        </w:rPr>
        <w:t xml:space="preserve">- name: monthly_recurring_revenue</w:t>
      </w:r>
    </w:p>
    <w:p>
      <w:pPr>
        <w:spacing w:after="60" w:before="0" w:line="240"/>
        <w:ind w:left="720"/>
        <w:jc w:val="left"/>
      </w:pPr>
      <w:r>
        <w:rPr>
          <w:rFonts w:ascii="Courier New" w:cs="Courier New" w:eastAsia="Courier New" w:hAnsi="Courier New"/>
          <w:sz w:val="20"/>
          <w:szCs w:val="20"/>
        </w:rPr>
        <w:t xml:space="preserve">  label: "Monthly Recurring Revenue"</w:t>
      </w:r>
    </w:p>
    <w:p>
      <w:pPr>
        <w:spacing w:after="60" w:before="0" w:line="240"/>
        <w:ind w:left="720"/>
        <w:jc w:val="left"/>
      </w:pPr>
      <w:r>
        <w:rPr>
          <w:rFonts w:ascii="Courier New" w:cs="Courier New" w:eastAsia="Courier New" w:hAnsi="Courier New"/>
          <w:sz w:val="20"/>
          <w:szCs w:val="20"/>
        </w:rPr>
        <w:t xml:space="preserve">  type: sum</w:t>
      </w:r>
    </w:p>
    <w:p>
      <w:pPr>
        <w:spacing w:after="60" w:before="0" w:line="240"/>
        <w:ind w:left="720"/>
        <w:jc w:val="left"/>
      </w:pPr>
      <w:r>
        <w:rPr>
          <w:rFonts w:ascii="Courier New" w:cs="Courier New" w:eastAsia="Courier New" w:hAnsi="Courier New"/>
          <w:sz w:val="20"/>
          <w:szCs w:val="20"/>
        </w:rPr>
        <w:t xml:space="preserve">  sql: |</w:t>
      </w:r>
    </w:p>
    <w:p>
      <w:pPr>
        <w:spacing w:after="60" w:before="0" w:line="240"/>
        <w:ind w:left="720"/>
        <w:jc w:val="left"/>
      </w:pPr>
      <w:r>
        <w:rPr>
          <w:rFonts w:ascii="Courier New" w:cs="Courier New" w:eastAsia="Courier New" w:hAnsi="Courier New"/>
          <w:sz w:val="20"/>
          <w:szCs w:val="20"/>
        </w:rPr>
        <w:t xml:space="preserve">    SUM(payments.amount_eur)</w:t>
      </w:r>
    </w:p>
    <w:p>
      <w:pPr>
        <w:spacing w:after="60" w:before="0" w:line="240"/>
        <w:ind w:left="720"/>
        <w:jc w:val="left"/>
      </w:pPr>
      <w:r>
        <w:rPr>
          <w:rFonts w:ascii="Courier New" w:cs="Courier New" w:eastAsia="Courier New" w:hAnsi="Courier New"/>
          <w:sz w:val="20"/>
          <w:szCs w:val="20"/>
        </w:rPr>
        <w:t xml:space="preserve">    FILTER (</w:t>
      </w:r>
    </w:p>
    <w:p>
      <w:pPr>
        <w:spacing w:after="60" w:before="0" w:line="240"/>
        <w:ind w:left="720"/>
        <w:jc w:val="left"/>
      </w:pPr>
      <w:r>
        <w:rPr>
          <w:rFonts w:ascii="Courier New" w:cs="Courier New" w:eastAsia="Courier New" w:hAnsi="Courier New"/>
          <w:sz w:val="20"/>
          <w:szCs w:val="20"/>
        </w:rPr>
        <w:t xml:space="preserve">      WHERE payments.status = 'settled'</w:t>
      </w:r>
    </w:p>
    <w:p>
      <w:pPr>
        <w:spacing w:after="60" w:before="0" w:line="240"/>
        <w:ind w:left="720"/>
        <w:jc w:val="left"/>
      </w:pPr>
      <w:r>
        <w:rPr>
          <w:rFonts w:ascii="Courier New" w:cs="Courier New" w:eastAsia="Courier New" w:hAnsi="Courier New"/>
          <w:sz w:val="20"/>
          <w:szCs w:val="20"/>
        </w:rPr>
        <w:t xml:space="preserve">      AND DATE_TRUNC('month', payments.settled_at)</w:t>
      </w:r>
    </w:p>
    <w:p>
      <w:pPr>
        <w:spacing w:after="60" w:before="0" w:line="240"/>
        <w:ind w:left="720"/>
        <w:jc w:val="left"/>
      </w:pPr>
      <w:r>
        <w:rPr>
          <w:rFonts w:ascii="Courier New" w:cs="Courier New" w:eastAsia="Courier New" w:hAnsi="Courier New"/>
          <w:sz w:val="20"/>
          <w:szCs w:val="20"/>
        </w:rPr>
        <w:t xml:space="preserve">          = DATE_TRUNC('month', CURRENT_DATE)</w:t>
      </w:r>
    </w:p>
    <w:p>
      <w:pPr>
        <w:spacing w:after="60" w:before="0" w:line="240"/>
        <w:ind w:left="720"/>
        <w:jc w:val="left"/>
      </w:pPr>
      <w:r>
        <w:rPr>
          <w:rFonts w:ascii="Courier New" w:cs="Courier New" w:eastAsia="Courier New" w:hAnsi="Courier New"/>
          <w:sz w:val="20"/>
          <w:szCs w:val="20"/>
        </w:rPr>
        <w:t xml:space="preserve">    )</w:t>
      </w:r>
    </w:p>
    <w:p>
      <w:pPr>
        <w:spacing w:after="60" w:before="0" w:line="240"/>
        <w:ind w:left="720"/>
        <w:jc w:val="left"/>
      </w:pPr>
      <w:r>
        <w:rPr>
          <w:rFonts w:ascii="Courier New" w:cs="Courier New" w:eastAsia="Courier New" w:hAnsi="Courier New"/>
          <w:sz w:val="20"/>
          <w:szCs w:val="20"/>
        </w:rPr>
        <w:t xml:space="preserve">  owner: data-engineering</w:t>
      </w:r>
    </w:p>
    <w:p>
      <w:pPr>
        <w:spacing w:after="60" w:before="0" w:line="240"/>
        <w:ind w:left="720"/>
        <w:jc w:val="left"/>
      </w:pPr>
      <w:r>
        <w:rPr>
          <w:rFonts w:ascii="Courier New" w:cs="Courier New" w:eastAsia="Courier New" w:hAnsi="Courier New"/>
          <w:sz w:val="20"/>
          <w:szCs w:val="20"/>
        </w:rPr>
        <w:t xml:space="preserve">  freshness_sla: "4h"</w:t>
      </w:r>
    </w:p>
    <w:p>
      <w:pPr>
        <w:spacing w:after="60" w:before="0" w:line="240"/>
        <w:ind w:left="720"/>
        <w:jc w:val="left"/>
      </w:pPr>
      <w:r>
        <w:rPr>
          <w:rFonts w:ascii="Courier New" w:cs="Courier New" w:eastAsia="Courier New" w:hAnsi="Courier New"/>
          <w:sz w:val="20"/>
          <w:szCs w:val="20"/>
        </w:rPr>
        <w:t xml:space="preserve">  confidence: high</w:t>
      </w:r>
    </w:p>
    <w:p>
      <w:pPr>
        <w:spacing w:after="200" w:before="0"/>
      </w:pPr>
      <w:r>
        <w:rPr>
          <w:rFonts w:ascii="Times New Roman" w:cs="Times New Roman" w:eastAsia="Times New Roman" w:hAnsi="Times New Roman"/>
          <w:b w:val="false"/>
          <w:bCs w:val="false"/>
          <w:i w:val="false"/>
          <w:iCs w:val="false"/>
          <w:sz w:val="24"/>
          <w:szCs w:val="24"/>
        </w:rPr>
        <w:t xml:space="preserve"/>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The proof-of-concept demonstrates that all three components can be implemented with standard Python and YAML tooling, without requiring novel infrastructure or proprietary dependencies. The QIE builds on database EXPLAIN plan output; the CAPE requires only a lightweight user session store; the OSL requires only a Git repository and a simple REST API layer. The implementation complexity is well within the reach of a small data engineering team, supporting the feasibility claim made in the architectural proposal.</w:t>
      </w:r>
    </w:p>
    <w:p>
      <w:pPr>
        <w:spacing w:after="160" w:before="0" w:line="360"/>
        <w:ind w:firstLine="720"/>
        <w:jc w:val="both"/>
      </w:pPr>
      <w:r>
        <w:rPr>
          <w:rFonts w:ascii="Times New Roman" w:cs="Times New Roman" w:eastAsia="Times New Roman" w:hAnsi="Times New Roman"/>
          <w:b w:val="false"/>
          <w:bCs w:val="false"/>
          <w:i w:val="false"/>
          <w:iCs w:val="false"/>
          <w:sz w:val="24"/>
          <w:szCs w:val="24"/>
        </w:rPr>
        <w:t xml:space="preserve">The primary limitation of this proof-of-concept is that it operates with simulated database connections rather than real data infrastructure. A production implementation would require integration with specific warehouse connectors (BigQuery, Snowflake, PostgreSQL), a cache backend (Redis), and a user identity system. These integrations are standard software engineering tasks and do not introduce architectural uncertainty — the novel elements of the CASV Layer are the three components themselves, and those are demonstrated here. The complete source code is provided in Appendix A of this thesis.</w:t>
      </w:r>
    </w:p>
    <w:sectPr>
      <w:pgSz w:w="11906" w:h="16838" w:orient="portrait"/>
      <w:pgMar w:top="1800" w:right="1440" w:bottom="1800" w:left="2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pPr>
      <w:spacing w:after="160" w:before="2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2026-05-20T13:45:00.310Z</dcterms:created>
  <dcterms:modified xsi:type="dcterms:W3CDTF">2026-05-20T13:45:00.334Z</dcterms:modified>
</cp:coreProperties>
</file>

<file path=docProps/custom.xml><?xml version="1.0" encoding="utf-8"?>
<Properties xmlns="http://schemas.openxmlformats.org/officeDocument/2006/custom-properties" xmlns:vt="http://schemas.openxmlformats.org/officeDocument/2006/docPropsVTypes"/>
</file>