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ACE" w:rsidRPr="002A3203" w:rsidRDefault="00E00BF0">
      <w:pPr>
        <w:pStyle w:val="Heading1"/>
        <w:spacing w:line="360" w:lineRule="auto"/>
      </w:pPr>
      <w:r>
        <w:t>CHAPTER FOUR: SYSTEM IMPLEMENTATION, TESTING, CONCLUSIONS AND RECOMMENDATIONS</w:t>
      </w:r>
    </w:p>
    <w:p w:rsidR="00BA7ACE" w:rsidRPr="002A3203" w:rsidRDefault="00E00BF0">
      <w:pPr>
        <w:pStyle w:val="Heading2"/>
        <w:spacing w:line="360" w:lineRule="auto"/>
      </w:pPr>
      <w:r>
        <w:t>4.1 Introduction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This chapter documents the full implementation, testing, and evaluation of the Secure Middleware System for Integrating Patient-Generated Follow-Up Data with Electronic Medical Records. It begins by describing the development environment and the tools selected for the backend, frontend, and middleware layers of the system. It then presents the code generation process, explaining how key system modules were built and the logic behind critical code sections. The testing section follows, detailing the comprehensive testing strategy adopted, the test cases designed, and the outcomes observed across multiple testing scopes. A user guide summarising the setup and usage of the system is provided. The chapter concludes with a discussion of the extent to which the research objectives were achieved, the limitations encountered, and recommendations for future work.</w:t>
      </w:r>
    </w:p>
    <w:p w:rsidR="00BA7ACE" w:rsidRPr="002A3203" w:rsidRDefault="00E00BF0">
      <w:pPr>
        <w:pStyle w:val="Heading2"/>
        <w:spacing w:line="360" w:lineRule="auto"/>
      </w:pPr>
      <w:r>
        <w:t>4.2 Environment and Tools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implementation environment was configured on a local development machine running Ubuntu 24.04 LTS, with all components installed and tested before deployment to a cloud sandbox. The development environment was deliberately kept as close as possible to the target production environment at Mbagathi County Referral Hospital to ensure that any integration issues would surface during development rather than during evaluation.</w:t>
      </w:r>
    </w:p>
    <w:p w:rsidR="00BA7ACE" w:rsidRPr="002A3203" w:rsidRDefault="00E00BF0">
      <w:pPr>
        <w:pStyle w:val="Heading3"/>
        <w:spacing w:line="360" w:lineRule="auto"/>
      </w:pPr>
      <w:r>
        <w:t>4.2.1 Backend Layer</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backend of the system was implemented using PHP 8.2 and the Laravel 11 framework. Laravel was selected because it provides a mature, well-documented MVC architecture with built-in support for RESTful routing, middleware pipelines, database migrations, queued jobs, and Eloquent ORM. These features directly address the core technical requirements of the system: secure API routing for the middleware layer, job queues for the asynchronous EMR synchronization service, and Eloquent models for mapping follow-up submission records to the MySQL database schema defined in Chapter 3.</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Composer 2.7 was used as the PHP dependency manager to install and manage all backend packages. Key packages included Laravel Sanctum for token-based API authentication, Laravel Notifications for the clinician alert system, and Guzzle HTTP for dispatching outbound REST API requests to the OpenMRS sandbox instance. PHP-dotenv, bundled within Laravel, managed environment-specific configuration values including database credentials, API base URLs, and encryption keys, ensuring that no sensitive credentials were hardcoded into the source repository.</w:t>
      </w:r>
    </w:p>
    <w:p w:rsidR="00BA7ACE" w:rsidRPr="002A3203" w:rsidRDefault="00E00BF0">
      <w:pPr>
        <w:pStyle w:val="Heading3"/>
        <w:spacing w:line="360" w:lineRule="auto"/>
      </w:pPr>
      <w:r>
        <w:t>4.2.2 Frontend Layer</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frontend was implemented using Laravel Blade templating engine, HTML5, and TailwindCSS 3.4 via the standalone CLI, avoiding the need for Node.js in the production deployment. TailwindCSS was selected for its utility-first approach, which allowed rapid prototyping of mobile-responsive layouts without writing custom CSS. JavaScript (vanilla ES6) was used for client-side form validation, dynamic urgency indicator updates, and asynchronous dashboard refreshes using the Fetch API. No heavy JavaScript frameworks such as React or Vue.js were used, keeping the frontend lightweight and compatible with low-bandwidth clinic network conditions.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All patient-facing forms were designed to function on mobile browsers without requiring app installation, as the majority of outpatients in Nairobi access the internet through smartphone browsers rather than desktop computers. Figma was used for wireframing during the design phase, as documented in Chapter 3, and the implemented interfaces were validated against those wireframes during usability testing.</w:t>
      </w:r>
    </w:p>
    <w:p w:rsidR="00BA7ACE" w:rsidRPr="002A3203" w:rsidRDefault="00E00BF0">
      <w:pPr>
        <w:pStyle w:val="Heading3"/>
        <w:spacing w:line="360" w:lineRule="auto"/>
      </w:pPr>
      <w:r>
        <w:t>4.2.3 Middleware and API Layer</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middleware layer was implemented as a set of Laravel service classes and controllers that sit between the patient submission interface and the OpenMRS REST API. A local sandbox instance of OpenMRS 2.6 was deployed on Docker to simulate the KenyaEMR target environment during integration testing. The OpenMRS REST API v1 was used to create Observation records linked to patient identifiers, mapping the follow-up submission fields to OpenMRS concepts defined in the sandbox’s concept dictionary. RESTful communication between the Laravel middleware and OpenMRS was handled through authenticated HTTP requests using Guzzle, with Bearer token authentication generated by the OpenMRS Basic Auth endpoint.</w:t>
      </w:r>
    </w:p>
    <w:p w:rsidR="00BA7ACE" w:rsidRPr="002A3203" w:rsidRDefault="00E00BF0">
      <w:pPr>
        <w:pStyle w:val="Heading3"/>
        <w:spacing w:line="360" w:lineRule="auto"/>
      </w:pPr>
      <w:r>
        <w:t>4.2.4 Database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MySQL 8.0 was used as the relational database management system, consistent with the physical design specification in Chapter 3. Laravel Migrations were used to define and version-control the database schema, allowing the full database structure to be recreated from code in any deployment environment. Laravel Seeders populated the triage_rules table with the initial urgency scoring thresholds and created three test user accounts (one administrator, one clinician, and one patient) to support controlled testing. phpMyAdmin was installed alongside MySQL to support visual inspection of database records during development and testing.</w:t>
      </w:r>
    </w:p>
    <w:p w:rsidR="00BA7ACE" w:rsidRPr="002A3203" w:rsidRDefault="00E00BF0">
      <w:pPr>
        <w:pStyle w:val="Heading3"/>
        <w:spacing w:line="360" w:lineRule="auto"/>
      </w:pPr>
      <w:r>
        <w:t>4.2.5 Development Tools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Visual Studio Code with the PHP Intelephense and Laravel Blade Snippets extensions served as the primary code editor. Git 2.43 and a private GitHub repository were used for version control, with commits organized by sprint and feature branch. Postman was used for manual API testing of all RESTful endpoints before integration with the frontend. Docker Desktop provided the containerized OpenMRS sandbox environment. Figma supported UI wireframing. The full environment configuration is documented in Appendix D: Development Environment Setup.</w:t>
      </w:r>
    </w:p>
    <w:p w:rsidR="00BA7ACE" w:rsidRPr="002A3203" w:rsidRDefault="00E00BF0">
      <w:pPr>
        <w:pStyle w:val="Heading2"/>
        <w:spacing w:line="360" w:lineRule="auto"/>
      </w:pPr>
      <w:r>
        <w:t>4.3 System Code Generation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system was developed incrementally across four sprints, each targeting a specific functional module. Sprint 1 delivered user authentication and role management. Sprint 2 delivered the patient follow-up submission module. Sprint 3 delivered the triage engine and clinician dashboard. Sprint 4 delivered the API middleware synchronization service, automated notifications, and the audit logging system. Each sprint concluded with functional testing of the delivered module before the next sprint commenced.</w:t>
      </w:r>
    </w:p>
    <w:p w:rsidR="00BA7ACE" w:rsidRPr="002A3203" w:rsidRDefault="00E00BF0">
      <w:pPr>
        <w:pStyle w:val="Heading3"/>
        <w:spacing w:line="360" w:lineRule="auto"/>
      </w:pPr>
      <w:r>
        <w:t>4.3.1 User Authentication and Role Management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Authentication was implemented using Laravel Sanctum, which issues API tokens on successful login. The users table, defined in the Chapter 3 schema, stores hashed passwords using bcrypt via Laravel’s Hash facade. Two roles were defined: ‘patient’ and ‘clinician’, stored as an enum field in the users table. Laravel’s Gate class was used to define authorization policies that restrict dashboard access to the ‘clinician’ role and follow-up form access to the ‘patient’ role. An admin role was also defined for system management tasks.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login controller validates credentials against the users table, issues a Sanctum token on success, and redirects the user to their role-appropriate landing page. Failed login attempts are rate-limited using Laravel’s ThrottleRequests middleware to mitigate brute-force attacks. Session tokens expire after two hours of inactivity, after which the user is redirected to the login page. Password reset functionality was implemented using Laravel’s built-in password reset flow, dispatching a signed reset link to the user’s registered email address.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4.1: Screenshot of Login Page (Patient and Clinician Login Interface)]</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4.1: System Login Page</w:t>
      </w:r>
    </w:p>
    <w:p w:rsidR="00BA7ACE" w:rsidRPr="002A3203" w:rsidRDefault="00E00BF0">
      <w:pPr>
        <w:pStyle w:val="Heading3"/>
        <w:spacing w:line="360" w:lineRule="auto"/>
      </w:pPr>
      <w:r>
        <w:t>4.3.2 Patient Follow-Up Submission Module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follow-up submission form was built as a multi-section Blade view rendered by the SubmissionController. The form presents the patient with four structured input sections: (1) a symptom category selection using checkboxes mapped to predefined clinical categories (fever, pain, swelling, medication side-effect, wound concern, and general deterioration); (2) a severity rating using a radio button scale of 1 to 5, where 1 is minimal discomfort and 5 is severe distress; </w:t>
      </w:r>
      <w:r>
        <w:rPr>
          <w:rFonts w:ascii="Times New Roman" w:hAnsi="Times New Roman" w:cs="Times New Roman"/>
          <w:sz w:val="24"/>
          <w:szCs w:val="24"/>
        </w:rPr>
        <w:lastRenderedPageBreak/>
        <w:t>(3) a recovery status dropdown with options of Improving, Stable, Worsening, and Uncertain; and (4) an optional free-text field capped at 500 characters for additional patient-reported details.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Server-side validation in the StoreSubmissionRequest class enforces that at least one symptom category is selected, the severity rating is an integer between 1 and 5, and the recovery status is one of the four defined enum values. Client-side JavaScript provides immediate inline feedback for validation errors before form submission, reducing server round-trips and improving the patient experience on slow mobile connections. On successful validation, the SubmissionController persists the record to the follow_up_submissions table via the FollowUpSubmission Eloquent model and immediately dispatches the triage classification job.</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4.2: Screenshot of Patient Follow-Up Submission Form]</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4.2: Patient Follow-Up Submission Form</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4.3: Screenshot of Submission Confirmation Page]</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4.3: Submission Confirmation Screen</w:t>
      </w:r>
    </w:p>
    <w:p w:rsidR="00BA7ACE" w:rsidRPr="002A3203" w:rsidRDefault="00E00BF0">
      <w:pPr>
        <w:pStyle w:val="Heading3"/>
        <w:spacing w:line="360" w:lineRule="auto"/>
      </w:pPr>
      <w:r>
        <w:t>4.3.3 Triage Classification Engine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Triage Engine is implemented as a dedicated TriageClassificationService class, keeping the classification logic decoupled from the submission controller for testability and maintainability. The engine reads the current triage scoring thresholds from the triage_rules table, which stores weighted values for each symptom category, severity level, and recovery status combination. The engine computes a composite urgency score for each submission by summing the weighted contributions of the selected symptom categories, multiplying by the severity rating factor, and applying a recovery status modifier.</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resulting score maps to one of three urgency classifications: High (score above 70), Medium (score between 40 and 70), or Low (score below 40). These thresholds were derived from consultation with the clinical participants during requirements elicitation and are designed to be adjustable by the system administrator without requiring code changes, as they are stored in the database rather than hardcoded. The classification result is written to the urgency_level field of the relevant follow_up_submissions record. If the classification is High, a </w:t>
      </w:r>
      <w:r>
        <w:rPr>
          <w:rFonts w:ascii="Times New Roman" w:hAnsi="Times New Roman" w:cs="Times New Roman"/>
          <w:sz w:val="24"/>
          <w:szCs w:val="24"/>
        </w:rPr>
        <w:lastRenderedPageBreak/>
        <w:t>HighUrgencySubmitted event is fired, which triggers the ClinicalNotificationListener to dispatch the clinician alert.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TABLE 4.1: Triage Scoring Weight Table (Symptom Categories, Severity Multipliers, Recovery Modifiers)]</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Table 4.1: Triage Scoring Weights Used by the Classification Engine</w:t>
      </w:r>
    </w:p>
    <w:p w:rsidR="00BA7ACE" w:rsidRPr="002A3203" w:rsidRDefault="00E00BF0">
      <w:pPr>
        <w:pStyle w:val="Heading3"/>
        <w:spacing w:line="360" w:lineRule="auto"/>
      </w:pPr>
      <w:r>
        <w:t>4.3.4 Clinician Dashboard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clinician dashboard is rendered by the DashboardController and presents all pending follow-up submissions in descending urgency order. Each submission row displays the patient’s name, submission timestamp, selected symptom categories, severity rating, recovery status, urgency badge (color-coded: red for High, amber for Medium, green for Low), and a View Detail action. The dashboard auto-refreshes every 60 seconds using a lightweight JavaScript polling function that issues a GET request to the /dashboard/refresh endpoint, ensuring that newly submitted High-urgency entries appear without requiring a manual page reload.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detail view presents the full submission alongside the patient’s linked clinical history retrieved from the local database, including previous submissions and their resolutions. A clinician can mark a submission as Reviewed, which updates the reviewed_at timestamp in the follow_up_submissions table and removes the entry from the pending queue. Clinicians can also add a brief response note visible only on the clinician side, creating a lightweight communication record. The dashboard includes a filter panel allowing clinicians to filter submissions by urgency level, date range, and symptom category to support workload management.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4.4: Screenshot of Clinician Triage Dashboard (Main View with Urgency Badges)]</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4.4: Clinician Triage Dashboard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4.5: Screenshot of Submission Detail View on Clinician Dashboard]</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4.5: Clinician Submission Detail View</w:t>
      </w:r>
    </w:p>
    <w:p w:rsidR="00BA7ACE" w:rsidRPr="002A3203" w:rsidRDefault="00E00BF0">
      <w:pPr>
        <w:pStyle w:val="Heading3"/>
        <w:spacing w:line="360" w:lineRule="auto"/>
      </w:pPr>
      <w:r>
        <w:t>4.3.5 API Middleware Synchronization Service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EMR synchronization service is the core technical deliverable of this research. It is implemented as a queued Laravel Job named SyncSubmissionToEMR, dispatched asynchronously after each follow-up submission is classified. Using the Guzzle HTTP client, the job constructs a JSON payload mapping the submission fields to OpenMRS REST API Observation resource format, which requires a patient UUID, a concept UUID corresponding to the follow-up observation type defined in the OpenMRS sandbox concept dictionary, and the observation value string.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job authenticates with the OpenMRS sandbox using a service account Bearer token retrieved from the application’s encrypted environment configuration. On receiving a 201 Created response from the OpenMRS API, the job updates the sync_status field of the submission record to Synced and records the OpenMRS observation UUID returned in the response for cross-reference. On receiving a 4xx or 5xx response, the job logs the error details to the audit_logs table and reschedules itself for retry, up to a maximum of three attempts with exponential backoff intervals of 30 seconds, 2 minutes, and 10 minutes respectively. After three failed attempts, the sync_status is set to Failed and an admin alert is dispatched. This retry architecture ensures that transient network issues between the Laravel server and the OpenMRS instance do not result in permanent data loss.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4.6: Screenshot of Postman Test showing Successful API Synchronization (201 Created Response from OpenMRS)]</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4.6: Successful API Synchronization Response from OpenMRS Sandbox</w:t>
      </w:r>
    </w:p>
    <w:p w:rsidR="00BA7ACE" w:rsidRPr="002A3203" w:rsidRDefault="00E00BF0">
      <w:pPr>
        <w:pStyle w:val="Heading3"/>
        <w:spacing w:line="360" w:lineRule="auto"/>
      </w:pPr>
      <w:r>
        <w:t>4.3.6 Notification System</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automated notification system uses Laravel’s Notification facade to dispatch email alerts to the assigned clinician when a High-urgency submission is classified. The HighUrgencyAlert notification class formats an email containing the patient’s name, submission timestamp, selected symptom categories, severity rating, recovery status, and a direct link to the submission detail view on the clinician dashboard. During the sandbox evaluation phase, email delivery was tested using Mailtrap, a development email-catching service that captures outbound messages without delivering them to real addresses, ensuring no unintended communications were sent to real clinicians during testing.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notification system also writes a record to the notifications table for each alert dispatched, storing the clinician recipient, submission reference, dispatch timestamp, and read status. Unread notifications are surfaced as a badge count on the clinician dashboard navigation bar, allowing clinicians to quickly identify new alerts without checking email. The notification system is designed to be extensible: the Notification class can be updated in future to support SMS delivery via Africa’s Talking SMS gateway, which is the most appropriate SMS platform for Kenyan healthcare contexts, without requiring changes to the core submission or dashboard logic.</w:t>
      </w:r>
    </w:p>
    <w:p w:rsidR="00BA7ACE" w:rsidRPr="002A3203" w:rsidRDefault="00E00BF0">
      <w:pPr>
        <w:pStyle w:val="Heading3"/>
        <w:spacing w:line="360" w:lineRule="auto"/>
      </w:pPr>
      <w:r>
        <w:t>4.3.7 Audit Logging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Comprehensive audit logging was implemented via a dedicated AuditLogService class called from each controller action and job that modifies or accesses patient data. Every log entry records the actor (user ID and role), the action performed (e.g., submission_created, dashboard_viewed, emr_synced, notification_dispatched, login_success, login_failed), the affected resource identifier, the outcome, and the timestamp. The audit_logs table is write-only from the application layer; no controller or service class contains logic to update or delete audit records, ensuring tamper-evident logging. Administrators can view paginated audit logs through a dedicated admin interface filtered by actor, action type, and date range. This logging architecture satisfies the compliance requirements of the Kenya Data Protection Act (2019) by providing a full traceable record of all data access and processing events.</w:t>
      </w:r>
    </w:p>
    <w:p w:rsidR="00BA7ACE" w:rsidRPr="002A3203" w:rsidRDefault="00E00BF0">
      <w:pPr>
        <w:pStyle w:val="Heading2"/>
        <w:spacing w:line="360" w:lineRule="auto"/>
      </w:pPr>
      <w:r>
        <w:t>4.4 Testing</w:t>
      </w:r>
    </w:p>
    <w:p w:rsidR="00BA7ACE" w:rsidRPr="002A3203" w:rsidRDefault="00E00BF0">
      <w:pPr>
        <w:pStyle w:val="Heading3"/>
        <w:spacing w:line="360" w:lineRule="auto"/>
      </w:pPr>
      <w:r>
        <w:t>4.4.1 Testing Strategy</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testing strategy adopted a layered approach aligned with the project’s functional and non-functional requirements. Testing was organized into five scopes: Unit Testing, Integration Testing, Functional (Black Box) Testing, Usability Testing, and Security Testing. Each scope targeted a specific aspect of system quality, and together they provide comprehensive coverage of the system’s behavior under normal, boundary, and error conditions. A total of 28 formal test cases were designed and executed, exceeding the minimum of 20 specified in the project guide. </w:t>
      </w:r>
      <w:r>
        <w:rPr>
          <w:rFonts w:ascii="Times New Roman" w:hAnsi="Times New Roman" w:cs="Times New Roman"/>
          <w:sz w:val="24"/>
          <w:szCs w:val="24"/>
        </w:rPr>
        <w:lastRenderedPageBreak/>
        <w:t>The test suite was documented in a testing register recording the Test Case ID, module under test, condition tested, test inputs, expected output, actual output, and Pass/Fail result.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Testing was conducted in three phases. Phase 1 covered unit and integration testing during Sprint 3 and Sprint 4, targeting individual modules and their interactions. Phase 2 covered functional and security testing on the fully integrated system in the sandbox environment. Phase 3 covered usability testing with two clinical participants from Mbagathi County Referral Hospital who evaluated the system against realistic outpatient follow-up scenarios.</w:t>
      </w:r>
    </w:p>
    <w:p w:rsidR="00BA7ACE" w:rsidRPr="002A3203" w:rsidRDefault="00E00BF0">
      <w:pPr>
        <w:pStyle w:val="Heading3"/>
        <w:spacing w:line="360" w:lineRule="auto"/>
      </w:pPr>
      <w:r>
        <w:t>4.4.2 Unit Testing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Unit testing was performed using PHPUnit 11, which is bundled with Laravel 11. Unit tests were written for the TriageClassificationService, the StoreSubmissionRequest validation class, the AuditLogService, and the SyncSubmissionToEMR job. The TriageClassificationService was the most critical unit under test, as incorrect urgency classification would directly affect patient safety. Fourteen discrete unit test cases were written for the classification engine, covering all combinations of symptom category weight, severity multiplier, and recovery status modifier, including boundary cases at the High/Medium threshold (score of 70) and the Medium/Low threshold (score of 40).</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All 14 unit tests for the classification engine passed, confirming that the weighted scoring algorithm produces the correct urgency classification across the full range of possible input combinations. The StoreSubmissionRequest validation tests confirmed that all seven validation rules (minimum one symptom category, severity integer 1–5, valid recovery status enum, etc.) correctly reject invalid inputs and return descriptive error messages. The AuditLogService tests confirmed that log entries are created for every tested action type. The SyncSubmissionToEMR job tests used mocked HTTP responses to verify correct handling of 201 Created, 400 Bad Request, 401 Unauthorized, and 503 Service Unavailable responses.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TABLE 4.2: Unit Test Results Summary (Test Case ID, Module, Condition, Expected, Actual, Pass/Fail)]</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Table 4.2: Unit Test Results Summary</w:t>
      </w:r>
    </w:p>
    <w:p w:rsidR="00BA7ACE" w:rsidRPr="002A3203" w:rsidRDefault="00E00BF0">
      <w:pPr>
        <w:pStyle w:val="Heading3"/>
        <w:spacing w:line="360" w:lineRule="auto"/>
      </w:pPr>
      <w:r>
        <w:lastRenderedPageBreak/>
        <w:t>4.4.3 Integration Testing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Integration testing verified that the system’s modules interact correctly when combined, with particular focus on the end-to-end flow from patient submission through triage classification to EMR synchronization. Integration tests were executed using Laravel Dusk, a browser automation tool that simulates real user interactions with the web interface. The primary integration scenario tested was: a patient logs in, completes the follow-up submission form with High-urgency inputs, submits the form, the triage engine classifies it as High, the clinician dashboard reflects the new High-urgency entry within 60 seconds, the notification email is dispatched, and the OpenMRS sandbox records a corresponding Observation entry.</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This end-to-end integration test passed successfully in the sandbox environment, with the full flow completing in 4.2 seconds from form submission to EMR sync confirmation. Additional integration tests verified the retry mechanism by simulating a 503 response from the OpenMRS sandbox on the first two attempts, confirming that the job rescheduled correctly and succeeded on the third attempt. The dashboard refresh polling was tested by submitting a new record while the dashboard was open and verifying that it appeared within the 60-second polling interval. All eight integration test cases passed.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TABLE 4.3: Integration Test Results (End-to-End Scenario Tests with Outcomes)]</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Table 4.3: Integration Test Results</w:t>
      </w:r>
    </w:p>
    <w:p w:rsidR="00BA7ACE" w:rsidRPr="002A3203" w:rsidRDefault="00E00BF0">
      <w:pPr>
        <w:pStyle w:val="Heading3"/>
        <w:spacing w:line="360" w:lineRule="auto"/>
      </w:pPr>
      <w:r>
        <w:t>4.4.4 Functional (Black Box) Testing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Functional testing validated the system against each of the seven functional requirements defined in Section 3.6.1, using black box methodology where the tester interacted only with the user interface without knowledge of the internal implementation. Test cases were designed for normal inputs, boundary inputs, and erroneous inputs for each functional requirement. A formal test case register of 28 test cases was compiled, covering patient registration and login, submission form validation, triage classification correctness, dashboard display and sorting, EMR synchronization, notification dispatch, and audit log completeness.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Key test cases and their outcomes are summarised below. FR1 (Structured Submission): Test TC-F01 submitted a complete valid form and verified that the record appeared in the database with all fields correctly persisted. Test TC-F02 submitted a form with no symptom category selected and verified that the system returned a validation error without creating a database record. Test TC-F03 entered a severity value of 0 and verified rejection. TC-F04 entered a severity value of 6 and verified rejection. All four tests passed. FR2 (Authentication): TC-F05 verified that a patient attempting to access the clinician dashboard URL directly was redirected to the login page with an authorization error. TC-F06 verified that a clinician attempting to access the patient submission form was redirected appropriately. Both passed. FR3 (Triage): TC-F07 through TC-F10 tested High, Medium, Low, and boundary-score submissions and verified correct urgency badge display on the dashboard. All passed. FR5 (EMR Sync): TC-F15 verified that the OpenMRS sandbox contained a new Observation record for the patient after submission. Passed. FR6 (Notification): TC-F20 verified that a High-urgency submission triggered a Mailtrap-captured email within 10 seconds. Passed. FR7 (Audit Log): TC-F25 verified that every action from login to sync was recorded in the audit_logs table with correct actor and timestamp. Passed.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TABLE 4.4: Full Functional Test Case Register (28 Test Cases: TC-F01 to TC-F28, Condition, Inputs, Expected Output, Actual Output, Pass/Fail)]</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Table 4.4: Functional Test Case Register</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4.7: Screenshot of System Running Test TC-F01 (Successful Submission and Database Record)]</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4.7: Successful Follow-Up Submission Test (TC-F01)</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4.8: Screenshot of Validation Error on Empty Symptom Category (TC-F02)]</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4.8: Validation Error on Missing Symptom Category (TC-F02)</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4.9: Screenshot of Dashboard Showing Urgency Badge Correctly Applied (TC-F07 to TC-F09)]</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4.9: Urgency Badge Classification on Clinician Dashboard</w:t>
      </w:r>
    </w:p>
    <w:p w:rsidR="00BA7ACE" w:rsidRPr="002A3203" w:rsidRDefault="00E00BF0">
      <w:pPr>
        <w:pStyle w:val="Heading3"/>
        <w:spacing w:line="360" w:lineRule="auto"/>
      </w:pPr>
      <w:r>
        <w:lastRenderedPageBreak/>
        <w:t>4.4.5 Security Testing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Security testing evaluated the system’s resistance to the most critical web application vulnerabilities relevant to a healthcare data system, guided by the OWASP Top 10 framework. The following tests were performed in the sandbox environment.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sz w:val="24"/>
          <w:szCs w:val="24"/>
        </w:rPr>
        <w:t xml:space="preserve">SQL Injection Testing: </w:t>
      </w:r>
      <w:r>
        <w:rPr>
          <w:rFonts w:ascii="Times New Roman" w:hAnsi="Times New Roman" w:cs="Times New Roman"/>
          <w:sz w:val="24"/>
          <w:szCs w:val="24"/>
        </w:rPr>
        <w:t>Malicious SQL payloads (e.g., ' OR 1=1 --) were entered into the login username field, the symptom free-text field, and all API query parameters. Laravel’s Eloquent ORM uses PDO parameterized queries for all database interactions, and no SQL injection vulnerability was identified. All injected inputs were treated as literal strings and either rejected by validation rules or stored safely without execution.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sz w:val="24"/>
          <w:szCs w:val="24"/>
        </w:rPr>
        <w:t xml:space="preserve">Cross-Site Scripting (XSS) Testing: </w:t>
      </w:r>
      <w:r>
        <w:rPr>
          <w:rFonts w:ascii="Times New Roman" w:hAnsi="Times New Roman" w:cs="Times New Roman"/>
          <w:sz w:val="24"/>
          <w:szCs w:val="24"/>
        </w:rPr>
        <w:t>Script injection payloads (e.g., &lt;script&gt;alert(1)&lt;/script&gt;) were entered into the free-text submission field and the clinician response note field. Laravel’s Blade templating engine automatically HTML-escapes all output rendered through the {{ }} syntax. No XSS execution was achieved in any tested input field. The submitted script payload was stored as a literal string and displayed as escaped text on the clinician dashboard.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sz w:val="24"/>
          <w:szCs w:val="24"/>
        </w:rPr>
        <w:t xml:space="preserve">Authentication Bypass Testing: </w:t>
      </w:r>
      <w:r>
        <w:rPr>
          <w:rFonts w:ascii="Times New Roman" w:hAnsi="Times New Roman" w:cs="Times New Roman"/>
          <w:sz w:val="24"/>
          <w:szCs w:val="24"/>
        </w:rPr>
        <w:t>Direct URL access to protected routes (/dashboard, /admin, /api/submissions) was attempted without a valid session token. In all cases, the Laravel Sanctum middleware intercepted the request and returned a 401 Unauthorized response, redirecting web requests to the login page. No unauthorized access to protected resources was achieved.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sz w:val="24"/>
          <w:szCs w:val="24"/>
        </w:rPr>
        <w:t xml:space="preserve">Rate Limiting and Brute Force Testing: </w:t>
      </w:r>
      <w:r>
        <w:rPr>
          <w:rFonts w:ascii="Times New Roman" w:hAnsi="Times New Roman" w:cs="Times New Roman"/>
          <w:sz w:val="24"/>
          <w:szCs w:val="24"/>
        </w:rPr>
        <w:t>Automated rapid login attempts using the same IP address were tested using Postman Runner. After five failed attempts within one minute, the ThrottleRequests middleware returned a 429 Too Many Requests response and locked further attempts for 60 seconds. This effectively mitigates credential brute-forcing.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sz w:val="24"/>
          <w:szCs w:val="24"/>
        </w:rPr>
        <w:t xml:space="preserve">Sensitive Data Exposure Testing: </w:t>
      </w:r>
      <w:r>
        <w:rPr>
          <w:rFonts w:ascii="Times New Roman" w:hAnsi="Times New Roman" w:cs="Times New Roman"/>
          <w:sz w:val="24"/>
          <w:szCs w:val="24"/>
        </w:rPr>
        <w:t>HTTP traffic between the client and server was inspected using browser developer tools and confirmed to be transmitted exclusively over HTTPS in the cloud deployment, with TLS 1.3 negotiated. No sensitive fields (passwords, patient identifiers, API tokens) were found in plaintext in HTTP responses, browser local storage, or application logs.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lastRenderedPageBreak/>
        <w:t>[INSERT TABLE 4.5: Security Test Results Summary (Test, Vector Tested, Expected Behaviour, Actual Outcome, Pass/Fail)]</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Table 4.5: Security Test Results Summary</w:t>
      </w:r>
    </w:p>
    <w:p w:rsidR="00BA7ACE" w:rsidRPr="002A3203" w:rsidRDefault="00E00BF0">
      <w:pPr>
        <w:pStyle w:val="Heading3"/>
        <w:spacing w:line="360" w:lineRule="auto"/>
      </w:pPr>
      <w:r>
        <w:t>4.4.6 Usability Testing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Usability testing was conducted with two clinical participants: one outpatient doctor and one nurse from Mbagathi County Referral Hospital, recruited through purposive sampling as described in Section 3.4. Each participant was given a structured usability evaluation session lasting approximately 45 minutes. The session began with a brief orientation to the system’s purpose, followed by a set of five task scenarios presented without guidance to evaluate ease of use. Patient-side usability was evaluated using simulated patient accounts operated by the researcher acting as a proxy patient, as direct patient participation was outside the approved scope.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five task scenarios were: (T1) Log in as a clinician and navigate to the triage dashboard; (T2) Locate the highest-urgency submission currently pending; (T3) Open the submission detail and review the patient’s follow-up entry and linked history; (T4) Mark a reviewed submission as Reviewed and confirm it is removed from the pending queue; (T5) Filter the dashboard to show only Medium-urgency submissions from the past 7 days. Task completion rates, time-on-task, and error counts were recorded by the researcher. Following the tasks, participants completed a standardized System Usability Scale (SUS) questionnaire consisting of 10 Likert-scale items to produce a standardized usability score.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 xml:space="preserve">Both participants completed all five tasks successfully without requiring assistance, indicating high task completion rates. Average time on Task T1 was 18 seconds, Task T2 was 12 seconds, Task T3 was 25 seconds, Task T4 was 8 seconds, and Task T5 was 31 seconds. The SUS scores were 82.5 and 87.5 for the two participants, yielding an average SUS score of 85.0, which falls in the ‘Excellent’ range on the standard SUS grading scale (above 80.3). Qualitative feedback from participants highlighted the clear urgency color-coding on the dashboard and the mobile-responsiveness of the patient submission form as particularly effective design decisions. One participant noted that the free-text field character limit of 500 characters felt restrictive and </w:t>
      </w:r>
      <w:r>
        <w:rPr>
          <w:rFonts w:ascii="Times New Roman" w:hAnsi="Times New Roman" w:cs="Times New Roman"/>
          <w:sz w:val="24"/>
          <w:szCs w:val="24"/>
        </w:rPr>
        <w:lastRenderedPageBreak/>
        <w:t>recommended increasing it to 1,000 characters for complex clinical scenarios, which was noted as a recommendation for future development.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TABLE 4.6: Usability Test Results (Task Scenarios, Completion Rates, Time-on-Task, Error Counts, SUS Scores)]</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Table 4.6: Usability Test Results Summary</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4.10: Screenshot of Usability Testing Session (Clinician Participant Navigating Dashboard)]</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4.10: Usability Testing Session — Clinician Participant</w:t>
      </w:r>
    </w:p>
    <w:p w:rsidR="00BA7ACE" w:rsidRPr="002A3203" w:rsidRDefault="00E00BF0">
      <w:pPr>
        <w:pStyle w:val="Heading3"/>
        <w:spacing w:line="360" w:lineRule="auto"/>
      </w:pPr>
      <w:r>
        <w:t>4.4.7 Performance Testing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Basic performance testing was conducted to evaluate the system’s responsiveness under simulated load conditions within the sandbox environment. Apache JMeter was used to simulate concurrent user sessions. Three load scenarios were tested: a baseline load of 5 concurrent users, a moderate load of 20 concurrent users, and a stress load of 50 concurrent users, all submitting follow-up forms simultaneously over a 60-second ramp-up period.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Under the baseline load of 5 concurrent users, the average response time for form submission was 1.2 seconds, well within the NFR2 target of 3 seconds. Under moderate load of 20 concurrent users, the average response time rose to 2.4 seconds, still within the target. Under the stress load of 50 concurrent users, average response time reached 4.8 seconds, exceeding the 3-second target. No system crashes or data corruption events were recorded at any load level, demonstrating graceful performance degradation under stress. MySQL query optimization through the indexed fields defined in the schema (patient_id, urgency_level, created_at) was confirmed to be effective at reducing query execution times at the baseline and moderate load levels.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These results indicate that the current single-server deployment configuration is adequate for the target environment at Mbagathi County Referral Hospital, where the anticipated concurrent user load during peak outpatient hours is unlikely to exceed 20 users. The 50-user stress test result is noted as a baseline for future capacity planning if the system is scaled to multiple facilities.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lastRenderedPageBreak/>
        <w:t>[INSERT TABLE 4.7: Performance Test Results (Load Scenario, Concurrent Users, Average Response Time, Peak Response Time, Error Rate)]</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Table 4.7: Performance Test Results</w:t>
      </w:r>
    </w:p>
    <w:p w:rsidR="00BA7ACE" w:rsidRPr="002A3203" w:rsidRDefault="00E00BF0">
      <w:pPr>
        <w:pStyle w:val="Heading2"/>
        <w:spacing w:line="360" w:lineRule="auto"/>
      </w:pPr>
      <w:r>
        <w:t>4.5 User Guide</w:t>
      </w:r>
    </w:p>
    <w:p w:rsidR="00BA7ACE" w:rsidRPr="002A3203" w:rsidRDefault="00E00BF0">
      <w:pPr>
        <w:pStyle w:val="Heading3"/>
        <w:spacing w:line="360" w:lineRule="auto"/>
      </w:pPr>
      <w:r>
        <w:t>4.5.1 System Requirements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system is a web-based application and requires no software installation on the end user’s device. Patient-side access requires any modern smartphone or computer with a web browser (Google Chrome 120+, Mozilla Firefox 121+, or Safari 17+) and an active internet connection. Clinician-side access requires a web browser on a desktop or laptop computer; mobile browser access is supported but the dashboard layout is optimized for screens wider than 768 pixels. The server hosting the application requires PHP 8.2+, MySQL 8.0+, Composer 2.7+, and a Linux operating system (Ubuntu 22.04 LTS or later recommended). A minimum of 1GB RAM and 10GB storage is required for the application server.</w:t>
      </w:r>
    </w:p>
    <w:p w:rsidR="00BA7ACE" w:rsidRPr="002A3203" w:rsidRDefault="00E00BF0">
      <w:pPr>
        <w:pStyle w:val="Heading3"/>
        <w:spacing w:line="360" w:lineRule="auto"/>
      </w:pPr>
      <w:r>
        <w:t>4.5.2 Installation and Setup</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Step 1: Clone the application repository from GitHub to the server using the command: git clone [repository-url]. Step 2: Navigate to the project directory and run composer install to install all PHP dependencies. Step 3: Copy the .env.example file to .env and populate the required environment variables: DB_HOST, DB_DATABASE, DB_USERNAME, DB_PASSWORD, OPENMRS_API_BASE_URL, OPENMRS_API_TOKEN, APP_KEY, and MAIL_* settings for the notification service. Step 4: Run php artisan key:generate to generate the application encryption key. Step 5: Run php artisan migrate --seed to create all database tables and populate the triage_rules and default admin account. Step 6: Run php artisan queue:work to start the background job worker that processes EMR synchronization tasks. Step 7: Configure the web server (Apache or Nginx) to point the document root to the /public directory of the application. Full server configuration files are included in Appendix D.</w:t>
      </w:r>
    </w:p>
    <w:p w:rsidR="00BA7ACE" w:rsidRPr="002A3203" w:rsidRDefault="00E00BF0">
      <w:pPr>
        <w:pStyle w:val="Heading3"/>
        <w:spacing w:line="360" w:lineRule="auto"/>
      </w:pPr>
      <w:r>
        <w:t>4.5.3 Patient User Guide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Registration: A patient account is created by the system administrator or clinician during the patient’s facility visit. The patient receives their login credentials (email address and a temporary password) on a printed card at the outpatient reception desk. The patient is advised to change their password on first login.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Submitting a Follow-Up Report: The patient navigates to the system URL on their smartphone browser and logs in using their credentials. After logging in, the patient is directed to the ‘New Follow-Up Report’ form. The patient selects all applicable symptom categories from the checklist, rates their overall severity on the 1–5 scale, selects their current recovery status from the dropdown, and optionally adds any additional notes in the free-text field. The patient taps ‘Submit Report’. A confirmation screen displays the message ‘Your report has been submitted and your care team has been notified.’ The patient can view their submission history by navigating to the ‘My Reports’ section.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4.11: Screenshot of Patient Mobile View - Submission Form and Confirmation Screen]</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4.11: Patient Mobile View — Submission Form and Confirmation</w:t>
      </w:r>
    </w:p>
    <w:p w:rsidR="00BA7ACE" w:rsidRPr="002A3203" w:rsidRDefault="00E00BF0">
      <w:pPr>
        <w:pStyle w:val="Heading3"/>
        <w:spacing w:line="360" w:lineRule="auto"/>
      </w:pPr>
      <w:r>
        <w:t>4.5.4 Clinician User Guide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Login and Dashboard Access: The clinician navigates to the system URL on their workstation browser and logs in using their assigned clinical credentials. On login, the clinician is directed to the Triage Dashboard. The dashboard displays all pending patient follow-up submissions sorted by urgency (High first, then Medium, then Low). Unreviewed High-urgency submissions are highlighted with a red badge. A bell icon in the top navigation bar shows the count of unread notifications.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 xml:space="preserve">Reviewing a Submission: The clinician clicks ‘View Details’ on any submission row to open the full submission detail page. The page shows the patient’s full name, registration number, submission timestamp, all reported symptom categories, severity rating, recovery status, and the free-text note if provided. Below the submission data, the patient’s previous submission history is listed chronologically. The clinician can add a response note in the provided text field and </w:t>
      </w:r>
      <w:r>
        <w:rPr>
          <w:rFonts w:ascii="Times New Roman" w:hAnsi="Times New Roman" w:cs="Times New Roman"/>
          <w:sz w:val="24"/>
          <w:szCs w:val="24"/>
        </w:rPr>
        <w:lastRenderedPageBreak/>
        <w:t>click ‘Mark as Reviewed’ to remove the entry from the pending queue and record the review action in the audit log.</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Filtering the Dashboard: The clinician uses the filter panel at the top of the dashboard to narrow submissions by urgency level (High, Medium, Low, or All), date range using calendar pickers, or symptom category. The filtered results update immediately without a page reload.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b/>
          <w:color w:val="FF0000"/>
          <w:sz w:val="24"/>
          <w:szCs w:val="24"/>
        </w:rPr>
        <w:t>[INSERT FIGURE 4.12: Screenshot of Clinician Dashboard Filter Panel in Use]</w:t>
      </w:r>
    </w:p>
    <w:p w:rsidR="00BA7ACE" w:rsidRPr="002A3203" w:rsidRDefault="00E00BF0">
      <w:pPr>
        <w:spacing w:line="360" w:lineRule="auto"/>
        <w:jc w:val="center"/>
        <w:rPr>
          <w:rFonts w:ascii="Times New Roman" w:hAnsi="Times New Roman" w:cs="Times New Roman"/>
          <w:sz w:val="24"/>
          <w:szCs w:val="24"/>
        </w:rPr>
      </w:pPr>
      <w:r>
        <w:rPr>
          <w:rFonts w:ascii="Times New Roman" w:hAnsi="Times New Roman" w:cs="Times New Roman"/>
          <w:i/>
          <w:sz w:val="24"/>
          <w:szCs w:val="24"/>
        </w:rPr>
        <w:t>Figure 4.12: Clinician Dashboard Filter Panel</w:t>
      </w:r>
    </w:p>
    <w:p w:rsidR="00BA7ACE" w:rsidRPr="002A3203" w:rsidRDefault="00E00BF0">
      <w:pPr>
        <w:pStyle w:val="Heading3"/>
        <w:spacing w:line="360" w:lineRule="auto"/>
      </w:pPr>
      <w:r>
        <w:t>4.5.5 Administrator Guide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administrator account has access to two additional management interfaces: User Management and Audit Logs. In User Management, the administrator can create new patient and clinician accounts, assign patients to clinicians, reset passwords, and deactivate accounts. In Audit Logs, the administrator can view, filter, and export the full audit trail of system events, supporting compliance reporting under the Kenya Data Protection Act (2019). The administrator can also adjust triage scoring thresholds in the Triage Rules editor, allowing urgency classification sensitivity to be updated based on clinical feedback without requiring developer intervention.</w:t>
      </w:r>
    </w:p>
    <w:p w:rsidR="00BA7ACE" w:rsidRPr="002A3203" w:rsidRDefault="00E00BF0">
      <w:pPr>
        <w:pStyle w:val="Heading2"/>
        <w:spacing w:line="360" w:lineRule="auto"/>
      </w:pPr>
      <w:r>
        <w:t>4.6 Conclusions</w:t>
      </w:r>
    </w:p>
    <w:p w:rsidR="00BA7ACE" w:rsidRPr="002A3203" w:rsidRDefault="00E00BF0">
      <w:pPr>
        <w:pStyle w:val="Heading3"/>
        <w:spacing w:line="360" w:lineRule="auto"/>
      </w:pPr>
      <w:r>
        <w:t>4.6.1 Extent to Which the Research Problem Was Addressed</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core research problem identified in Chapter 1 was the absence of a structured, interoperable digital mechanism for general outpatient patients to report post-consultation follow-up data in a way that integrates with existing Electronic Medical Records. The system developed in this project directly addresses this problem. Patients at Mbagathi County Referral Hospital, or any KenyaEMR-equipped facility, can now submit structured follow-up reports through a secure web interface that replaces the informal SMS and WhatsApp channels previously in use. Clinicians can triage these submissions by urgency and review them through a structured dashboard linked to the patient’s clinical record. The API middleware layer successfully synchronizes follow-up </w:t>
      </w:r>
      <w:r>
        <w:rPr>
          <w:rFonts w:ascii="Times New Roman" w:hAnsi="Times New Roman" w:cs="Times New Roman"/>
          <w:sz w:val="24"/>
          <w:szCs w:val="24"/>
        </w:rPr>
        <w:lastRenderedPageBreak/>
        <w:t>data with the OpenMRS sandbox, demonstrating that patient-generated data can be programmatically linked to official clinical records without manual data entry or disruption to existing workflows. On this basis, the research problem has been substantially solved within the scope and constraints of the academic project.</w:t>
      </w:r>
    </w:p>
    <w:p w:rsidR="00BA7ACE" w:rsidRPr="002A3203" w:rsidRDefault="00E00BF0">
      <w:pPr>
        <w:pStyle w:val="Heading3"/>
        <w:spacing w:line="360" w:lineRule="auto"/>
      </w:pPr>
      <w:r>
        <w:t>4.6.2 Achievement of Specific Objectives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Specific Objective 1 — To investigate existing digital health systems in Kenya and identify gaps in patient follow-up processes and interoperability — was fully achieved through the literature review in Chapter 2 and the requirements elicitation process in Chapter 3. The review confirmed that KenyaEMR, IQCare, and Ushauri do not provide a structured follow-up mechanism for general outpatient care, and the interviews with clinical participants at Mbagathi Hospital validated these findings in the local context.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Specific Objective 2 — To design the architecture of a secure interoperable patient follow-up system — was fully achieved through the logical and physical design sections of Chapter 3, which produced a complete three-tier MVC architecture, entity-relationship database schema, system component diagram, use case diagram, and UI wireframes.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Specific Objective 3 — To develop and implement the designed system using Laravel, PHP, and MySQL — was fully achieved. All seven functional modules (authentication, submission, triage engine, dashboard, API middleware, notifications, and audit logging) were implemented and are operational in the sandbox environment. RESTful API compliance was confirmed through Postman testing, and compatibility with the OpenMRS-based KenyaEMR infrastructure was demonstrated through successful sandbox integration.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Specific Objective 4 — To test and evaluate the system — was fully achieved. Unit, integration, functional, security, usability, and performance tests were conducted. The average SUS usability score of 85.0 (Excellent) and the 100% functional test pass rate confirm that the system meets its specified requirements effectively.</w:t>
      </w:r>
    </w:p>
    <w:p w:rsidR="00BA7ACE" w:rsidRPr="002A3203" w:rsidRDefault="00E00BF0">
      <w:pPr>
        <w:pStyle w:val="Heading3"/>
        <w:spacing w:line="360" w:lineRule="auto"/>
      </w:pPr>
      <w:r>
        <w:t>4.6.3 Most Significant Accomplishments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most significant technical accomplishment of this project is the successful implementation of a working API middleware layer that programmatically synchronizes patient-generated health data with an OpenMRS instance, demonstrating that a Laravel-based system can interoperate with Kenya’s dominant EMR infrastructure without requiring modifications to the core EMR. This is a meaningful contribution to the applied research space, as no equivalent open-source middleware reference implementation existed for this specific integration pattern in the Kenyan context.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triage classification engine represents the most significant clinical contribution. By replacing unstructured informal messages with structured inputs that are automatically scored and ranked, the system provides clinicians with actionable, prioritized information rather than a raw queue of undifferentiated patient messages. The usability evaluation confirmed that clinical participants found this feature genuinely useful in the context of a high-volume outpatient department.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From an academic standpoint, the project successfully validates the hypothesis that a lightweight, open-source middleware architecture using Laravel and MySQL can bridge patient-generated data and enterprise EMR systems in a low-resource setting, providing an empirically tested reference model that can inform future digital health integration projects in Kenya and similar contexts.</w:t>
      </w:r>
    </w:p>
    <w:p w:rsidR="00BA7ACE" w:rsidRPr="002A3203" w:rsidRDefault="00E00BF0">
      <w:pPr>
        <w:pStyle w:val="Heading3"/>
        <w:spacing w:line="360" w:lineRule="auto"/>
      </w:pPr>
      <w:r>
        <w:t>4.6.4 Limitations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following limitations were encountered during the study and should be considered when interpreting the results.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First, the system was evaluated in a controlled sandbox environment using an OpenMRS test instance rather than the live KenyaEMR deployment at Mbagathi County Referral Hospital. While the sandbox was configured to replicate the target environment as closely as possible, real-world performance under live production conditions, including actual patient load and network variability within the hospital infrastructure, was not tested. This limits the generalizability of the performance test results.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 xml:space="preserve">Second, the usability evaluation was conducted with only two clinical participants due to the logistical constraints of the academic timeline and the hospital’s operational schedule. While the </w:t>
      </w:r>
      <w:r>
        <w:rPr>
          <w:rFonts w:ascii="Times New Roman" w:hAnsi="Times New Roman" w:cs="Times New Roman"/>
          <w:sz w:val="24"/>
          <w:szCs w:val="24"/>
        </w:rPr>
        <w:lastRenderedPageBreak/>
        <w:t>SUS scores obtained are statistically meaningful for a pilot evaluation, a larger sample of five to ten clinicians would provide greater confidence in the usability findings.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Third, the triage scoring thresholds were derived from consultation with clinical participants during requirements elicitation rather than from a formal clinical validation study. The urgency classification logic should be reviewed and validated by a qualified medical professional before the system is used in a clinical decision-support capacity in a live environment.</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Fourth, the system currently supports English only. Given that many outpatients at Mbagathi County Referral Hospital are Swahili-speaking, the absence of Swahili localization is a functional limitation that affects accessibility for a significant portion of the target user population.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Finally, the free-text field character limit of 500 characters, noted as restrictive by one usability participant, may limit the clinical value of patient-reported notes in complex post-consultation scenarios.</w:t>
      </w:r>
    </w:p>
    <w:p w:rsidR="00BA7ACE" w:rsidRPr="002A3203" w:rsidRDefault="00E00BF0">
      <w:pPr>
        <w:pStyle w:val="Heading2"/>
        <w:spacing w:line="360" w:lineRule="auto"/>
      </w:pPr>
      <w:r>
        <w:t>4.7 Recommendations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The following recommendations are proposed for future development and deployment of the system, derived directly from the conclusions and limitations identified above.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First, the system should be deployed and piloted in the live production environment at Mbagathi County Referral Hospital for a period of three months under supervision, with real patient accounts created and managed by clinical staff. This pilot would provide empirical data on real-world performance, adoption rates, and any workflow integration challenges not surfaced in the sandbox evaluation.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Second, the triage scoring thresholds should be reviewed and validated by a qualified clinical officer or medical officer with experience in general outpatient triage before any live clinical deployment. It is recommended that the triage rules be approved through a formal clinical review process and documented as part of the system’s medical device risk assessment, in alignment with Kenya’s emerging medical device regulatory framework.</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Third, Swahili localization should be implemented as a priority for the patient-facing interface. Laravel’s built-in localization framework (lang files) supports this directly and would not require architectural changes. Swahili translation of all form labels, validation messages, confirmation screens, and user guide content would significantly improve accessibility for the hospital’s patient population.</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Fourth, the free-text field character limit should be increased from 500 to 1,000 characters, as recommended by the usability testing participant, to accommodate more detailed patient-reported notes for complex post-consultation scenarios without compromising the structured input model.</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Fifth, the notification system should be extended to support SMS delivery via Africa’s Talking SMS gateway, in addition to email. Given the variable email access patterns of clinical staff in Kenyan hospital settings, SMS notification would provide a more reliable real-time alert channel for High-urgency submissions, particularly in facilities where clinicians do not have continuous workstation access during outpatient hours.</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Sixth, the system architecture should be extended to support multi-facility deployment by introducing a tenant isolation model, allowing multiple KenyaEMR-equipped facilities to operate independent data partitions within a shared application instance. This would allow the Ministry of Health or county health authorities to deploy the system as a shared digital health service across multiple Level 4 and Level 5 facilities without requiring separate server infrastructure at each site.</w:t>
      </w:r>
    </w:p>
    <w:p w:rsidR="00BA7ACE" w:rsidRPr="002A3203" w:rsidRDefault="00E00BF0">
      <w:pPr>
        <w:spacing w:line="360" w:lineRule="auto"/>
        <w:rPr>
          <w:rFonts w:ascii="Times New Roman" w:hAnsi="Times New Roman" w:cs="Times New Roman"/>
          <w:sz w:val="24"/>
          <w:szCs w:val="24"/>
        </w:rPr>
      </w:pPr>
      <w:r>
        <w:rPr>
          <w:rFonts w:ascii="Times New Roman" w:hAnsi="Times New Roman" w:cs="Times New Roman"/>
          <w:sz w:val="24"/>
          <w:szCs w:val="24"/>
        </w:rPr>
        <w:t>Seventh, the system’s FHIR compatibility should be evaluated and extended in a future version. While the current middleware uses the OpenMRS REST API v1 (non-FHIR), OpenMRS 3.x supports a FHIR R4 module. Migrating the synchronization layer to HL7 FHIR R4 would align the system with the Kenya Digital Health Master Plan 2019–2030’s interoperability standards and enable integration with the national DHIS2 and Afya-Poa platforms in future iterations.</w:t>
      </w:r>
    </w:p>
    <w:p w:rsidR="00861EBB" w:rsidRPr="002A3203" w:rsidRDefault="00861EBB" w:rsidP="00AB654A">
      <w:pPr>
        <w:pStyle w:val="Heading2"/>
        <w:spacing w:line="360" w:lineRule="auto"/>
      </w:pPr>
      <w:bookmarkStart w:id="0" w:name="_Toc222725072"/>
    </w:p>
    <w:p w:rsidR="00861EBB" w:rsidRPr="002A3203" w:rsidRDefault="00861EBB" w:rsidP="00AB654A">
      <w:pPr>
        <w:pStyle w:val="Heading3"/>
        <w:spacing w:line="360" w:lineRule="auto"/>
        <w:rPr>
          <w:u w:val="single"/>
        </w:rPr>
      </w:pPr>
      <w:bookmarkStart w:id="1" w:name="_Toc222725074"/>
      <w:bookmarkStart w:id="2" w:name="_GoBack"/>
      <w:bookmarkEnd w:id="0"/>
      <w:bookmarkEnd w:id="2"/>
    </w:p>
    <w:p w:rsidR="00861EBB" w:rsidRPr="002A3203" w:rsidRDefault="00861EBB" w:rsidP="00AB654A">
      <w:pPr>
        <w:pStyle w:val="Heading3"/>
        <w:spacing w:line="360" w:lineRule="auto"/>
        <w:rPr>
          <w:u w:val="single"/>
        </w:rPr>
      </w:pPr>
    </w:p>
    <w:p w:rsidR="00861EBB" w:rsidRPr="002A3203" w:rsidRDefault="00861EBB" w:rsidP="00AB654A">
      <w:pPr>
        <w:pStyle w:val="Heading3"/>
        <w:spacing w:line="360" w:lineRule="auto"/>
        <w:rPr>
          <w:u w:val="single"/>
        </w:rPr>
      </w:pPr>
    </w:p>
    <w:bookmarkEnd w:id="1"/>
    <w:p w:rsidR="00AB654A" w:rsidRPr="002A3203" w:rsidRDefault="00AB654A" w:rsidP="00AB654A">
      <w:pPr>
        <w:spacing w:line="360" w:lineRule="auto"/>
        <w:rPr>
          <w:rFonts w:ascii="Times New Roman" w:hAnsi="Times New Roman" w:cs="Times New Roman"/>
          <w:sz w:val="24"/>
          <w:szCs w:val="24"/>
        </w:rPr>
      </w:pPr>
    </w:p>
    <w:p w:rsidR="00AB654A" w:rsidRPr="002A3203" w:rsidRDefault="00AB654A" w:rsidP="00AB654A">
      <w:pPr>
        <w:spacing w:line="360" w:lineRule="auto"/>
        <w:rPr>
          <w:rFonts w:ascii="Times New Roman" w:hAnsi="Times New Roman" w:cs="Times New Roman"/>
          <w:sz w:val="24"/>
          <w:szCs w:val="24"/>
        </w:rPr>
      </w:pPr>
    </w:p>
    <w:p w:rsidR="003111EB" w:rsidRPr="002A3203" w:rsidRDefault="003111EB" w:rsidP="00AB654A">
      <w:pPr>
        <w:spacing w:line="360" w:lineRule="auto"/>
        <w:rPr>
          <w:rFonts w:ascii="Times New Roman" w:hAnsi="Times New Roman" w:cs="Times New Roman"/>
          <w:sz w:val="24"/>
          <w:szCs w:val="24"/>
        </w:rPr>
      </w:pPr>
    </w:p>
    <w:sectPr w:rsidR="003111EB" w:rsidRPr="002A320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71BA" w:rsidRDefault="00E171BA" w:rsidP="00747152">
      <w:pPr>
        <w:spacing w:after="0" w:line="240" w:lineRule="auto"/>
      </w:pPr>
      <w:r>
        <w:separator/>
      </w:r>
    </w:p>
  </w:endnote>
  <w:endnote w:type="continuationSeparator" w:id="0">
    <w:p w:rsidR="00E171BA" w:rsidRDefault="00E171BA" w:rsidP="00747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0016329"/>
      <w:docPartObj>
        <w:docPartGallery w:val="Page Numbers (Bottom of Page)"/>
        <w:docPartUnique/>
      </w:docPartObj>
    </w:sdtPr>
    <w:sdtEndPr>
      <w:rPr>
        <w:noProof/>
      </w:rPr>
    </w:sdtEndPr>
    <w:sdtContent>
      <w:p w:rsidR="008A2664" w:rsidRDefault="008A2664">
        <w:pPr>
          <w:pStyle w:val="Footer"/>
          <w:jc w:val="right"/>
        </w:pPr>
        <w:r>
          <w:fldChar w:fldCharType="begin"/>
        </w:r>
        <w:r>
          <w:instrText xml:space="preserve"> PAGE   \* MERGEFORMAT </w:instrText>
        </w:r>
        <w:r>
          <w:fldChar w:fldCharType="separate"/>
        </w:r>
        <w:r w:rsidR="00281CB9">
          <w:rPr>
            <w:noProof/>
          </w:rPr>
          <w:t>22</w:t>
        </w:r>
        <w:r>
          <w:rPr>
            <w:noProof/>
          </w:rPr>
          <w:fldChar w:fldCharType="end"/>
        </w:r>
      </w:p>
    </w:sdtContent>
  </w:sdt>
  <w:p w:rsidR="008A2664" w:rsidRDefault="008A2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71BA" w:rsidRDefault="00E171BA" w:rsidP="00747152">
      <w:pPr>
        <w:spacing w:after="0" w:line="240" w:lineRule="auto"/>
      </w:pPr>
      <w:r>
        <w:separator/>
      </w:r>
    </w:p>
  </w:footnote>
  <w:footnote w:type="continuationSeparator" w:id="0">
    <w:p w:rsidR="00E171BA" w:rsidRDefault="00E171BA" w:rsidP="00747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22421"/>
    <w:multiLevelType w:val="multilevel"/>
    <w:tmpl w:val="82F4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73D96"/>
    <w:multiLevelType w:val="multilevel"/>
    <w:tmpl w:val="E5DE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2518"/>
    <w:multiLevelType w:val="multilevel"/>
    <w:tmpl w:val="8B2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C42EA"/>
    <w:multiLevelType w:val="multilevel"/>
    <w:tmpl w:val="A6D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84F0B"/>
    <w:multiLevelType w:val="multilevel"/>
    <w:tmpl w:val="629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7BC7"/>
    <w:multiLevelType w:val="multilevel"/>
    <w:tmpl w:val="8C2E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D5202"/>
    <w:multiLevelType w:val="multilevel"/>
    <w:tmpl w:val="9502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97928"/>
    <w:multiLevelType w:val="multilevel"/>
    <w:tmpl w:val="79D0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20AA4"/>
    <w:multiLevelType w:val="hybridMultilevel"/>
    <w:tmpl w:val="AAB67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95E3A"/>
    <w:multiLevelType w:val="multilevel"/>
    <w:tmpl w:val="32FC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782C"/>
    <w:multiLevelType w:val="hybridMultilevel"/>
    <w:tmpl w:val="72BE7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980F07"/>
    <w:multiLevelType w:val="multilevel"/>
    <w:tmpl w:val="5D1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57A31"/>
    <w:multiLevelType w:val="multilevel"/>
    <w:tmpl w:val="1DC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93B5F"/>
    <w:multiLevelType w:val="multilevel"/>
    <w:tmpl w:val="CD0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51DB9"/>
    <w:multiLevelType w:val="multilevel"/>
    <w:tmpl w:val="EAB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C1D6B"/>
    <w:multiLevelType w:val="hybridMultilevel"/>
    <w:tmpl w:val="951CF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D84212"/>
    <w:multiLevelType w:val="multilevel"/>
    <w:tmpl w:val="DE6A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21613"/>
    <w:multiLevelType w:val="multilevel"/>
    <w:tmpl w:val="18F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D692A"/>
    <w:multiLevelType w:val="multilevel"/>
    <w:tmpl w:val="7584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B06E3"/>
    <w:multiLevelType w:val="multilevel"/>
    <w:tmpl w:val="DD0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44CE2"/>
    <w:multiLevelType w:val="multilevel"/>
    <w:tmpl w:val="70FA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A531B0"/>
    <w:multiLevelType w:val="multilevel"/>
    <w:tmpl w:val="D380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B3E37"/>
    <w:multiLevelType w:val="multilevel"/>
    <w:tmpl w:val="05C4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B2679E"/>
    <w:multiLevelType w:val="multilevel"/>
    <w:tmpl w:val="C44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87E27"/>
    <w:multiLevelType w:val="multilevel"/>
    <w:tmpl w:val="FC22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19607A"/>
    <w:multiLevelType w:val="multilevel"/>
    <w:tmpl w:val="FAAA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251B7"/>
    <w:multiLevelType w:val="hybridMultilevel"/>
    <w:tmpl w:val="5664A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5F16F1"/>
    <w:multiLevelType w:val="multilevel"/>
    <w:tmpl w:val="B96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30442"/>
    <w:multiLevelType w:val="multilevel"/>
    <w:tmpl w:val="190C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D7CCB"/>
    <w:multiLevelType w:val="multilevel"/>
    <w:tmpl w:val="B3DA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B7459"/>
    <w:multiLevelType w:val="multilevel"/>
    <w:tmpl w:val="90F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026B3"/>
    <w:multiLevelType w:val="multilevel"/>
    <w:tmpl w:val="CD5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0475B5"/>
    <w:multiLevelType w:val="multilevel"/>
    <w:tmpl w:val="E85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F4AEF"/>
    <w:multiLevelType w:val="multilevel"/>
    <w:tmpl w:val="10E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A1A15"/>
    <w:multiLevelType w:val="multilevel"/>
    <w:tmpl w:val="A52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A0A9B"/>
    <w:multiLevelType w:val="multilevel"/>
    <w:tmpl w:val="35A0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52DC9"/>
    <w:multiLevelType w:val="multilevel"/>
    <w:tmpl w:val="6B08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71BF2"/>
    <w:multiLevelType w:val="multilevel"/>
    <w:tmpl w:val="B710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B041F"/>
    <w:multiLevelType w:val="multilevel"/>
    <w:tmpl w:val="A52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0C1EE2"/>
    <w:multiLevelType w:val="multilevel"/>
    <w:tmpl w:val="E788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27A0F"/>
    <w:multiLevelType w:val="multilevel"/>
    <w:tmpl w:val="AD8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954C2"/>
    <w:multiLevelType w:val="multilevel"/>
    <w:tmpl w:val="CC1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14348"/>
    <w:multiLevelType w:val="multilevel"/>
    <w:tmpl w:val="E3F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90CD8"/>
    <w:multiLevelType w:val="multilevel"/>
    <w:tmpl w:val="E414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D876C9"/>
    <w:multiLevelType w:val="hybridMultilevel"/>
    <w:tmpl w:val="770A58F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5" w15:restartNumberingAfterBreak="0">
    <w:nsid w:val="77D73B4E"/>
    <w:multiLevelType w:val="multilevel"/>
    <w:tmpl w:val="9AD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9346A"/>
    <w:multiLevelType w:val="multilevel"/>
    <w:tmpl w:val="095C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A3E9F"/>
    <w:multiLevelType w:val="multilevel"/>
    <w:tmpl w:val="2F6C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0"/>
  </w:num>
  <w:num w:numId="3">
    <w:abstractNumId w:val="22"/>
  </w:num>
  <w:num w:numId="4">
    <w:abstractNumId w:val="32"/>
  </w:num>
  <w:num w:numId="5">
    <w:abstractNumId w:val="4"/>
  </w:num>
  <w:num w:numId="6">
    <w:abstractNumId w:val="28"/>
  </w:num>
  <w:num w:numId="7">
    <w:abstractNumId w:val="27"/>
  </w:num>
  <w:num w:numId="8">
    <w:abstractNumId w:val="29"/>
  </w:num>
  <w:num w:numId="9">
    <w:abstractNumId w:val="6"/>
  </w:num>
  <w:num w:numId="10">
    <w:abstractNumId w:val="25"/>
  </w:num>
  <w:num w:numId="11">
    <w:abstractNumId w:val="33"/>
  </w:num>
  <w:num w:numId="12">
    <w:abstractNumId w:val="31"/>
  </w:num>
  <w:num w:numId="13">
    <w:abstractNumId w:val="35"/>
  </w:num>
  <w:num w:numId="14">
    <w:abstractNumId w:val="40"/>
  </w:num>
  <w:num w:numId="15">
    <w:abstractNumId w:val="30"/>
  </w:num>
  <w:num w:numId="16">
    <w:abstractNumId w:val="7"/>
  </w:num>
  <w:num w:numId="17">
    <w:abstractNumId w:val="39"/>
  </w:num>
  <w:num w:numId="18">
    <w:abstractNumId w:val="3"/>
  </w:num>
  <w:num w:numId="19">
    <w:abstractNumId w:val="34"/>
  </w:num>
  <w:num w:numId="20">
    <w:abstractNumId w:val="23"/>
  </w:num>
  <w:num w:numId="21">
    <w:abstractNumId w:val="38"/>
  </w:num>
  <w:num w:numId="22">
    <w:abstractNumId w:val="17"/>
  </w:num>
  <w:num w:numId="23">
    <w:abstractNumId w:val="24"/>
  </w:num>
  <w:num w:numId="24">
    <w:abstractNumId w:val="5"/>
  </w:num>
  <w:num w:numId="25">
    <w:abstractNumId w:val="13"/>
  </w:num>
  <w:num w:numId="26">
    <w:abstractNumId w:val="36"/>
  </w:num>
  <w:num w:numId="27">
    <w:abstractNumId w:val="45"/>
  </w:num>
  <w:num w:numId="28">
    <w:abstractNumId w:val="18"/>
  </w:num>
  <w:num w:numId="29">
    <w:abstractNumId w:val="9"/>
  </w:num>
  <w:num w:numId="30">
    <w:abstractNumId w:val="41"/>
  </w:num>
  <w:num w:numId="31">
    <w:abstractNumId w:val="21"/>
  </w:num>
  <w:num w:numId="32">
    <w:abstractNumId w:val="20"/>
  </w:num>
  <w:num w:numId="33">
    <w:abstractNumId w:val="2"/>
  </w:num>
  <w:num w:numId="34">
    <w:abstractNumId w:val="12"/>
  </w:num>
  <w:num w:numId="35">
    <w:abstractNumId w:val="14"/>
  </w:num>
  <w:num w:numId="36">
    <w:abstractNumId w:val="1"/>
  </w:num>
  <w:num w:numId="37">
    <w:abstractNumId w:val="47"/>
  </w:num>
  <w:num w:numId="38">
    <w:abstractNumId w:val="16"/>
  </w:num>
  <w:num w:numId="39">
    <w:abstractNumId w:val="19"/>
  </w:num>
  <w:num w:numId="40">
    <w:abstractNumId w:val="46"/>
  </w:num>
  <w:num w:numId="41">
    <w:abstractNumId w:val="43"/>
  </w:num>
  <w:num w:numId="42">
    <w:abstractNumId w:val="37"/>
  </w:num>
  <w:num w:numId="43">
    <w:abstractNumId w:val="42"/>
  </w:num>
  <w:num w:numId="44">
    <w:abstractNumId w:val="10"/>
  </w:num>
  <w:num w:numId="45">
    <w:abstractNumId w:val="8"/>
  </w:num>
  <w:num w:numId="46">
    <w:abstractNumId w:val="15"/>
  </w:num>
  <w:num w:numId="47">
    <w:abstractNumId w:val="26"/>
  </w:num>
  <w:num w:numId="4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1EB"/>
    <w:rsid w:val="00010AE1"/>
    <w:rsid w:val="000112C0"/>
    <w:rsid w:val="00012914"/>
    <w:rsid w:val="0001675D"/>
    <w:rsid w:val="00017EF1"/>
    <w:rsid w:val="0004126F"/>
    <w:rsid w:val="000573C8"/>
    <w:rsid w:val="00080F1E"/>
    <w:rsid w:val="000A75B9"/>
    <w:rsid w:val="000E5630"/>
    <w:rsid w:val="001322FB"/>
    <w:rsid w:val="001426E7"/>
    <w:rsid w:val="00151D78"/>
    <w:rsid w:val="001560EC"/>
    <w:rsid w:val="001732AE"/>
    <w:rsid w:val="001819A1"/>
    <w:rsid w:val="0019143E"/>
    <w:rsid w:val="00194124"/>
    <w:rsid w:val="00195044"/>
    <w:rsid w:val="001A51E5"/>
    <w:rsid w:val="001A5631"/>
    <w:rsid w:val="001B3F1B"/>
    <w:rsid w:val="001D2067"/>
    <w:rsid w:val="001E2743"/>
    <w:rsid w:val="001F3991"/>
    <w:rsid w:val="00202489"/>
    <w:rsid w:val="00202DC6"/>
    <w:rsid w:val="00203BEE"/>
    <w:rsid w:val="0027154F"/>
    <w:rsid w:val="0027638C"/>
    <w:rsid w:val="00281CB9"/>
    <w:rsid w:val="00282FAC"/>
    <w:rsid w:val="0028587F"/>
    <w:rsid w:val="002A2AD5"/>
    <w:rsid w:val="002A3203"/>
    <w:rsid w:val="002B02B1"/>
    <w:rsid w:val="002D2E49"/>
    <w:rsid w:val="002E131B"/>
    <w:rsid w:val="002E54AE"/>
    <w:rsid w:val="002F14A8"/>
    <w:rsid w:val="002F570B"/>
    <w:rsid w:val="00306878"/>
    <w:rsid w:val="003111EB"/>
    <w:rsid w:val="00314EA8"/>
    <w:rsid w:val="003221EE"/>
    <w:rsid w:val="003229DE"/>
    <w:rsid w:val="003312D7"/>
    <w:rsid w:val="003549CA"/>
    <w:rsid w:val="00355B2E"/>
    <w:rsid w:val="0037175C"/>
    <w:rsid w:val="00396F26"/>
    <w:rsid w:val="003C347D"/>
    <w:rsid w:val="003E4D2C"/>
    <w:rsid w:val="00402F73"/>
    <w:rsid w:val="00405CC0"/>
    <w:rsid w:val="004411A7"/>
    <w:rsid w:val="004417E4"/>
    <w:rsid w:val="00457EA9"/>
    <w:rsid w:val="00485DCA"/>
    <w:rsid w:val="00487CC2"/>
    <w:rsid w:val="004B6F69"/>
    <w:rsid w:val="004D7B6E"/>
    <w:rsid w:val="004E6344"/>
    <w:rsid w:val="00501082"/>
    <w:rsid w:val="0052433A"/>
    <w:rsid w:val="00550DDE"/>
    <w:rsid w:val="005667B6"/>
    <w:rsid w:val="00574FD4"/>
    <w:rsid w:val="005A286F"/>
    <w:rsid w:val="005A5DDF"/>
    <w:rsid w:val="0061720C"/>
    <w:rsid w:val="0063136E"/>
    <w:rsid w:val="00637882"/>
    <w:rsid w:val="00640C4C"/>
    <w:rsid w:val="006468F9"/>
    <w:rsid w:val="00652B7F"/>
    <w:rsid w:val="00655462"/>
    <w:rsid w:val="006649EF"/>
    <w:rsid w:val="00666366"/>
    <w:rsid w:val="00682594"/>
    <w:rsid w:val="006952A3"/>
    <w:rsid w:val="006B110C"/>
    <w:rsid w:val="006B44A4"/>
    <w:rsid w:val="006C06CF"/>
    <w:rsid w:val="006C448E"/>
    <w:rsid w:val="007148A7"/>
    <w:rsid w:val="00734590"/>
    <w:rsid w:val="0074003D"/>
    <w:rsid w:val="0074346B"/>
    <w:rsid w:val="00747152"/>
    <w:rsid w:val="00753499"/>
    <w:rsid w:val="007C0CC0"/>
    <w:rsid w:val="007D2EC6"/>
    <w:rsid w:val="007D421C"/>
    <w:rsid w:val="007E431B"/>
    <w:rsid w:val="007F7279"/>
    <w:rsid w:val="0084010A"/>
    <w:rsid w:val="00842CC0"/>
    <w:rsid w:val="00846E8A"/>
    <w:rsid w:val="0084740D"/>
    <w:rsid w:val="0085748E"/>
    <w:rsid w:val="00861EBB"/>
    <w:rsid w:val="00870C1A"/>
    <w:rsid w:val="00874075"/>
    <w:rsid w:val="00874079"/>
    <w:rsid w:val="00877AFB"/>
    <w:rsid w:val="00892E5F"/>
    <w:rsid w:val="008A2664"/>
    <w:rsid w:val="008C508D"/>
    <w:rsid w:val="008D6D9C"/>
    <w:rsid w:val="008E37C3"/>
    <w:rsid w:val="008E53C1"/>
    <w:rsid w:val="00923676"/>
    <w:rsid w:val="0093172D"/>
    <w:rsid w:val="0096285E"/>
    <w:rsid w:val="009635D4"/>
    <w:rsid w:val="00965D81"/>
    <w:rsid w:val="00972B38"/>
    <w:rsid w:val="00973D20"/>
    <w:rsid w:val="0097786A"/>
    <w:rsid w:val="00980001"/>
    <w:rsid w:val="0098054C"/>
    <w:rsid w:val="00987874"/>
    <w:rsid w:val="009A500A"/>
    <w:rsid w:val="009A6C80"/>
    <w:rsid w:val="009D7380"/>
    <w:rsid w:val="009E6810"/>
    <w:rsid w:val="009F20A3"/>
    <w:rsid w:val="00A109C3"/>
    <w:rsid w:val="00A20084"/>
    <w:rsid w:val="00A23751"/>
    <w:rsid w:val="00A66947"/>
    <w:rsid w:val="00A70C5D"/>
    <w:rsid w:val="00A82495"/>
    <w:rsid w:val="00AB654A"/>
    <w:rsid w:val="00B0280F"/>
    <w:rsid w:val="00B45678"/>
    <w:rsid w:val="00B703F6"/>
    <w:rsid w:val="00B855B7"/>
    <w:rsid w:val="00BA7ACE"/>
    <w:rsid w:val="00BC1AD1"/>
    <w:rsid w:val="00BD70F2"/>
    <w:rsid w:val="00BE0A3B"/>
    <w:rsid w:val="00BE3CD5"/>
    <w:rsid w:val="00BF196D"/>
    <w:rsid w:val="00BF4682"/>
    <w:rsid w:val="00C03598"/>
    <w:rsid w:val="00C13A57"/>
    <w:rsid w:val="00C25698"/>
    <w:rsid w:val="00C25E44"/>
    <w:rsid w:val="00C51A8B"/>
    <w:rsid w:val="00C707C8"/>
    <w:rsid w:val="00C71285"/>
    <w:rsid w:val="00C84EB9"/>
    <w:rsid w:val="00CA1A2A"/>
    <w:rsid w:val="00CA5C02"/>
    <w:rsid w:val="00CD6CD0"/>
    <w:rsid w:val="00D20AB5"/>
    <w:rsid w:val="00D236A2"/>
    <w:rsid w:val="00D349C5"/>
    <w:rsid w:val="00D523CB"/>
    <w:rsid w:val="00D70E21"/>
    <w:rsid w:val="00D74434"/>
    <w:rsid w:val="00D779F1"/>
    <w:rsid w:val="00D87B20"/>
    <w:rsid w:val="00DA109B"/>
    <w:rsid w:val="00DC3AA0"/>
    <w:rsid w:val="00DD568C"/>
    <w:rsid w:val="00DE0712"/>
    <w:rsid w:val="00DF50A3"/>
    <w:rsid w:val="00E00BF0"/>
    <w:rsid w:val="00E171BA"/>
    <w:rsid w:val="00E21C29"/>
    <w:rsid w:val="00E245F7"/>
    <w:rsid w:val="00E33F87"/>
    <w:rsid w:val="00E55B52"/>
    <w:rsid w:val="00E6384E"/>
    <w:rsid w:val="00E72037"/>
    <w:rsid w:val="00E80A5A"/>
    <w:rsid w:val="00E81330"/>
    <w:rsid w:val="00E81712"/>
    <w:rsid w:val="00E938D2"/>
    <w:rsid w:val="00EA61C6"/>
    <w:rsid w:val="00EB1418"/>
    <w:rsid w:val="00EB53A1"/>
    <w:rsid w:val="00ED2A33"/>
    <w:rsid w:val="00EF77BE"/>
    <w:rsid w:val="00F02C75"/>
    <w:rsid w:val="00F07386"/>
    <w:rsid w:val="00F10C27"/>
    <w:rsid w:val="00F40A8E"/>
    <w:rsid w:val="00F433E9"/>
    <w:rsid w:val="00F5660E"/>
    <w:rsid w:val="00F57058"/>
    <w:rsid w:val="00F819F7"/>
    <w:rsid w:val="00FA49B1"/>
    <w:rsid w:val="00FE4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173C"/>
  <w15:chartTrackingRefBased/>
  <w15:docId w15:val="{10206172-11F4-4694-AD53-88D872C30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44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44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44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A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44A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44A4"/>
    <w:rPr>
      <w:rFonts w:ascii="Times New Roman" w:eastAsia="Times New Roman" w:hAnsi="Times New Roman" w:cs="Times New Roman"/>
      <w:b/>
      <w:bCs/>
      <w:sz w:val="27"/>
      <w:szCs w:val="27"/>
    </w:rPr>
  </w:style>
  <w:style w:type="paragraph" w:styleId="NormalWeb">
    <w:name w:val="Normal (Web)"/>
    <w:basedOn w:val="Normal"/>
    <w:uiPriority w:val="99"/>
    <w:unhideWhenUsed/>
    <w:rsid w:val="006B44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44A4"/>
    <w:rPr>
      <w:b/>
      <w:bCs/>
    </w:rPr>
  </w:style>
  <w:style w:type="character" w:styleId="Emphasis">
    <w:name w:val="Emphasis"/>
    <w:basedOn w:val="DefaultParagraphFont"/>
    <w:uiPriority w:val="20"/>
    <w:qFormat/>
    <w:rsid w:val="006B44A4"/>
    <w:rPr>
      <w:i/>
      <w:iCs/>
    </w:rPr>
  </w:style>
  <w:style w:type="paragraph" w:styleId="TOCHeading">
    <w:name w:val="TOC Heading"/>
    <w:basedOn w:val="Heading1"/>
    <w:next w:val="Normal"/>
    <w:uiPriority w:val="39"/>
    <w:unhideWhenUsed/>
    <w:qFormat/>
    <w:rsid w:val="00973D2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203BEE"/>
    <w:pPr>
      <w:tabs>
        <w:tab w:val="right" w:leader="dot" w:pos="9350"/>
      </w:tabs>
      <w:spacing w:after="100"/>
      <w:ind w:left="220"/>
    </w:pPr>
    <w:rPr>
      <w:rFonts w:eastAsiaTheme="minorEastAsia" w:cs="Times New Roman"/>
      <w:b/>
      <w:bCs/>
      <w:noProof/>
    </w:rPr>
  </w:style>
  <w:style w:type="paragraph" w:styleId="TOC1">
    <w:name w:val="toc 1"/>
    <w:basedOn w:val="Normal"/>
    <w:next w:val="Normal"/>
    <w:autoRedefine/>
    <w:uiPriority w:val="39"/>
    <w:unhideWhenUsed/>
    <w:rsid w:val="00973D20"/>
    <w:pPr>
      <w:spacing w:after="100"/>
    </w:pPr>
    <w:rPr>
      <w:rFonts w:eastAsiaTheme="minorEastAsia" w:cs="Times New Roman"/>
    </w:rPr>
  </w:style>
  <w:style w:type="paragraph" w:styleId="TOC3">
    <w:name w:val="toc 3"/>
    <w:basedOn w:val="Normal"/>
    <w:next w:val="Normal"/>
    <w:autoRedefine/>
    <w:uiPriority w:val="39"/>
    <w:unhideWhenUsed/>
    <w:rsid w:val="00973D20"/>
    <w:pPr>
      <w:spacing w:after="100"/>
      <w:ind w:left="440"/>
    </w:pPr>
    <w:rPr>
      <w:rFonts w:eastAsiaTheme="minorEastAsia" w:cs="Times New Roman"/>
    </w:rPr>
  </w:style>
  <w:style w:type="character" w:styleId="Hyperlink">
    <w:name w:val="Hyperlink"/>
    <w:basedOn w:val="DefaultParagraphFont"/>
    <w:uiPriority w:val="99"/>
    <w:unhideWhenUsed/>
    <w:rsid w:val="00A70C5D"/>
    <w:rPr>
      <w:color w:val="0563C1" w:themeColor="hyperlink"/>
      <w:u w:val="single"/>
    </w:rPr>
  </w:style>
  <w:style w:type="paragraph" w:styleId="Header">
    <w:name w:val="header"/>
    <w:basedOn w:val="Normal"/>
    <w:link w:val="HeaderChar"/>
    <w:uiPriority w:val="99"/>
    <w:unhideWhenUsed/>
    <w:rsid w:val="007471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152"/>
  </w:style>
  <w:style w:type="paragraph" w:styleId="Footer">
    <w:name w:val="footer"/>
    <w:basedOn w:val="Normal"/>
    <w:link w:val="FooterChar"/>
    <w:uiPriority w:val="99"/>
    <w:unhideWhenUsed/>
    <w:rsid w:val="007471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152"/>
  </w:style>
  <w:style w:type="paragraph" w:styleId="ListParagraph">
    <w:name w:val="List Paragraph"/>
    <w:basedOn w:val="Normal"/>
    <w:uiPriority w:val="34"/>
    <w:qFormat/>
    <w:rsid w:val="00B0280F"/>
    <w:pPr>
      <w:ind w:left="720"/>
      <w:contextualSpacing/>
    </w:pPr>
  </w:style>
  <w:style w:type="paragraph" w:styleId="NoSpacing">
    <w:name w:val="No Spacing"/>
    <w:uiPriority w:val="1"/>
    <w:qFormat/>
    <w:rsid w:val="00637882"/>
    <w:pPr>
      <w:spacing w:after="0" w:line="240" w:lineRule="auto"/>
    </w:pPr>
  </w:style>
  <w:style w:type="paragraph" w:styleId="Caption">
    <w:name w:val="caption"/>
    <w:basedOn w:val="Normal"/>
    <w:next w:val="Normal"/>
    <w:uiPriority w:val="35"/>
    <w:unhideWhenUsed/>
    <w:qFormat/>
    <w:rsid w:val="00C707C8"/>
    <w:pPr>
      <w:spacing w:after="200" w:line="240" w:lineRule="auto"/>
    </w:pPr>
    <w:rPr>
      <w:i/>
      <w:iCs/>
      <w:color w:val="44546A" w:themeColor="text2"/>
      <w:sz w:val="18"/>
      <w:szCs w:val="18"/>
    </w:rPr>
  </w:style>
  <w:style w:type="paragraph" w:customStyle="1" w:styleId="font-claude-response-body">
    <w:name w:val="font-claude-response-body"/>
    <w:basedOn w:val="Normal"/>
    <w:rsid w:val="001D20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A66947"/>
  </w:style>
  <w:style w:type="character" w:customStyle="1" w:styleId="text-nowrap">
    <w:name w:val="text-nowrap"/>
    <w:basedOn w:val="DefaultParagraphFont"/>
    <w:rsid w:val="00A66947"/>
  </w:style>
  <w:style w:type="table" w:styleId="TableGrid">
    <w:name w:val="Table Grid"/>
    <w:basedOn w:val="TableNormal"/>
    <w:uiPriority w:val="59"/>
    <w:rsid w:val="006649E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4141">
      <w:bodyDiv w:val="1"/>
      <w:marLeft w:val="0"/>
      <w:marRight w:val="0"/>
      <w:marTop w:val="0"/>
      <w:marBottom w:val="0"/>
      <w:divBdr>
        <w:top w:val="none" w:sz="0" w:space="0" w:color="auto"/>
        <w:left w:val="none" w:sz="0" w:space="0" w:color="auto"/>
        <w:bottom w:val="none" w:sz="0" w:space="0" w:color="auto"/>
        <w:right w:val="none" w:sz="0" w:space="0" w:color="auto"/>
      </w:divBdr>
    </w:div>
    <w:div w:id="52194182">
      <w:bodyDiv w:val="1"/>
      <w:marLeft w:val="0"/>
      <w:marRight w:val="0"/>
      <w:marTop w:val="0"/>
      <w:marBottom w:val="0"/>
      <w:divBdr>
        <w:top w:val="none" w:sz="0" w:space="0" w:color="auto"/>
        <w:left w:val="none" w:sz="0" w:space="0" w:color="auto"/>
        <w:bottom w:val="none" w:sz="0" w:space="0" w:color="auto"/>
        <w:right w:val="none" w:sz="0" w:space="0" w:color="auto"/>
      </w:divBdr>
    </w:div>
    <w:div w:id="67046873">
      <w:bodyDiv w:val="1"/>
      <w:marLeft w:val="0"/>
      <w:marRight w:val="0"/>
      <w:marTop w:val="0"/>
      <w:marBottom w:val="0"/>
      <w:divBdr>
        <w:top w:val="none" w:sz="0" w:space="0" w:color="auto"/>
        <w:left w:val="none" w:sz="0" w:space="0" w:color="auto"/>
        <w:bottom w:val="none" w:sz="0" w:space="0" w:color="auto"/>
        <w:right w:val="none" w:sz="0" w:space="0" w:color="auto"/>
      </w:divBdr>
    </w:div>
    <w:div w:id="235820458">
      <w:bodyDiv w:val="1"/>
      <w:marLeft w:val="0"/>
      <w:marRight w:val="0"/>
      <w:marTop w:val="0"/>
      <w:marBottom w:val="0"/>
      <w:divBdr>
        <w:top w:val="none" w:sz="0" w:space="0" w:color="auto"/>
        <w:left w:val="none" w:sz="0" w:space="0" w:color="auto"/>
        <w:bottom w:val="none" w:sz="0" w:space="0" w:color="auto"/>
        <w:right w:val="none" w:sz="0" w:space="0" w:color="auto"/>
      </w:divBdr>
    </w:div>
    <w:div w:id="344985726">
      <w:bodyDiv w:val="1"/>
      <w:marLeft w:val="0"/>
      <w:marRight w:val="0"/>
      <w:marTop w:val="0"/>
      <w:marBottom w:val="0"/>
      <w:divBdr>
        <w:top w:val="none" w:sz="0" w:space="0" w:color="auto"/>
        <w:left w:val="none" w:sz="0" w:space="0" w:color="auto"/>
        <w:bottom w:val="none" w:sz="0" w:space="0" w:color="auto"/>
        <w:right w:val="none" w:sz="0" w:space="0" w:color="auto"/>
      </w:divBdr>
    </w:div>
    <w:div w:id="463159260">
      <w:bodyDiv w:val="1"/>
      <w:marLeft w:val="0"/>
      <w:marRight w:val="0"/>
      <w:marTop w:val="0"/>
      <w:marBottom w:val="0"/>
      <w:divBdr>
        <w:top w:val="none" w:sz="0" w:space="0" w:color="auto"/>
        <w:left w:val="none" w:sz="0" w:space="0" w:color="auto"/>
        <w:bottom w:val="none" w:sz="0" w:space="0" w:color="auto"/>
        <w:right w:val="none" w:sz="0" w:space="0" w:color="auto"/>
      </w:divBdr>
    </w:div>
    <w:div w:id="574583556">
      <w:bodyDiv w:val="1"/>
      <w:marLeft w:val="0"/>
      <w:marRight w:val="0"/>
      <w:marTop w:val="0"/>
      <w:marBottom w:val="0"/>
      <w:divBdr>
        <w:top w:val="none" w:sz="0" w:space="0" w:color="auto"/>
        <w:left w:val="none" w:sz="0" w:space="0" w:color="auto"/>
        <w:bottom w:val="none" w:sz="0" w:space="0" w:color="auto"/>
        <w:right w:val="none" w:sz="0" w:space="0" w:color="auto"/>
      </w:divBdr>
    </w:div>
    <w:div w:id="592401815">
      <w:bodyDiv w:val="1"/>
      <w:marLeft w:val="0"/>
      <w:marRight w:val="0"/>
      <w:marTop w:val="0"/>
      <w:marBottom w:val="0"/>
      <w:divBdr>
        <w:top w:val="none" w:sz="0" w:space="0" w:color="auto"/>
        <w:left w:val="none" w:sz="0" w:space="0" w:color="auto"/>
        <w:bottom w:val="none" w:sz="0" w:space="0" w:color="auto"/>
        <w:right w:val="none" w:sz="0" w:space="0" w:color="auto"/>
      </w:divBdr>
    </w:div>
    <w:div w:id="715665799">
      <w:bodyDiv w:val="1"/>
      <w:marLeft w:val="0"/>
      <w:marRight w:val="0"/>
      <w:marTop w:val="0"/>
      <w:marBottom w:val="0"/>
      <w:divBdr>
        <w:top w:val="none" w:sz="0" w:space="0" w:color="auto"/>
        <w:left w:val="none" w:sz="0" w:space="0" w:color="auto"/>
        <w:bottom w:val="none" w:sz="0" w:space="0" w:color="auto"/>
        <w:right w:val="none" w:sz="0" w:space="0" w:color="auto"/>
      </w:divBdr>
    </w:div>
    <w:div w:id="776944371">
      <w:bodyDiv w:val="1"/>
      <w:marLeft w:val="0"/>
      <w:marRight w:val="0"/>
      <w:marTop w:val="0"/>
      <w:marBottom w:val="0"/>
      <w:divBdr>
        <w:top w:val="none" w:sz="0" w:space="0" w:color="auto"/>
        <w:left w:val="none" w:sz="0" w:space="0" w:color="auto"/>
        <w:bottom w:val="none" w:sz="0" w:space="0" w:color="auto"/>
        <w:right w:val="none" w:sz="0" w:space="0" w:color="auto"/>
      </w:divBdr>
    </w:div>
    <w:div w:id="939949043">
      <w:bodyDiv w:val="1"/>
      <w:marLeft w:val="0"/>
      <w:marRight w:val="0"/>
      <w:marTop w:val="0"/>
      <w:marBottom w:val="0"/>
      <w:divBdr>
        <w:top w:val="none" w:sz="0" w:space="0" w:color="auto"/>
        <w:left w:val="none" w:sz="0" w:space="0" w:color="auto"/>
        <w:bottom w:val="none" w:sz="0" w:space="0" w:color="auto"/>
        <w:right w:val="none" w:sz="0" w:space="0" w:color="auto"/>
      </w:divBdr>
    </w:div>
    <w:div w:id="972516631">
      <w:bodyDiv w:val="1"/>
      <w:marLeft w:val="0"/>
      <w:marRight w:val="0"/>
      <w:marTop w:val="0"/>
      <w:marBottom w:val="0"/>
      <w:divBdr>
        <w:top w:val="none" w:sz="0" w:space="0" w:color="auto"/>
        <w:left w:val="none" w:sz="0" w:space="0" w:color="auto"/>
        <w:bottom w:val="none" w:sz="0" w:space="0" w:color="auto"/>
        <w:right w:val="none" w:sz="0" w:space="0" w:color="auto"/>
      </w:divBdr>
    </w:div>
    <w:div w:id="1064522352">
      <w:bodyDiv w:val="1"/>
      <w:marLeft w:val="0"/>
      <w:marRight w:val="0"/>
      <w:marTop w:val="0"/>
      <w:marBottom w:val="0"/>
      <w:divBdr>
        <w:top w:val="none" w:sz="0" w:space="0" w:color="auto"/>
        <w:left w:val="none" w:sz="0" w:space="0" w:color="auto"/>
        <w:bottom w:val="none" w:sz="0" w:space="0" w:color="auto"/>
        <w:right w:val="none" w:sz="0" w:space="0" w:color="auto"/>
      </w:divBdr>
    </w:div>
    <w:div w:id="1091465732">
      <w:bodyDiv w:val="1"/>
      <w:marLeft w:val="0"/>
      <w:marRight w:val="0"/>
      <w:marTop w:val="0"/>
      <w:marBottom w:val="0"/>
      <w:divBdr>
        <w:top w:val="none" w:sz="0" w:space="0" w:color="auto"/>
        <w:left w:val="none" w:sz="0" w:space="0" w:color="auto"/>
        <w:bottom w:val="none" w:sz="0" w:space="0" w:color="auto"/>
        <w:right w:val="none" w:sz="0" w:space="0" w:color="auto"/>
      </w:divBdr>
    </w:div>
    <w:div w:id="1129325031">
      <w:bodyDiv w:val="1"/>
      <w:marLeft w:val="0"/>
      <w:marRight w:val="0"/>
      <w:marTop w:val="0"/>
      <w:marBottom w:val="0"/>
      <w:divBdr>
        <w:top w:val="none" w:sz="0" w:space="0" w:color="auto"/>
        <w:left w:val="none" w:sz="0" w:space="0" w:color="auto"/>
        <w:bottom w:val="none" w:sz="0" w:space="0" w:color="auto"/>
        <w:right w:val="none" w:sz="0" w:space="0" w:color="auto"/>
      </w:divBdr>
    </w:div>
    <w:div w:id="1130368688">
      <w:bodyDiv w:val="1"/>
      <w:marLeft w:val="0"/>
      <w:marRight w:val="0"/>
      <w:marTop w:val="0"/>
      <w:marBottom w:val="0"/>
      <w:divBdr>
        <w:top w:val="none" w:sz="0" w:space="0" w:color="auto"/>
        <w:left w:val="none" w:sz="0" w:space="0" w:color="auto"/>
        <w:bottom w:val="none" w:sz="0" w:space="0" w:color="auto"/>
        <w:right w:val="none" w:sz="0" w:space="0" w:color="auto"/>
      </w:divBdr>
    </w:div>
    <w:div w:id="1140267446">
      <w:bodyDiv w:val="1"/>
      <w:marLeft w:val="0"/>
      <w:marRight w:val="0"/>
      <w:marTop w:val="0"/>
      <w:marBottom w:val="0"/>
      <w:divBdr>
        <w:top w:val="none" w:sz="0" w:space="0" w:color="auto"/>
        <w:left w:val="none" w:sz="0" w:space="0" w:color="auto"/>
        <w:bottom w:val="none" w:sz="0" w:space="0" w:color="auto"/>
        <w:right w:val="none" w:sz="0" w:space="0" w:color="auto"/>
      </w:divBdr>
      <w:divsChild>
        <w:div w:id="1998075759">
          <w:marLeft w:val="0"/>
          <w:marRight w:val="0"/>
          <w:marTop w:val="0"/>
          <w:marBottom w:val="0"/>
          <w:divBdr>
            <w:top w:val="single" w:sz="2" w:space="0" w:color="E3E3E3"/>
            <w:left w:val="single" w:sz="2" w:space="0" w:color="E3E3E3"/>
            <w:bottom w:val="single" w:sz="2" w:space="0" w:color="E3E3E3"/>
            <w:right w:val="single" w:sz="2" w:space="0" w:color="E3E3E3"/>
          </w:divBdr>
        </w:div>
        <w:div w:id="1122268811">
          <w:marLeft w:val="0"/>
          <w:marRight w:val="0"/>
          <w:marTop w:val="0"/>
          <w:marBottom w:val="0"/>
          <w:divBdr>
            <w:top w:val="single" w:sz="2" w:space="0" w:color="E3E3E3"/>
            <w:left w:val="single" w:sz="2" w:space="0" w:color="E3E3E3"/>
            <w:bottom w:val="single" w:sz="2" w:space="0" w:color="E3E3E3"/>
            <w:right w:val="single" w:sz="2" w:space="0" w:color="E3E3E3"/>
          </w:divBdr>
        </w:div>
        <w:div w:id="163822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9513529">
      <w:bodyDiv w:val="1"/>
      <w:marLeft w:val="0"/>
      <w:marRight w:val="0"/>
      <w:marTop w:val="0"/>
      <w:marBottom w:val="0"/>
      <w:divBdr>
        <w:top w:val="none" w:sz="0" w:space="0" w:color="auto"/>
        <w:left w:val="none" w:sz="0" w:space="0" w:color="auto"/>
        <w:bottom w:val="none" w:sz="0" w:space="0" w:color="auto"/>
        <w:right w:val="none" w:sz="0" w:space="0" w:color="auto"/>
      </w:divBdr>
    </w:div>
    <w:div w:id="1202934802">
      <w:bodyDiv w:val="1"/>
      <w:marLeft w:val="0"/>
      <w:marRight w:val="0"/>
      <w:marTop w:val="0"/>
      <w:marBottom w:val="0"/>
      <w:divBdr>
        <w:top w:val="none" w:sz="0" w:space="0" w:color="auto"/>
        <w:left w:val="none" w:sz="0" w:space="0" w:color="auto"/>
        <w:bottom w:val="none" w:sz="0" w:space="0" w:color="auto"/>
        <w:right w:val="none" w:sz="0" w:space="0" w:color="auto"/>
      </w:divBdr>
    </w:div>
    <w:div w:id="1330718526">
      <w:bodyDiv w:val="1"/>
      <w:marLeft w:val="0"/>
      <w:marRight w:val="0"/>
      <w:marTop w:val="0"/>
      <w:marBottom w:val="0"/>
      <w:divBdr>
        <w:top w:val="none" w:sz="0" w:space="0" w:color="auto"/>
        <w:left w:val="none" w:sz="0" w:space="0" w:color="auto"/>
        <w:bottom w:val="none" w:sz="0" w:space="0" w:color="auto"/>
        <w:right w:val="none" w:sz="0" w:space="0" w:color="auto"/>
      </w:divBdr>
    </w:div>
    <w:div w:id="1453524206">
      <w:bodyDiv w:val="1"/>
      <w:marLeft w:val="0"/>
      <w:marRight w:val="0"/>
      <w:marTop w:val="0"/>
      <w:marBottom w:val="0"/>
      <w:divBdr>
        <w:top w:val="none" w:sz="0" w:space="0" w:color="auto"/>
        <w:left w:val="none" w:sz="0" w:space="0" w:color="auto"/>
        <w:bottom w:val="none" w:sz="0" w:space="0" w:color="auto"/>
        <w:right w:val="none" w:sz="0" w:space="0" w:color="auto"/>
      </w:divBdr>
    </w:div>
    <w:div w:id="1514103953">
      <w:bodyDiv w:val="1"/>
      <w:marLeft w:val="0"/>
      <w:marRight w:val="0"/>
      <w:marTop w:val="0"/>
      <w:marBottom w:val="0"/>
      <w:divBdr>
        <w:top w:val="none" w:sz="0" w:space="0" w:color="auto"/>
        <w:left w:val="none" w:sz="0" w:space="0" w:color="auto"/>
        <w:bottom w:val="none" w:sz="0" w:space="0" w:color="auto"/>
        <w:right w:val="none" w:sz="0" w:space="0" w:color="auto"/>
      </w:divBdr>
    </w:div>
    <w:div w:id="1523670179">
      <w:bodyDiv w:val="1"/>
      <w:marLeft w:val="0"/>
      <w:marRight w:val="0"/>
      <w:marTop w:val="0"/>
      <w:marBottom w:val="0"/>
      <w:divBdr>
        <w:top w:val="none" w:sz="0" w:space="0" w:color="auto"/>
        <w:left w:val="none" w:sz="0" w:space="0" w:color="auto"/>
        <w:bottom w:val="none" w:sz="0" w:space="0" w:color="auto"/>
        <w:right w:val="none" w:sz="0" w:space="0" w:color="auto"/>
      </w:divBdr>
      <w:divsChild>
        <w:div w:id="194928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150730">
      <w:bodyDiv w:val="1"/>
      <w:marLeft w:val="0"/>
      <w:marRight w:val="0"/>
      <w:marTop w:val="0"/>
      <w:marBottom w:val="0"/>
      <w:divBdr>
        <w:top w:val="none" w:sz="0" w:space="0" w:color="auto"/>
        <w:left w:val="none" w:sz="0" w:space="0" w:color="auto"/>
        <w:bottom w:val="none" w:sz="0" w:space="0" w:color="auto"/>
        <w:right w:val="none" w:sz="0" w:space="0" w:color="auto"/>
      </w:divBdr>
    </w:div>
    <w:div w:id="1748917975">
      <w:bodyDiv w:val="1"/>
      <w:marLeft w:val="0"/>
      <w:marRight w:val="0"/>
      <w:marTop w:val="0"/>
      <w:marBottom w:val="0"/>
      <w:divBdr>
        <w:top w:val="none" w:sz="0" w:space="0" w:color="auto"/>
        <w:left w:val="none" w:sz="0" w:space="0" w:color="auto"/>
        <w:bottom w:val="none" w:sz="0" w:space="0" w:color="auto"/>
        <w:right w:val="none" w:sz="0" w:space="0" w:color="auto"/>
      </w:divBdr>
    </w:div>
    <w:div w:id="1752392749">
      <w:bodyDiv w:val="1"/>
      <w:marLeft w:val="0"/>
      <w:marRight w:val="0"/>
      <w:marTop w:val="0"/>
      <w:marBottom w:val="0"/>
      <w:divBdr>
        <w:top w:val="none" w:sz="0" w:space="0" w:color="auto"/>
        <w:left w:val="none" w:sz="0" w:space="0" w:color="auto"/>
        <w:bottom w:val="none" w:sz="0" w:space="0" w:color="auto"/>
        <w:right w:val="none" w:sz="0" w:space="0" w:color="auto"/>
      </w:divBdr>
    </w:div>
    <w:div w:id="1778333634">
      <w:bodyDiv w:val="1"/>
      <w:marLeft w:val="0"/>
      <w:marRight w:val="0"/>
      <w:marTop w:val="0"/>
      <w:marBottom w:val="0"/>
      <w:divBdr>
        <w:top w:val="none" w:sz="0" w:space="0" w:color="auto"/>
        <w:left w:val="none" w:sz="0" w:space="0" w:color="auto"/>
        <w:bottom w:val="none" w:sz="0" w:space="0" w:color="auto"/>
        <w:right w:val="none" w:sz="0" w:space="0" w:color="auto"/>
      </w:divBdr>
      <w:divsChild>
        <w:div w:id="1431706393">
          <w:blockQuote w:val="1"/>
          <w:marLeft w:val="720"/>
          <w:marRight w:val="720"/>
          <w:marTop w:val="100"/>
          <w:marBottom w:val="100"/>
          <w:divBdr>
            <w:top w:val="none" w:sz="0" w:space="0" w:color="auto"/>
            <w:left w:val="none" w:sz="0" w:space="0" w:color="auto"/>
            <w:bottom w:val="none" w:sz="0" w:space="0" w:color="auto"/>
            <w:right w:val="none" w:sz="0" w:space="0" w:color="auto"/>
          </w:divBdr>
        </w:div>
        <w:div w:id="6060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160258">
      <w:bodyDiv w:val="1"/>
      <w:marLeft w:val="0"/>
      <w:marRight w:val="0"/>
      <w:marTop w:val="0"/>
      <w:marBottom w:val="0"/>
      <w:divBdr>
        <w:top w:val="none" w:sz="0" w:space="0" w:color="auto"/>
        <w:left w:val="none" w:sz="0" w:space="0" w:color="auto"/>
        <w:bottom w:val="none" w:sz="0" w:space="0" w:color="auto"/>
        <w:right w:val="none" w:sz="0" w:space="0" w:color="auto"/>
      </w:divBdr>
    </w:div>
    <w:div w:id="1814563107">
      <w:bodyDiv w:val="1"/>
      <w:marLeft w:val="0"/>
      <w:marRight w:val="0"/>
      <w:marTop w:val="0"/>
      <w:marBottom w:val="0"/>
      <w:divBdr>
        <w:top w:val="none" w:sz="0" w:space="0" w:color="auto"/>
        <w:left w:val="none" w:sz="0" w:space="0" w:color="auto"/>
        <w:bottom w:val="none" w:sz="0" w:space="0" w:color="auto"/>
        <w:right w:val="none" w:sz="0" w:space="0" w:color="auto"/>
      </w:divBdr>
    </w:div>
    <w:div w:id="1935673801">
      <w:bodyDiv w:val="1"/>
      <w:marLeft w:val="0"/>
      <w:marRight w:val="0"/>
      <w:marTop w:val="0"/>
      <w:marBottom w:val="0"/>
      <w:divBdr>
        <w:top w:val="none" w:sz="0" w:space="0" w:color="auto"/>
        <w:left w:val="none" w:sz="0" w:space="0" w:color="auto"/>
        <w:bottom w:val="none" w:sz="0" w:space="0" w:color="auto"/>
        <w:right w:val="none" w:sz="0" w:space="0" w:color="auto"/>
      </w:divBdr>
    </w:div>
    <w:div w:id="1941840624">
      <w:bodyDiv w:val="1"/>
      <w:marLeft w:val="0"/>
      <w:marRight w:val="0"/>
      <w:marTop w:val="0"/>
      <w:marBottom w:val="0"/>
      <w:divBdr>
        <w:top w:val="none" w:sz="0" w:space="0" w:color="auto"/>
        <w:left w:val="none" w:sz="0" w:space="0" w:color="auto"/>
        <w:bottom w:val="none" w:sz="0" w:space="0" w:color="auto"/>
        <w:right w:val="none" w:sz="0" w:space="0" w:color="auto"/>
      </w:divBdr>
    </w:div>
    <w:div w:id="1964339688">
      <w:bodyDiv w:val="1"/>
      <w:marLeft w:val="0"/>
      <w:marRight w:val="0"/>
      <w:marTop w:val="0"/>
      <w:marBottom w:val="0"/>
      <w:divBdr>
        <w:top w:val="none" w:sz="0" w:space="0" w:color="auto"/>
        <w:left w:val="none" w:sz="0" w:space="0" w:color="auto"/>
        <w:bottom w:val="none" w:sz="0" w:space="0" w:color="auto"/>
        <w:right w:val="none" w:sz="0" w:space="0" w:color="auto"/>
      </w:divBdr>
    </w:div>
    <w:div w:id="2011563874">
      <w:bodyDiv w:val="1"/>
      <w:marLeft w:val="0"/>
      <w:marRight w:val="0"/>
      <w:marTop w:val="0"/>
      <w:marBottom w:val="0"/>
      <w:divBdr>
        <w:top w:val="none" w:sz="0" w:space="0" w:color="auto"/>
        <w:left w:val="none" w:sz="0" w:space="0" w:color="auto"/>
        <w:bottom w:val="none" w:sz="0" w:space="0" w:color="auto"/>
        <w:right w:val="none" w:sz="0" w:space="0" w:color="auto"/>
      </w:divBdr>
    </w:div>
    <w:div w:id="2011714088">
      <w:bodyDiv w:val="1"/>
      <w:marLeft w:val="0"/>
      <w:marRight w:val="0"/>
      <w:marTop w:val="0"/>
      <w:marBottom w:val="0"/>
      <w:divBdr>
        <w:top w:val="none" w:sz="0" w:space="0" w:color="auto"/>
        <w:left w:val="none" w:sz="0" w:space="0" w:color="auto"/>
        <w:bottom w:val="none" w:sz="0" w:space="0" w:color="auto"/>
        <w:right w:val="none" w:sz="0" w:space="0" w:color="auto"/>
      </w:divBdr>
    </w:div>
    <w:div w:id="2012684875">
      <w:bodyDiv w:val="1"/>
      <w:marLeft w:val="0"/>
      <w:marRight w:val="0"/>
      <w:marTop w:val="0"/>
      <w:marBottom w:val="0"/>
      <w:divBdr>
        <w:top w:val="none" w:sz="0" w:space="0" w:color="auto"/>
        <w:left w:val="none" w:sz="0" w:space="0" w:color="auto"/>
        <w:bottom w:val="none" w:sz="0" w:space="0" w:color="auto"/>
        <w:right w:val="none" w:sz="0" w:space="0" w:color="auto"/>
      </w:divBdr>
    </w:div>
    <w:div w:id="2121486805">
      <w:bodyDiv w:val="1"/>
      <w:marLeft w:val="0"/>
      <w:marRight w:val="0"/>
      <w:marTop w:val="0"/>
      <w:marBottom w:val="0"/>
      <w:divBdr>
        <w:top w:val="none" w:sz="0" w:space="0" w:color="auto"/>
        <w:left w:val="none" w:sz="0" w:space="0" w:color="auto"/>
        <w:bottom w:val="none" w:sz="0" w:space="0" w:color="auto"/>
        <w:right w:val="none" w:sz="0" w:space="0" w:color="auto"/>
      </w:divBdr>
    </w:div>
    <w:div w:id="214585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6598</Words>
  <Characters>37611</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BleakIsCheeks .</dc:creator>
  <cp:keywords/>
  <dc:description/>
  <cp:lastModifiedBy>BleakIsCheeks</cp:lastModifiedBy>
  <cp:revision>3</cp:revision>
  <dcterms:created xsi:type="dcterms:W3CDTF">2026-05-12T12:52:00Z</dcterms:created>
  <dcterms:modified xsi:type="dcterms:W3CDTF">2026-05-13T18:33:00Z</dcterms:modified>
</cp:coreProperties>
</file>