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sz w:val="26"/>
          <w:szCs w:val="26"/>
        </w:rPr>
        <w:t xml:space="preserve">Master akademske studije</w:t>
      </w:r>
    </w:p>
    <w:p>
      <w:pPr>
        <w:spacing w:after="600"/>
        <w:jc w:val="center"/>
      </w:pPr>
      <w:r>
        <w:rPr>
          <w:b/>
          <w:bCs/>
          <w:sz w:val="30"/>
          <w:szCs w:val="30"/>
        </w:rPr>
        <w:t xml:space="preserve">Veštačka inteligencija sa primenama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SEMINARSKI RAD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Analiza sentimenta filmskih recenzija primenom Transformer arhitekture</w:t>
      </w:r>
    </w:p>
    <w:p>
      <w:pPr>
        <w:spacing w:after="1400"/>
        <w:jc w:val="center"/>
      </w:pPr>
      <w:r>
        <w:rPr>
          <w:i/>
          <w:iCs/>
          <w:sz w:val="24"/>
          <w:szCs w:val="24"/>
        </w:rPr>
        <w:t xml:space="preserve">IMDB Dataset of 50K Movie Reviews</w:t>
      </w:r>
    </w:p>
    <w:p>
      <w:pPr>
        <w:spacing w:after="80"/>
        <w:jc w:val="center"/>
      </w:pPr>
      <w:r>
        <w:rPr>
          <w:sz w:val="26"/>
          <w:szCs w:val="26"/>
        </w:rPr>
        <w:t xml:space="preserve">Student: [IME I PREZIME]</w:t>
      </w:r>
    </w:p>
    <w:p>
      <w:pPr>
        <w:spacing w:after="80"/>
        <w:jc w:val="center"/>
      </w:pPr>
      <w:r>
        <w:rPr>
          <w:sz w:val="26"/>
          <w:szCs w:val="26"/>
        </w:rPr>
        <w:t xml:space="preserve">Broj indeksa: [BROJ INDEKSA]</w:t>
      </w:r>
    </w:p>
    <w:p>
      <w:pPr>
        <w:jc w:val="center"/>
      </w:pPr>
      <w:r>
        <w:rPr>
          <w:sz w:val="26"/>
          <w:szCs w:val="26"/>
        </w:rPr>
        <w:t xml:space="preserve">Jul 2026.</w:t>
      </w:r>
    </w:p>
    <w:p>
      <w:r>
        <w:br w:type="page"/>
      </w:r>
    </w:p>
    <w:p>
      <w:pPr>
        <w:spacing w:after="200"/>
      </w:pPr>
      <w:r>
        <w:rPr>
          <w:b/>
          <w:bCs/>
          <w:sz w:val="32"/>
          <w:szCs w:val="32"/>
        </w:rPr>
        <w:t xml:space="preserve">Sadržaj</w:t>
      </w:r>
    </w:p>
    <w:sdt>
      <w:sdtPr>
        <w:alias w:val="Sadržaj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Uvod</w:t>
      </w:r>
    </w:p>
    <w:p>
      <w:pPr>
        <w:spacing w:after="120" w:line="300"/>
        <w:jc w:val="both"/>
      </w:pPr>
      <w:r>
        <w:t xml:space="preserve">Analiza sentimenta je jedan od osnovnih zadataka obrade prirodnog jezika u kome se utvrđuje emocionalni stav izražen u tekstu. U ovom radu rešava se konkretan problem: na osnovu teksta filmske recenzije potrebno je automatski odrediti da li je recenzija </w:t>
      </w:r>
      <w:r>
        <w:rPr>
          <w:b/>
          <w:bCs/>
        </w:rPr>
        <w:t xml:space="preserve">pozitivna</w:t>
      </w:r>
      <w:r>
        <w:t xml:space="preserve"> ili </w:t>
      </w:r>
      <w:r>
        <w:rPr>
          <w:b/>
          <w:bCs/>
        </w:rPr>
        <w:t xml:space="preserve">negativna</w:t>
      </w:r>
      <w:r>
        <w:t xml:space="preserve">. Reč je o </w:t>
      </w:r>
      <w:r>
        <w:rPr>
          <w:b/>
          <w:bCs/>
        </w:rPr>
        <w:t xml:space="preserve">binarnoj klasifikaciji teksta</w:t>
      </w:r>
      <w:r>
        <w:t xml:space="preserve">, problemu nadgledanog mašinskog učenja.</w:t>
      </w:r>
    </w:p>
    <w:p>
      <w:pPr>
        <w:spacing w:after="120" w:line="300"/>
        <w:jc w:val="both"/>
      </w:pPr>
      <w:r>
        <w:t xml:space="preserve">Za rešavanje problema izabrana je </w:t>
      </w:r>
      <w:r>
        <w:rPr>
          <w:b/>
          <w:bCs/>
        </w:rPr>
        <w:t xml:space="preserve">Transformer</w:t>
      </w:r>
      <w:r>
        <w:t xml:space="preserve"> arhitektura, zasnovana na mehanizmu pažnje (engl. attention). Za razliku od rekurentnih mreža (RNN, LSTM) koje sekvencu obrađuju element po element i imaju izražen problem nestajanja gradijenata na dugim sekvencama, Transformer sve reči obrađuje paralelno i svakoj reči omogućava da direktno „pogleda“ sve ostale reči u recenziji. Time se efikasno modeluju dugoročne zavisnosti koje određuju sentiment (na primer, negacija „not“ ispred reči „good“).</w:t>
      </w:r>
    </w:p>
    <w:p>
      <w:pPr>
        <w:spacing w:after="120" w:line="300"/>
        <w:jc w:val="both"/>
      </w:pPr>
      <w:r>
        <w:t xml:space="preserve">Rad je nastao kao proširenje domaćeg zadatka i obuhvata kompletan životni ciklus modela mašinskog učenja: eksploratornu analizu podataka, reproduktivan preprocessing pipeline, implementaciju Transformer enkodera od nule u PyTorch-u, treniranje sa kros-validacijom i pretragom hiperparametara, praćenje eksperimenata pomoću MLflow alata, izradu korisničkog interfejsa u Streamlit biblioteci i pakovanje kompletne aplikacije u Docker kontejner.</w:t>
      </w:r>
    </w:p>
    <w:p>
      <w:pPr>
        <w:pStyle w:val="Heading1"/>
        <w:pageBreakBefore/>
      </w:pPr>
      <w:r>
        <w:t xml:space="preserve">2. Dataset i analiza podataka</w:t>
      </w:r>
    </w:p>
    <w:p>
      <w:pPr>
        <w:pStyle w:val="Heading2"/>
      </w:pPr>
      <w:r>
        <w:t xml:space="preserve">2.1. Opis skupa podataka</w:t>
      </w:r>
    </w:p>
    <w:p>
      <w:pPr>
        <w:spacing w:after="120" w:line="300"/>
        <w:jc w:val="both"/>
      </w:pPr>
      <w:r>
        <w:t xml:space="preserve">Korišćen je javno dostupan skup </w:t>
      </w:r>
      <w:r>
        <w:rPr>
          <w:b/>
          <w:bCs/>
        </w:rPr>
        <w:t xml:space="preserve">IMDB Large Movie Review Dataset</w:t>
      </w:r>
      <w:r>
        <w:t xml:space="preserve">, koji sadrži </w:t>
      </w:r>
      <w:r>
        <w:rPr>
          <w:b/>
          <w:bCs/>
        </w:rPr>
        <w:t xml:space="preserve">50.000 filmskih recenzija</w:t>
      </w:r>
      <w:r>
        <w:t xml:space="preserve"> na engleskom jeziku: 25.000 za trening i 25.000 za test. Skup je savršeno uravnotežen – tačno polovina recenzija je pozitivna (labela 1), a polovina negativna (labela 0). Korišćena je zvanična, već tokenizovana verzija skupa u kojoj je svaka recenzija predstavljena kao niz celih brojeva, gde svaki broj označava rang reči po učestalosti u celom korpusu (1 = najčešća reč „the“). Pomoću inverznog rečnika (rang → reč) recenzije se po potrebi vraćaju u tekstualni oblik.</w:t>
      </w:r>
    </w:p>
    <w:p>
      <w:pPr>
        <w:pStyle w:val="Heading2"/>
      </w:pPr>
      <w:r>
        <w:t xml:space="preserve">2.2. Eksploratorna analiza (EDA)</w:t>
      </w:r>
    </w:p>
    <w:p>
      <w:pPr>
        <w:spacing w:after="120" w:line="300"/>
        <w:jc w:val="both"/>
      </w:pPr>
      <w:r>
        <w:t xml:space="preserve">Pre modelovanja sprovedena je eksploratorna analiza podataka (Jupyter notebook </w:t>
      </w:r>
      <w:r>
        <w:rPr>
          <w:rFonts w:ascii="Consolas" w:cs="Consolas" w:eastAsia="Consolas" w:hAnsi="Consolas"/>
        </w:rPr>
        <w:t xml:space="preserve">notebooks/01_eda.ipynb</w:t>
      </w:r>
      <w:r>
        <w:t xml:space="preserve">). Provereno je da skup ne sadrži prazne recenzije, nedostajuće labele ni labele van skupa {0, 1}. Balans klasa je potvrđen: 12.500 pozitivnih i 12.500 negativnih recenzija u trening skupu, zbog čega je tačnost (accuracy) pouzdana metrika, a osnovna linija slučajnog pogađanja iznosi 50%.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class_balance" descr="Slika 1. Balans klasa u trening i test skupu" title="Slika 1. Balans klasa u trening i test sku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Slika 1. Balans klasa u trening i test skupu</w:t>
      </w:r>
    </w:p>
    <w:p>
      <w:pPr>
        <w:spacing w:after="120" w:line="300"/>
        <w:jc w:val="both"/>
      </w:pPr>
      <w:r>
        <w:t xml:space="preserve">Dužina recenzija je vrlo promenljiva: prosek iznosi 237.7 reči, medijana 177, a najduža recenzija ima 2.493 reči. Na osnovu raspodele dužina izabrana je dužina sekvence </w:t>
      </w:r>
      <w:r>
        <w:rPr>
          <w:b/>
          <w:bCs/>
        </w:rPr>
        <w:t xml:space="preserve">max_len = 200</w:t>
      </w:r>
      <w:r>
        <w:t xml:space="preserve">, koja u potpunosti obuhvata oko 58% recenzija, dok se duže recenzije skraćuju na prvih 200 reči – dovoljno za pouzdanu procenu sentimenta uz razuman utrošak memorije i vremena.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2505075"/>
            <wp:effectExtent t="0" r="0" b="0" l="0"/>
            <wp:docPr id="1" name="length_hist" descr="Slika 2. Raspodela dužine recenzija sa označenom granicom max_len = 200" title="Slika 2. Raspodela dužine recenzija sa označenom granicom max_len =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Slika 2. Raspodela dužine recenzija sa označenom granicom max_len = 200</w:t>
      </w:r>
    </w:p>
    <w:p>
      <w:pPr>
        <w:spacing w:after="120" w:line="300"/>
        <w:jc w:val="both"/>
      </w:pPr>
      <w:r>
        <w:t xml:space="preserve">Point-biserial korelacija između dužine recenzije i klase iznosi svega r ≈ 0.016, pa dužina nije upotrebljiv prediktor sentimenta. Analiza vokabulara je pokazala da ograničavanje na </w:t>
      </w:r>
      <w:r>
        <w:rPr>
          <w:b/>
          <w:bCs/>
        </w:rPr>
        <w:t xml:space="preserve">20.000 najčešćih reči</w:t>
      </w:r>
      <w:r>
        <w:t xml:space="preserve"> ostavlja udeo reči van vokabulara (OOV) od samo </w:t>
      </w:r>
      <w:r>
        <w:rPr>
          <w:b/>
          <w:bCs/>
        </w:rPr>
        <w:t xml:space="preserve">2.86%</w:t>
      </w:r>
      <w:r>
        <w:t xml:space="preserve"> tokena. Oblaci reči jasno pokazuju razliku u rečniku pozitivnih i negativnih recenzija, što opravdava pristup zasnovan na rečima.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047875"/>
            <wp:effectExtent t="0" r="0" b="0" l="0"/>
            <wp:docPr id="1" name="wordclouds" descr="Slika 3. Oblaci reči – pozitivne i negativne recenzije" title="Slika 3. Oblaci reči – pozitivne i negativne recenzij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Slika 3. Oblaci reči – pozitivne i negativne recenzije</w:t>
      </w:r>
    </w:p>
    <w:p>
      <w:pPr>
        <w:pStyle w:val="Heading1"/>
        <w:pageBreakBefore/>
      </w:pPr>
      <w:r>
        <w:t xml:space="preserve">3. Preprocessing pipeline</w:t>
      </w:r>
    </w:p>
    <w:p>
      <w:pPr>
        <w:spacing w:after="120" w:line="300"/>
        <w:jc w:val="both"/>
      </w:pPr>
      <w:r>
        <w:t xml:space="preserve">Svi koraci pripreme podataka enkapsulirani su u klasu </w:t>
      </w:r>
      <w:r>
        <w:rPr>
          <w:rFonts w:ascii="Consolas" w:cs="Consolas" w:eastAsia="Consolas" w:hAnsi="Consolas"/>
        </w:rPr>
        <w:t xml:space="preserve">SentimentPreprocessor</w:t>
      </w:r>
      <w:r>
        <w:t xml:space="preserve"> (</w:t>
      </w:r>
      <w:r>
        <w:rPr>
          <w:rFonts w:ascii="Consolas" w:cs="Consolas" w:eastAsia="Consolas" w:hAnsi="Consolas"/>
        </w:rPr>
        <w:t xml:space="preserve">src/preprocessing.py</w:t>
      </w:r>
      <w:r>
        <w:t xml:space="preserve">), čime je postignuta puna </w:t>
      </w:r>
      <w:r>
        <w:rPr>
          <w:b/>
          <w:bCs/>
        </w:rPr>
        <w:t xml:space="preserve">reproduktivnost</w:t>
      </w:r>
      <w:r>
        <w:t xml:space="preserve">: identičan postupak koristi se u treningu, evaluaciji i u finalnoj aplikaciji. Pipeline obuhvata: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Ograničavanje vokabulara</w:t>
      </w:r>
      <w:r>
        <w:t xml:space="preserve"> na 20.000 najčešćih reči; ređe reči se mapiraju u zajednički OOV token (indeks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Rezervisane tokene</w:t>
      </w:r>
      <w:r>
        <w:t xml:space="preserve">: PAD (0) za dopunu kraćih sekvenci i OOV (1) za nepoznate reči; stvarne reči dobijaju indekse od 2 naviše.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Ujednačavanje dužine</w:t>
      </w:r>
      <w:r>
        <w:t xml:space="preserve"> (padding/truncation): sve sekvence se svode na tačno 200 tokena.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Kodiranje sirovog teksta</w:t>
      </w:r>
      <w:r>
        <w:t xml:space="preserve"> za aplikaciju: mala slova, izdvajanje reči, mapiranje reč → rang → indeks po identičnim pravilima kao u treningu.</w:t>
      </w:r>
    </w:p>
    <w:p>
      <w:pPr>
        <w:spacing w:after="120" w:line="300"/>
        <w:jc w:val="both"/>
      </w:pPr>
      <w:r>
        <w:t xml:space="preserve">Konfiguracija pipeline-a se čuva na disku (</w:t>
      </w:r>
      <w:r>
        <w:rPr>
          <w:rFonts w:ascii="Consolas" w:cs="Consolas" w:eastAsia="Consolas" w:hAnsi="Consolas"/>
        </w:rPr>
        <w:t xml:space="preserve">models/preprocessor.json</w:t>
      </w:r>
      <w:r>
        <w:t xml:space="preserve">) i ponovo učitava u aplikaciji, pa model u produkciji „vidi“ tekst na potpuno isti način kao tokom treniranja. Time je otklonjen čest izvor grešaka – nekonzistentna priprema podataka između treninga i upotrebe modela.</w:t>
      </w:r>
    </w:p>
    <w:p>
      <w:pPr>
        <w:pStyle w:val="Heading1"/>
        <w:pageBreakBefore/>
      </w:pPr>
      <w:r>
        <w:t xml:space="preserve">4. Treniranje modela</w:t>
      </w:r>
    </w:p>
    <w:p>
      <w:pPr>
        <w:pStyle w:val="Heading2"/>
      </w:pPr>
      <w:r>
        <w:t xml:space="preserve">4.1. Arhitektura</w:t>
      </w:r>
    </w:p>
    <w:p>
      <w:pPr>
        <w:spacing w:after="120" w:line="300"/>
        <w:jc w:val="both"/>
      </w:pPr>
      <w:r>
        <w:t xml:space="preserve">Arhitektura je implementirana od nule u PyTorch-u, u zasebnom modulu </w:t>
      </w:r>
      <w:r>
        <w:rPr>
          <w:rFonts w:ascii="Consolas" w:cs="Consolas" w:eastAsia="Consolas" w:hAnsi="Consolas"/>
        </w:rPr>
        <w:t xml:space="preserve">src/model.py</w:t>
      </w:r>
      <w:r>
        <w:t xml:space="preserve">. Koristi se </w:t>
      </w:r>
      <w:r>
        <w:rPr>
          <w:b/>
          <w:bCs/>
        </w:rPr>
        <w:t xml:space="preserve">enkoder</w:t>
      </w:r>
      <w:r>
        <w:t xml:space="preserve"> deo Transformer arhitekture, dovoljan za klasifikaciju (dekoder je potreban tek za generisanje sekvenci). Tok podataka kroz mrežu: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Embedding sloj</w:t>
      </w:r>
      <w:r>
        <w:t xml:space="preserve"> prevodi indeks svake reči u vektor dimenzije d_model; vektori se skaliraju sa √d_model.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Poziciono kodiranje</w:t>
      </w:r>
      <w:r>
        <w:t xml:space="preserve"> (sinusoidno ili naučeno) dodaje informaciju o redosledu reči, jer je attention sam po sebi ne poseduje.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Multi-Head Self-Attention</w:t>
      </w:r>
      <w:r>
        <w:t xml:space="preserve">: skalirani dot-product attention po formuli Attention(Q,K,V) = softmax(QKᵀ/√dₖ)V; više glava paralelno uči različite vrste odnosa među rečima, a PAD pozicije se maskiraju.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Feed-Forward mreža</w:t>
      </w:r>
      <w:r>
        <w:t xml:space="preserve"> (Linear → ReLU/GELU → Linear) primenjuje se na svaki token nezavisno i uvodi nelinearnost.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Rezidualne veze i LayerNorm</w:t>
      </w:r>
      <w:r>
        <w:t xml:space="preserve"> („Add &amp; Norm“) oko oba podsloja stabilizuju treniranje i olakšavaju protok gradijenata.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Maskirano usrednjavanje</w:t>
      </w:r>
      <w:r>
        <w:t xml:space="preserve"> (mean pooling) preko stvarnih tokena daje jedan vektor za celu recenziju, a </w:t>
      </w:r>
      <w:r>
        <w:rPr>
          <w:b/>
          <w:bCs/>
        </w:rPr>
        <w:t xml:space="preserve">linearni klasifikator</w:t>
      </w:r>
      <w:r>
        <w:t xml:space="preserve"> dva logita (negativan/pozitivan).</w:t>
      </w:r>
    </w:p>
    <w:p>
      <w:pPr>
        <w:pStyle w:val="Heading2"/>
      </w:pPr>
      <w:r>
        <w:t xml:space="preserve">4.2. Postupak treniranja i kros-validacija</w:t>
      </w:r>
    </w:p>
    <w:p>
      <w:pPr>
        <w:spacing w:after="120" w:line="300"/>
        <w:jc w:val="both"/>
      </w:pPr>
      <w:r>
        <w:t xml:space="preserve">Modeli su trenirani Cross-Entropy funkcijom gubitka i Adam optimizatorom, uz </w:t>
      </w:r>
      <w:r>
        <w:rPr>
          <w:b/>
          <w:bCs/>
        </w:rPr>
        <w:t xml:space="preserve">stratifikovanu 5-fold kros-validaciju</w:t>
      </w:r>
      <w:r>
        <w:t xml:space="preserve"> na uravnoteženom podskupu od 8.000 recenzija (6 epoha po fold-u, batch 64). Svi random seed-ovi su fiksirani, a verzije biblioteka evidentirane, čime je obezbeđena reproduktivnost eksperimenata. Svaki eksperiment se automatski loguje u </w:t>
      </w:r>
      <w:r>
        <w:rPr>
          <w:b/>
          <w:bCs/>
        </w:rPr>
        <w:t xml:space="preserve">MLflow</w:t>
      </w:r>
      <w:r>
        <w:t xml:space="preserve">: hiperparametri, gubitak po epohi, metrike po fold-u i grafici.</w:t>
      </w:r>
    </w:p>
    <w:p>
      <w:pPr>
        <w:pStyle w:val="Heading2"/>
      </w:pPr>
      <w:r>
        <w:t xml:space="preserve">4.3. Pretraga hiperparametara</w:t>
      </w:r>
    </w:p>
    <w:p>
      <w:pPr>
        <w:spacing w:after="120" w:line="300"/>
        <w:jc w:val="both"/>
      </w:pPr>
      <w:r>
        <w:t xml:space="preserve">Upoređeno je šest konfiguracija modela, u kojima su varirani broj slojeva, dimenzija modela, broj glava pažnje, jačina regularizacije i tip pozicionog kodiranja: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900"/>
        <w:gridCol w:w="1000"/>
        <w:gridCol w:w="900"/>
        <w:gridCol w:w="1000"/>
        <w:gridCol w:w="1926"/>
      </w:tblGrid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Konfiguracija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d_model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Glave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Slojevi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FFN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Dropout</w:t>
            </w:r>
          </w:p>
        </w:tc>
        <w:tc>
          <w:tcPr>
            <w:tcW w:type="dxa" w:w="1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Poz. kod.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baseline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1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sinusoidno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deeper_2_layers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1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sinusoidno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wider_d128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1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sinusoidno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more_heads_4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1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sinusoidno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regularized_dropout03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  <w:tc>
          <w:tcPr>
            <w:tcW w:type="dxa" w:w="1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sinusoidno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learned_positional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1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naučeno</w:t>
            </w:r>
          </w:p>
        </w:tc>
      </w:tr>
    </w:tbl>
    <w:p>
      <w:pPr>
        <w:spacing w:after="120" w:line="300"/>
        <w:jc w:val="both"/>
      </w:pPr>
    </w:p>
    <w:p>
      <w:pPr>
        <w:spacing w:after="40" w:before="120"/>
        <w:jc w:val="center"/>
      </w:pPr>
      <w:r>
        <w:drawing>
          <wp:inline distT="0" distB="0" distL="0" distR="0">
            <wp:extent cx="4381500" cy="2790825"/>
            <wp:effectExtent t="0" r="0" b="0" l="0"/>
            <wp:docPr id="1" name="learning_curve" descr="Slika 4. Kriva učenja izabrane konfiguracije (more_heads_4)" title="Slika 4. Kriva učenja izabrane konfiguracije (more_heads_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Slika 4. Kriva učenja izabrane konfiguracije (more_heads_4)</w:t>
      </w:r>
    </w:p>
    <w:p>
      <w:pPr>
        <w:pStyle w:val="Heading1"/>
        <w:pageBreakBefore/>
      </w:pPr>
      <w:r>
        <w:t xml:space="preserve">5. Metrike modela</w:t>
      </w:r>
    </w:p>
    <w:p>
      <w:pPr>
        <w:spacing w:after="120" w:line="300"/>
        <w:jc w:val="both"/>
      </w:pPr>
      <w:r>
        <w:t xml:space="preserve">Kvalitet modela meren je standardnim metrikama binarne klasifikacije: tačnost (accuracy), preciznost (precision), odziv (recall), F1 skor, kao i površinama ispod ROC i PR krive (ROC-AUC, PR-AUC). Tabela prikazuje prosečne vrednosti preko 5 foldova: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950"/>
        <w:gridCol w:w="950"/>
        <w:gridCol w:w="900"/>
        <w:gridCol w:w="10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Konfiguracija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F1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ROC-AUC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PR-AUC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Param.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Vreme/fold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wider_d128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0.835 ± 0.009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0.837 ± 0.009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0.913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2.69 M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284 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learned_positional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0.832 ± 0.008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0.835 ± 0.008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0.916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1.33 M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121 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more_heads_4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0.835 ± 0.006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0.834 ± 0.011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0.920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1.31 M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192 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regularized_dropout03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0.836 ± 0.010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0.832 ± 0.011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0.917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1.31 M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121 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deeper_2_layers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0.837 ± 0.007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0.830 ± 0.008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0.920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1.35 M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260 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baseline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0.835 ± 0.006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0.830 ± 0.008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0.921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1.31 M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134 s</w:t>
            </w:r>
          </w:p>
        </w:tc>
      </w:tr>
    </w:tbl>
    <w:p>
      <w:pPr>
        <w:spacing w:after="120" w:line="300"/>
        <w:jc w:val="both"/>
      </w:pPr>
    </w:p>
    <w:p>
      <w:pPr>
        <w:spacing w:after="120" w:line="300"/>
        <w:jc w:val="both"/>
      </w:pPr>
      <w:r>
        <w:t xml:space="preserve">Sve konfiguracije postižu ROC-AUC između 0.91 i 0.92, a razlike u F1 skoru (0.830–0.837) su unutar standardne devijacije, dakle statistički neznačajne. Za </w:t>
      </w:r>
      <w:r>
        <w:rPr>
          <w:b/>
          <w:bCs/>
        </w:rPr>
        <w:t xml:space="preserve">finalni model</w:t>
      </w:r>
      <w:r>
        <w:t xml:space="preserve"> izabrana je konfiguracija </w:t>
      </w:r>
      <w:r>
        <w:rPr>
          <w:b/>
          <w:bCs/>
        </w:rPr>
        <w:t xml:space="preserve">more_heads_4</w:t>
      </w:r>
      <w:r>
        <w:t xml:space="preserve">: postiže praktično isti F1 kao najveći model (wider_d128), ali sa </w:t>
      </w:r>
      <w:r>
        <w:rPr>
          <w:b/>
          <w:bCs/>
        </w:rPr>
        <w:t xml:space="preserve">četiri puta manje parametara</w:t>
      </w:r>
      <w:r>
        <w:t xml:space="preserve"> (1.31 M naspram 2.69 M) i osetno bržom inferencijom – najbolji odnos kvaliteta, veličine i brzine.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2609850"/>
            <wp:effectExtent t="0" r="0" b="0" l="0"/>
            <wp:docPr id="1" name="comparison" descr="Slika 5. Poređenje F1 i ROC-AUC vrednosti po konfiguraciji" title="Slika 5. Poređenje F1 i ROC-AUC vrednosti po konfiguracij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Slika 5. Poređenje F1 i ROC-AUC vrednosti po konfiguraciji</w:t>
      </w:r>
    </w:p>
    <w:p>
      <w:pPr>
        <w:spacing w:after="120" w:line="300"/>
        <w:jc w:val="both"/>
      </w:pPr>
      <w:r>
        <w:t xml:space="preserve">Finalni model je istreniran na svih 8.000 primera i evaluiran na zvaničnom test skupu od 25.000 recenzija, gde postiže: Accuracy </w:t>
      </w:r>
      <w:r>
        <w:rPr>
          <w:b/>
          <w:bCs/>
        </w:rPr>
        <w:t xml:space="preserve">0.823</w:t>
      </w:r>
      <w:r>
        <w:t xml:space="preserve">, Precision </w:t>
      </w:r>
      <w:r>
        <w:rPr>
          <w:b/>
          <w:bCs/>
        </w:rPr>
        <w:t xml:space="preserve">0.832</w:t>
      </w:r>
      <w:r>
        <w:t xml:space="preserve">, Recall </w:t>
      </w:r>
      <w:r>
        <w:rPr>
          <w:b/>
          <w:bCs/>
        </w:rPr>
        <w:t xml:space="preserve">0.809</w:t>
      </w:r>
      <w:r>
        <w:t xml:space="preserve">, F1 </w:t>
      </w:r>
      <w:r>
        <w:rPr>
          <w:b/>
          <w:bCs/>
        </w:rPr>
        <w:t xml:space="preserve">0.820</w:t>
      </w:r>
      <w:r>
        <w:t xml:space="preserve">, ROC-AUC </w:t>
      </w:r>
      <w:r>
        <w:rPr>
          <w:b/>
          <w:bCs/>
        </w:rPr>
        <w:t xml:space="preserve">0.904</w:t>
      </w:r>
      <w:r>
        <w:t xml:space="preserve"> i PR-AUC </w:t>
      </w:r>
      <w:r>
        <w:rPr>
          <w:b/>
          <w:bCs/>
        </w:rPr>
        <w:t xml:space="preserve">0.898</w:t>
      </w:r>
      <w:r>
        <w:t xml:space="preserve">. Bliskost test metrika i kros-validacionih procena pokazuje da model dobro generalizuje. U odnosu na osnovnu liniju slučajnog pogađanja (50%), rezultat jasno potvrđuje da model uči smislene obrasce iz teksta.</w:t>
      </w:r>
    </w:p>
    <w:p>
      <w:pPr>
        <w:spacing w:after="40" w:before="120"/>
        <w:jc w:val="center"/>
      </w:pPr>
      <w:r>
        <w:drawing>
          <wp:inline distT="0" distB="0" distL="0" distR="0">
            <wp:extent cx="3810000" cy="2743200"/>
            <wp:effectExtent t="0" r="0" b="0" l="0"/>
            <wp:docPr id="1" name="cm_test" descr="Slika 6. Konfuziona matrica finalnog modela na test skupu" title="Slika 6. Konfuziona matrica finalnog modela na test sku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Slika 6. Konfuziona matrica finalnog modela na test skupu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3314700"/>
            <wp:effectExtent t="0" r="0" b="0" l="0"/>
            <wp:docPr id="1" name="roc_test" descr="Slika 7. ROC kriva finalnog modela na test skupu" title="Slika 7. ROC kriva finalnog modela na test sku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Slika 7. ROC kriva finalnog modela na test skupu</w:t>
      </w:r>
    </w:p>
    <w:p>
      <w:pPr>
        <w:pStyle w:val="Heading1"/>
        <w:pageBreakBefore/>
      </w:pPr>
      <w:r>
        <w:t xml:space="preserve">6. Front-end aplikacija</w:t>
      </w:r>
    </w:p>
    <w:p>
      <w:pPr>
        <w:spacing w:after="120" w:line="300"/>
        <w:jc w:val="both"/>
      </w:pPr>
      <w:r>
        <w:t xml:space="preserve">Korisnički interfejs implementiran je pomoću </w:t>
      </w:r>
      <w:r>
        <w:rPr>
          <w:b/>
          <w:bCs/>
        </w:rPr>
        <w:t xml:space="preserve">Streamlit</w:t>
      </w:r>
      <w:r>
        <w:t xml:space="preserve"> biblioteke (</w:t>
      </w:r>
      <w:r>
        <w:rPr>
          <w:rFonts w:ascii="Consolas" w:cs="Consolas" w:eastAsia="Consolas" w:hAnsi="Consolas"/>
        </w:rPr>
        <w:t xml:space="preserve">app/app.py</w:t>
      </w:r>
      <w:r>
        <w:t xml:space="preserve">). Aplikacija pri pokretanju učitava sačuvani model (</w:t>
      </w:r>
      <w:r>
        <w:rPr>
          <w:rFonts w:ascii="Consolas" w:cs="Consolas" w:eastAsia="Consolas" w:hAnsi="Consolas"/>
        </w:rPr>
        <w:t xml:space="preserve">models/best_model.pt</w:t>
      </w:r>
      <w:r>
        <w:t xml:space="preserve">) i sačuvani preprocessing pipeline (</w:t>
      </w:r>
      <w:r>
        <w:rPr>
          <w:rFonts w:ascii="Consolas" w:cs="Consolas" w:eastAsia="Consolas" w:hAnsi="Consolas"/>
        </w:rPr>
        <w:t xml:space="preserve">models/preprocessor.json</w:t>
      </w:r>
      <w:r>
        <w:t xml:space="preserve">), pri čemu se model kešira (</w:t>
      </w:r>
      <w:r>
        <w:rPr>
          <w:rFonts w:ascii="Consolas" w:cs="Consolas" w:eastAsia="Consolas" w:hAnsi="Consolas"/>
        </w:rPr>
        <w:t xml:space="preserve">st.cache_resource</w:t>
      </w:r>
      <w:r>
        <w:t xml:space="preserve">) kako bi se učitao samo jednom.</w:t>
      </w:r>
    </w:p>
    <w:p>
      <w:pPr>
        <w:spacing w:after="120" w:line="300"/>
        <w:jc w:val="both"/>
      </w:pPr>
      <w:r>
        <w:t xml:space="preserve">Funkcionalnosti aplikacije: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unos filmske recenzije na engleskom jeziku u tekstualno polje, ili izbor jednog od ponuđenih primera (pozitivan, negativan, mešovit);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dugme „Analiziraj“ koje pokreće predikciju i prikazuje rezultat (POZITIVNA/NEGATIVNA recenzija) sa pouzdanošću u procentima i vizuelnom trakom verovatnoće;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„Kako model vidi ovaj tekst“ sa brojem prepoznatih tokena i prvim indeksima – koristan za demonstraciju rada pipeline-a;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bočna traka sa parametrima arhitekture i metrikama modela na test skupu.</w:t>
      </w:r>
    </w:p>
    <w:p>
      <w:pPr>
        <w:spacing w:after="120" w:line="300"/>
        <w:jc w:val="both"/>
      </w:pPr>
      <w:r>
        <w:t xml:space="preserve">Aplikacija se pokreće komandom:</w:t>
      </w:r>
    </w:p>
    <w:p>
      <w:pPr>
        <w:shd w:fill="F2F2F2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streamlit run app/app.py</w:t>
      </w:r>
    </w:p>
    <w:p>
      <w:pPr>
        <w:spacing w:after="120" w:line="300"/>
        <w:jc w:val="both"/>
      </w:pPr>
      <w:r>
        <w:t xml:space="preserve">nakon čega je dostupna u pregledaču na adresi http://localhost:8501. Pošto aplikacija koristi identičan preprocessing kao trening, garantovano je da nema odstupanja između ponašanja modela u eksperimentima i u produkciji.</w:t>
      </w:r>
    </w:p>
    <w:p>
      <w:pPr>
        <w:pStyle w:val="Heading1"/>
        <w:pageBreakBefore/>
      </w:pPr>
      <w:r>
        <w:t xml:space="preserve">7. Docker kontejner</w:t>
      </w:r>
    </w:p>
    <w:p>
      <w:pPr>
        <w:spacing w:after="120" w:line="300"/>
        <w:jc w:val="both"/>
      </w:pPr>
      <w:r>
        <w:t xml:space="preserve">Kompletna aplikacija je kontejnerizovana pomoću </w:t>
      </w:r>
      <w:r>
        <w:rPr>
          <w:b/>
          <w:bCs/>
        </w:rPr>
        <w:t xml:space="preserve">Docker</w:t>
      </w:r>
      <w:r>
        <w:t xml:space="preserve"> tehnologije, čime je obezbeđeno da se pokreće identično na bilo kom računaru, bez ručne instalacije zavisnosti. </w:t>
      </w:r>
      <w:r>
        <w:rPr>
          <w:rFonts w:ascii="Consolas" w:cs="Consolas" w:eastAsia="Consolas" w:hAnsi="Consolas"/>
        </w:rPr>
        <w:t xml:space="preserve">Dockerfile</w:t>
      </w:r>
      <w:r>
        <w:t xml:space="preserve"> polazi od zvanične </w:t>
      </w:r>
      <w:r>
        <w:rPr>
          <w:rFonts w:ascii="Consolas" w:cs="Consolas" w:eastAsia="Consolas" w:hAnsi="Consolas"/>
        </w:rPr>
        <w:t xml:space="preserve">python:3.12-slim</w:t>
      </w:r>
      <w:r>
        <w:t xml:space="preserve"> osnove, instalira PyTorch (CPU verziju) i ostale biblioteke, kopira izvorni kod (</w:t>
      </w:r>
      <w:r>
        <w:rPr>
          <w:rFonts w:ascii="Consolas" w:cs="Consolas" w:eastAsia="Consolas" w:hAnsi="Consolas"/>
        </w:rPr>
        <w:t xml:space="preserve">src/</w:t>
      </w:r>
      <w:r>
        <w:t xml:space="preserve">, </w:t>
      </w:r>
      <w:r>
        <w:rPr>
          <w:rFonts w:ascii="Consolas" w:cs="Consolas" w:eastAsia="Consolas" w:hAnsi="Consolas"/>
        </w:rPr>
        <w:t xml:space="preserve">app/</w:t>
      </w:r>
      <w:r>
        <w:t xml:space="preserve">) i artefakte modela (</w:t>
      </w:r>
      <w:r>
        <w:rPr>
          <w:rFonts w:ascii="Consolas" w:cs="Consolas" w:eastAsia="Consolas" w:hAnsi="Consolas"/>
        </w:rPr>
        <w:t xml:space="preserve">models/</w:t>
      </w:r>
      <w:r>
        <w:t xml:space="preserve">), izlaže port 8501 i pokreće Streamlit server. U sliku se ne pakuju trening podaci, MLflow logovi ni notebook-ovi (</w:t>
      </w:r>
      <w:r>
        <w:rPr>
          <w:rFonts w:ascii="Consolas" w:cs="Consolas" w:eastAsia="Consolas" w:hAnsi="Consolas"/>
        </w:rPr>
        <w:t xml:space="preserve">.dockerignore</w:t>
      </w:r>
      <w:r>
        <w:t xml:space="preserve">), pa je slika znatno manja.</w:t>
      </w:r>
    </w:p>
    <w:p>
      <w:pPr>
        <w:spacing w:after="120" w:line="300"/>
        <w:jc w:val="both"/>
      </w:pPr>
      <w:r>
        <w:t xml:space="preserve">Izgradnja slike i pokretanje kontejnera:</w:t>
      </w:r>
    </w:p>
    <w:p>
      <w:pPr>
        <w:shd w:fill="F2F2F2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build -t imdb-sentiment .</w:t>
      </w:r>
    </w:p>
    <w:p>
      <w:pPr>
        <w:shd w:fill="F2F2F2" w:val="clear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run -p 8501:8501 imdb-sentiment</w:t>
      </w:r>
    </w:p>
    <w:p>
      <w:pPr>
        <w:spacing w:after="120" w:line="300"/>
        <w:jc w:val="both"/>
      </w:pPr>
      <w:r>
        <w:t xml:space="preserve">Nakon pokretanja, aplikacija je dostupna na http://localhost:8501. Definisan je i healthcheck koji proverava Streamlit endpoint, što omogućava nadzor stanja kontejnera.</w:t>
      </w:r>
    </w:p>
    <w:p>
      <w:pPr>
        <w:pStyle w:val="Heading1"/>
        <w:pageBreakBefore/>
      </w:pPr>
      <w:r>
        <w:t xml:space="preserve">8. Zaključak</w:t>
      </w:r>
    </w:p>
    <w:p>
      <w:pPr>
        <w:spacing w:after="120" w:line="300"/>
        <w:jc w:val="both"/>
      </w:pPr>
      <w:r>
        <w:t xml:space="preserve">U radu je realizovan kompletan životni ciklus sistema mašinskog učenja za analizu sentimenta filmskih recenzija: od eksploratorne analize i reproduktivne pripreme podataka, preko implementacije Transformer enkodera od nule u PyTorch-u i sistematske pretrage hiperparametara kroz 5-fold kros-validaciju sa MLflow evidencijom, do funkcionalne web aplikacije i Docker kontejnera.</w:t>
      </w:r>
    </w:p>
    <w:p>
      <w:pPr>
        <w:spacing w:after="120" w:line="300"/>
        <w:jc w:val="both"/>
      </w:pPr>
      <w:r>
        <w:t xml:space="preserve">Finalni model (more_heads_4, 1.31 M parametara) na test skupu od 25.000 recenzija postiže Accuracy 0.823, F1 0.820 i ROC-AUC 0.904, čime ubedljivo nadmašuje osnovnu liniju od 50%. Pokazano je i da veći modeli ne donose nužno bolje rezultate: konfiguracija sa više glava pažnje postigla je isti kvalitet kao duplo veći model, uz značajno manju cenu treniranja i inferencije.</w:t>
      </w:r>
    </w:p>
    <w:p>
      <w:pPr>
        <w:spacing w:after="120" w:line="300"/>
        <w:jc w:val="both"/>
      </w:pPr>
      <w:r>
        <w:t xml:space="preserve">Sistem je moguće dalje unaprediti treniranjem na celom skupu od 25.000 recenzija, primenom pretreniranih embedding vektora, ranim zaustavljanjem i naprednijom pretragom hiperparametara, kao i proširenjem aplikacije (npr. isticanje reči koje su najviše uticale na odluku modela).</w:t>
      </w:r>
    </w:p>
    <w:p>
      <w:pPr>
        <w:pStyle w:val="Heading1"/>
        <w:pageBreakBefore/>
      </w:pPr>
      <w:r>
        <w:t xml:space="preserve">Literatura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Vaswani, A. i dr. (2017). Attention Is All You Need. NeurIPS.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Maas, A. i dr. (2011). Learning Word Vectors for Sentiment Analysis. ACL – IMDB Large Movie Review Dataset.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Russell, S. J., Norvig, P. (2021). Artificial Intelligence: A Modern Approach, 4. izdanje. Pearson.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Materijali sa predavanja: Transformeri i mehanizam pažnje; End-to-end ML 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PyTorch, Streamlit, MLflow i Docker zvanična dokumentacija.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3cb2f27bee69cf5d9c046454511bb380626fd0.png"/><Relationship Id="rId9" Type="http://schemas.openxmlformats.org/officeDocument/2006/relationships/image" Target="media/4dbcf861852b619dd40d3796705d52e7d7498f83.png"/><Relationship Id="rId10" Type="http://schemas.openxmlformats.org/officeDocument/2006/relationships/image" Target="media/7d4e23a73d264deaf74de65be5f4e5c3ac85a3e1.png"/><Relationship Id="rId11" Type="http://schemas.openxmlformats.org/officeDocument/2006/relationships/image" Target="media/9f7106c4898e78d95d113441e347185f53804df9.png"/><Relationship Id="rId12" Type="http://schemas.openxmlformats.org/officeDocument/2006/relationships/image" Target="media/47e0ead1122d0a49297db4fb5f017892c7376cdb.png"/><Relationship Id="rId13" Type="http://schemas.openxmlformats.org/officeDocument/2006/relationships/image" Target="media/9a8debb55fe010209ab359bac7c1faa22a3be098.png"/><Relationship Id="rId14" Type="http://schemas.openxmlformats.org/officeDocument/2006/relationships/image" Target="media/daf7722ab3675f4eb9e56e3e06313d890aa1800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2026-07-05T16:46:14.135Z</dcterms:created>
  <dcterms:modified xsi:type="dcterms:W3CDTF">2026-07-05T16:46:14.136Z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