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Veštačka inteligencija sa primenama — metrike modela</w:t>
      </w:r>
    </w:p>
    <w:p>
      <w:pPr>
        <w:spacing w:after="60"/>
        <w:jc w:val="center"/>
      </w:pPr>
      <w:r>
        <w:rPr>
          <w:sz w:val="24"/>
          <w:szCs w:val="24"/>
        </w:rPr>
        <w:t xml:space="preserve">Domaći zadatak i seminarski rad: Sentiment Analysis of Movie Reviews (Transformer, IMDB)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Đorđe Dragović, 582/2024</w:t>
      </w:r>
    </w:p>
    <w:p>
      <w:pPr>
        <w:spacing w:after="240"/>
        <w:jc w:val="center"/>
      </w:pPr>
      <w:r>
        <w:rPr>
          <w:sz w:val="22"/>
          <w:szCs w:val="22"/>
        </w:rPr>
        <w:t xml:space="preserve">GitHub: </w:t>
      </w:r>
      <w:hyperlink w:history="1" r:id="rId9dfokcjm8s1r6ufklo3_s">
        <w:r>
          <w:rPr>
            <w:rStyle w:val="Hyperlink"/>
            <w:sz w:val="22"/>
            <w:szCs w:val="22"/>
          </w:rPr>
          <w:t xml:space="preserve">https://github.com/murajsam/VIP_IMDB_Sentiment</w:t>
        </w:r>
      </w:hyperlink>
    </w:p>
    <w:p>
      <w:pPr>
        <w:pStyle w:val="Heading1"/>
        <w:spacing w:after="160" w:before="240"/>
      </w:pPr>
      <w:r>
        <w:t xml:space="preserve">1. Postavka eksperimenta</w:t>
      </w:r>
    </w:p>
    <w:p>
      <w:pPr>
        <w:spacing w:after="120" w:line="300"/>
        <w:jc w:val="both"/>
      </w:pPr>
      <w:r>
        <w:t xml:space="preserve">Binarna klasifikacija sentimenta (pozitivan/negativan) na IMDB skupu od 50.000 recenzija (25.000 trening / 25.000 test, klase 50:50). Model: Transformer enkoder implementiran od nule u PyTorch-u. Vokabular 20.000 reči, dužina sekvence 200 tokena. Trenirano stratifikovanom 5-fold kros-validacijom na uravnoteženom podskupu od 8.000 recenzija (6 epoha, batch 64, Adam, Cross-Entropy). Svi eksperimenti su logovani u MLflow (folder mlruns/ u repozitorijumu); seedovi fiksirani, verzije biblioteka evidentirane.</w:t>
      </w:r>
    </w:p>
    <w:p>
      <w:pPr>
        <w:pStyle w:val="Heading1"/>
        <w:spacing w:after="160" w:before="240"/>
      </w:pPr>
      <w:r>
        <w:t xml:space="preserve">2. Poređenje konfiguracija (5-fold kros-validacija)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950"/>
        <w:gridCol w:w="950"/>
        <w:gridCol w:w="900"/>
        <w:gridCol w:w="10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Konfiguracija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PR-AUC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Param.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Vreme/fold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wider_d128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0.837 ± 0.009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0.913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2.69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284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learned_positional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 ± 0.008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0.916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1.33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121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more_heads_4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0.834 ± 0.011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192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regularized_dropout03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0.836 ± 0.010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 ± 0.011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0.917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121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deeper_2_layers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0.837 ± 0.007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0.830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1.35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260 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0.835 ± 0.006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0.830 ± 0.008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0.921</w:t>
            </w:r>
          </w:p>
        </w:tc>
        <w:tc>
          <w:tcPr>
            <w:tcW w:type="dxa" w:w="9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1.31 M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134 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505075"/>
            <wp:effectExtent t="0" r="0" b="0" l="0"/>
            <wp:docPr id="1" name="comparison" descr="Poređenje F1 i ROC-AUC po konfiguraciji" title="Poređenje F1 i ROC-AUC po konfiguraci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Poređenje F1 i ROC-AUC po konfiguraciji</w:t>
      </w:r>
    </w:p>
    <w:p>
      <w:pPr>
        <w:pStyle w:val="Heading1"/>
        <w:spacing w:after="160" w:before="240"/>
      </w:pPr>
      <w:r>
        <w:t xml:space="preserve">3. Finalni model i metrike na test skupu</w:t>
      </w:r>
    </w:p>
    <w:p>
      <w:pPr>
        <w:spacing w:after="120" w:line="300"/>
        <w:jc w:val="both"/>
      </w:pPr>
      <w:r>
        <w:t xml:space="preserve">Razlike u F1 su unutar standardne devijacije, pa je za finalni model izabrana konfiguracija more_heads_4 (d_model 64, 4 glave pažnje, 1 sloj; 1.31 M parametara — 4× manje od najvećeg modela uz isti kvalitet). Model je istreniran na svih 8.000 primera i evaluiran na zvaničnom IMDB test skupu od 25.000 recenzija: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Skup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ROC-AUC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PR-AUC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(25.000)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0.904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0.898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40" w:before="100"/>
        <w:jc w:val="center"/>
      </w:pPr>
      <w:r>
        <w:drawing>
          <wp:inline distT="0" distB="0" distL="0" distR="0">
            <wp:extent cx="3619500" cy="2609850"/>
            <wp:effectExtent t="0" r="0" b="0" l="0"/>
            <wp:docPr id="1" name="cm_test" descr="Konfuziona matrica finalnog modela na test skupu" title="Konfuziona matrica finalnog modela na test sku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Konfuziona matrica finalnog modela na test skupu</w:t>
      </w:r>
    </w:p>
    <w:p>
      <w:pPr>
        <w:spacing w:after="40" w:before="100"/>
        <w:jc w:val="center"/>
      </w:pPr>
      <w:r>
        <w:drawing>
          <wp:inline distT="0" distB="0" distL="0" distR="0">
            <wp:extent cx="3810000" cy="3152775"/>
            <wp:effectExtent t="0" r="0" b="0" l="0"/>
            <wp:docPr id="1" name="roc_test" descr="ROC kriva finalnog modela na test skupu" title="ROC kriva finalnog modela na test sku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ROC kriva finalnog modela na test skupu</w:t>
      </w:r>
    </w:p>
    <w:p>
      <w:pPr>
        <w:spacing w:after="40" w:before="100"/>
        <w:jc w:val="center"/>
      </w:pPr>
      <w:r>
        <w:drawing>
          <wp:inline distT="0" distB="0" distL="0" distR="0">
            <wp:extent cx="4095750" cy="2609850"/>
            <wp:effectExtent t="0" r="0" b="0" l="0"/>
            <wp:docPr id="1" name="learning_curve" descr="Kriva učenja finalne konfiguracije (gubitak i tačnost po epohi)" title="Kriva učenja finalne konfiguracije (gubitak i tačnost po epoh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Kriva učenja finalne konfiguracije (gubitak i tačnost po epohi)</w:t>
      </w:r>
    </w:p>
    <w:p>
      <w:pPr>
        <w:pStyle w:val="Heading1"/>
        <w:spacing w:after="160" w:before="240"/>
      </w:pPr>
      <w:r>
        <w:t xml:space="preserve">4. Napomena</w:t>
      </w:r>
    </w:p>
    <w:p>
      <w:pPr>
        <w:spacing w:after="120" w:line="300"/>
        <w:jc w:val="both"/>
      </w:pPr>
      <w:r>
        <w:t xml:space="preserve">Kompletni logovi (hiperparametri, gubitak po epohi, metrike po fold-u), grafici za svih šest konfiguracija, kod i uputstvo za pokretanje nalaze se u GitHub repozitorijumu. MLflow istorija se pregleda komandom: mlflow ui.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000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dfokcjm8s1r6ufklo3_s" Type="http://schemas.openxmlformats.org/officeDocument/2006/relationships/hyperlink" Target="https://github.com/murajsam/VIP_IMDB_Sentiment" TargetMode="External"/><Relationship Id="rId7" Type="http://schemas.openxmlformats.org/officeDocument/2006/relationships/image" Target="media/47e0ead1122d0a49297db4fb5f017892c7376cdb.png"/><Relationship Id="rId8" Type="http://schemas.openxmlformats.org/officeDocument/2006/relationships/image" Target="media/9a8debb55fe010209ab359bac7c1faa22a3be098.png"/><Relationship Id="rId9" Type="http://schemas.openxmlformats.org/officeDocument/2006/relationships/image" Target="media/daf7722ab3675f4eb9e56e3e06313d890aa18004.png"/><Relationship Id="rId10" Type="http://schemas.openxmlformats.org/officeDocument/2006/relationships/image" Target="media/9f7106c4898e78d95d113441e347185f53804df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2026-07-06T22:58:10.416Z</dcterms:created>
  <dcterms:modified xsi:type="dcterms:W3CDTF">2026-07-06T22:58:10.417Z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