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16 Deliverable — Reusable Library: Logging &amp; Error Handling</w:t>
      </w:r>
    </w:p>
    <w:p>
      <w:r>
        <w:rPr>
          <w:b/>
          <w:i w:val="0"/>
        </w:rPr>
        <w:t>Phase: Phase -1 (Architecture &amp; Engineering Preparation), Week 4</w:t>
      </w:r>
    </w:p>
    <w:p>
      <w:r>
        <w:rPr>
          <w:b w:val="0"/>
          <w:i w:val="0"/>
        </w:rPr>
        <w:t>Day: 16 of 20</w:t>
      </w:r>
    </w:p>
    <w:p>
      <w:r>
        <w:rPr>
          <w:b w:val="0"/>
          <w:i w:val="0"/>
        </w:rPr>
        <w:t>Deliverable per plan: logging-lib, error-handling-lib (versioned packages)</w:t>
      </w:r>
    </w:p>
    <w:p>
      <w:r>
        <w:rPr>
          <w:b w:val="0"/>
          <w:i w:val="0"/>
        </w:rPr>
        <w:t>Companion: adr/0010-logging-and-error-handling-libraries.md</w:t>
      </w:r>
    </w:p>
    <w:p>
      <w:pPr>
        <w:pStyle w:val="Heading1"/>
      </w:pPr>
      <w:r>
        <w:t>1. What Was Built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Types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CustomsClearance.Platform.Logging</w:t>
            </w:r>
          </w:p>
        </w:tc>
        <w:tc>
          <w:tcPr>
            <w:tcW w:type="dxa" w:w="2880"/>
          </w:tcPr>
          <w:p>
            <w:r>
              <w:t>CorrelationIdAccessor, CorrelationIdMiddleware, UseCustomsClearanceCorrelationId()</w:t>
            </w:r>
          </w:p>
        </w:tc>
        <w:tc>
          <w:tcPr>
            <w:tcW w:type="dxa" w:w="2880"/>
          </w:tcPr>
          <w:p>
            <w:r>
              <w:t>Reads/generates X-Correlation-Id, propagates it through AsyncLocal, pushes it into the structured log scope</w:t>
            </w:r>
          </w:p>
        </w:tc>
      </w:tr>
      <w:tr>
        <w:tc>
          <w:tcPr>
            <w:tcW w:type="dxa" w:w="2880"/>
          </w:tcPr>
          <w:p>
            <w:r>
              <w:t>CustomsClearance.Platform.ErrorHandling</w:t>
            </w:r>
          </w:p>
        </w:tc>
        <w:tc>
          <w:tcPr>
            <w:tcW w:type="dxa" w:w="2880"/>
          </w:tcPr>
          <w:p>
            <w:r>
              <w:t>DomainValidationException, ProblemDetailsResponse, ErrorMapper, ExceptionHandlingMiddleware, UseCustomsClearanceErrorHandling()</w:t>
            </w:r>
          </w:p>
        </w:tc>
        <w:tc>
          <w:tcPr>
            <w:tcW w:type="dxa" w:w="2880"/>
          </w:tcPr>
          <w:p>
            <w:r>
              <w:t>Maps any exception to the RFC 7807 envelope from API Standards v1.0 Section 6, with PRD Business Rule IDs on validation failures</w:t>
            </w:r>
          </w:p>
        </w:tc>
      </w:tr>
    </w:tbl>
    <w:p/>
    <w:p>
      <w:r>
        <w:rPr>
          <w:b w:val="0"/>
          <w:i w:val="0"/>
        </w:rPr>
        <w:t>Both are plain class libraries under src/Platform/ using FrameworkReference to Microsoft.AspNetCore.App - not Web SDK projects themselves, the standard pattern for a library that needs ASP.NET Core middleware types.</w:t>
      </w:r>
    </w:p>
    <w:p>
      <w:pPr>
        <w:pStyle w:val="Heading1"/>
      </w:pPr>
      <w:r>
        <w:t>2. Verified Against a Real Host, Not Just in Isolation</w:t>
      </w:r>
    </w:p>
    <w:p>
      <w:r>
        <w:rPr>
          <w:b w:val="0"/>
          <w:i w:val="0"/>
        </w:rPr>
        <w:t>Both libraries were wired into the actual src/Api placeholder (a new Development-only /diagnostics/throw-validation-error endpoint added specifically to prove this), and exercised with real HTTP requests before anything was considered done: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curl, no correlation header supplied</w:t>
            </w:r>
          </w:p>
        </w:tc>
        <w:tc>
          <w:tcPr>
            <w:tcW w:type="dxa" w:w="4320"/>
          </w:tcPr>
          <w:p>
            <w:r>
              <w:t>422, application/problem+json, a generated GUID present in both response body and X-Correlation-Id header</w:t>
            </w:r>
          </w:p>
        </w:tc>
      </w:tr>
      <w:tr>
        <w:tc>
          <w:tcPr>
            <w:tcW w:type="dxa" w:w="4320"/>
          </w:tcPr>
          <w:p>
            <w:r>
              <w:t>curl, X-Correlation-Id: my-test-id-999 supplied</w:t>
            </w:r>
          </w:p>
        </w:tc>
        <w:tc>
          <w:tcPr>
            <w:tcW w:type="dxa" w:w="4320"/>
          </w:tcPr>
          <w:p>
            <w:r>
              <w:t>The exact supplied ID echoed back, not regenerated</w:t>
            </w:r>
          </w:p>
        </w:tc>
      </w:tr>
      <w:tr>
        <w:tc>
          <w:tcPr>
            <w:tcW w:type="dxa" w:w="4320"/>
          </w:tcPr>
          <w:p>
            <w:r>
              <w:t>Server console log during those requests</w:t>
            </w:r>
          </w:p>
        </w:tc>
        <w:tc>
          <w:tcPr>
            <w:tcW w:type="dxa" w:w="4320"/>
          </w:tcPr>
          <w:p>
            <w:r>
              <w:t>"Business rule validation failed. CorrelationId=&lt;matching id&gt;" - confirming the log scope carried the same ID as the HTTP response</w:t>
            </w:r>
          </w:p>
        </w:tc>
      </w:tr>
      <w:tr>
        <w:tc>
          <w:tcPr>
            <w:tcW w:type="dxa" w:w="4320"/>
          </w:tcPr>
          <w:p>
            <w:r>
              <w:t>Unit tests (Logging + ErrorHandling)</w:t>
            </w:r>
          </w:p>
        </w:tc>
        <w:tc>
          <w:tcPr>
            <w:tcW w:type="dxa" w:w="4320"/>
          </w:tcPr>
          <w:p>
            <w:r>
              <w:t>5 + 9 = 14 tests, 100% line coverage on both, including the middleware itself via Microsoft.AspNetCore.TestHost</w:t>
            </w:r>
          </w:p>
        </w:tc>
      </w:tr>
      <w:tr>
        <w:tc>
          <w:tcPr>
            <w:tcW w:type="dxa" w:w="4320"/>
          </w:tcPr>
          <w:p>
            <w:r>
              <w:t>Integration tests (WebApplicationFactory)</w:t>
            </w:r>
          </w:p>
        </w:tc>
        <w:tc>
          <w:tcPr>
            <w:tcW w:type="dxa" w:w="4320"/>
          </w:tcPr>
          <w:p>
            <w:r>
              <w:t>3/3 passed, incl. 2 new tests for the error-handling behavior through the full pipeline</w:t>
            </w:r>
          </w:p>
        </w:tc>
      </w:tr>
      <w:tr>
        <w:tc>
          <w:tcPr>
            <w:tcW w:type="dxa" w:w="4320"/>
          </w:tcPr>
          <w:p>
            <w:r>
              <w:t>docker build / smoke-test.sh</w:t>
            </w:r>
          </w:p>
        </w:tc>
        <w:tc>
          <w:tcPr>
            <w:tcW w:type="dxa" w:w="4320"/>
          </w:tcPr>
          <w:p>
            <w:r>
              <w:t>Initially failed (Dockerfile only copied Platform.Common, not the two new project dependencies) - caught and fixed before being considered done</w:t>
            </w:r>
          </w:p>
        </w:tc>
      </w:tr>
    </w:tbl>
    <w:p/>
    <w:p>
      <w:pPr>
        <w:pStyle w:val="Heading1"/>
      </w:pPr>
      <w:r>
        <w:t>3. Design Notes</w:t>
      </w:r>
    </w:p>
    <w:p>
      <w:pPr>
        <w:pStyle w:val="ListBullet"/>
      </w:pPr>
      <w:r>
        <w:t>ErrorMapper.Map() is a pure function, separated from the middleware, so its logic - including that unknown exceptions never leak internal details (stack traces, connection strings) into the response - is unit-testable without any HTTP infrastructure.</w:t>
      </w:r>
    </w:p>
    <w:p>
      <w:pPr>
        <w:pStyle w:val="ListBullet"/>
      </w:pPr>
      <w:r>
        <w:t>Only DomainValidationException (an expected, business-rule-driven failure) has its message and failures surfaced to the caller. Unknown exceptions return a generic response with no Detail/Errors - the real exception is logged server-side only.</w:t>
      </w:r>
    </w:p>
    <w:p>
      <w:pPr>
        <w:pStyle w:val="ListBullet"/>
      </w:pPr>
      <w:r>
        <w:t>Middleware ordering matters: UseCustomsClearanceCorrelationId() must run before UseCustomsClearanceErrorHandling(), documented in both the XML doc comments and demonstrated in Program.cs.</w:t>
      </w:r>
    </w:p>
    <w:p>
      <w:pPr>
        <w:pStyle w:val="Heading1"/>
      </w:pPr>
      <w:r>
        <w:t>4. A Real Bug Caught During Verification</w:t>
      </w:r>
    </w:p>
    <w:p>
      <w:r>
        <w:rPr>
          <w:b w:val="0"/>
          <w:i/>
        </w:rPr>
        <w:t>The Dockerfile (Day 13) only copied src/Platform/Common into the Docker build context. Once Api referenced the two new Platform.Logging/Platform.ErrorHandling projects, docker build would have failed silently at container-build time if not caught here. Fixed by adding both projects' COPY steps to src/Api/Dockerfile, then re-verified via a full smoke-test.sh run before moving on - consistent with the project's standing practice of never leaving a broken mechanism to be discovered later.</w:t>
      </w:r>
    </w:p>
    <w:p>
      <w:pPr>
        <w:pStyle w:val="Heading1"/>
      </w:pPr>
      <w:r>
        <w:t>5. Traceability</w:t>
      </w:r>
    </w:p>
    <w:p>
      <w:r>
        <w:rPr>
          <w:b w:val="0"/>
          <w:i/>
        </w:rPr>
        <w:t>This deliverable satisfies Day 16 of the Day-Wise Plan: "Build shared logging module (structured logs, correlation ID propagation) and standard exception/error-response handling." Deliverable produced: two versioned Platform libraries, wired into the real Api host, verified via curl/manual testing, unit tests, integration tests, and a full container smoke test, plus adr/0010-logging-and-error-handling-libraries.md.</w:t>
      </w:r>
    </w:p>
    <w:p>
      <w:r>
        <w:rPr>
          <w:b w:val="0"/>
          <w:i/>
        </w:rPr>
        <w:t>Next: Day 17 - Reusable Library: Security &amp; Auditing (shared auth middleware and generic audit-trail module, per PRD audit requirements and adr/0004).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