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Customs Clearance Platform (India) – Day-Wise Implementation Plan</w:t>
      </w:r>
    </w:p>
    <w:p>
      <w:r>
        <w:rPr>
          <w:b/>
          <w:i w:val="0"/>
        </w:rPr>
        <w:t>Version: 1.0</w:t>
      </w:r>
    </w:p>
    <w:p>
      <w:r>
        <w:rPr>
          <w:b w:val="0"/>
          <w:i w:val="0"/>
        </w:rPr>
        <w:t>Scope: Phase -1 (Architecture &amp; Engineering Preparation) and Phase 0 (Platform Foundation)</w:t>
      </w:r>
    </w:p>
    <w:p>
      <w:r>
        <w:rPr>
          <w:b w:val="0"/>
          <w:i w:val="0"/>
        </w:rPr>
        <w:t>Jurisdiction: India (ICEGATE / ITC-HS, GST, Customs Duty, Cess)</w:t>
      </w:r>
    </w:p>
    <w:p>
      <w:r>
        <w:rPr>
          <w:b w:val="0"/>
          <w:i w:val="0"/>
        </w:rPr>
        <w:t>Team model: Solo delivery — the user acts as human-in-the-loop / decision-maker and implementer, with Claude providing design, code, review, and documentation support. No separate DB/backend/API/frontend teams; one person moves through all layers sequentially per module.</w:t>
      </w:r>
    </w:p>
    <w:p>
      <w:pPr>
        <w:pStyle w:val="Heading1"/>
      </w:pPr>
      <w:r>
        <w:t>How to Read This Plan</w:t>
      </w:r>
    </w:p>
    <w:p>
      <w:pPr>
        <w:pStyle w:val="ListBullet"/>
      </w:pPr>
      <w:r>
        <w:t>Each entry is one working day. Days assume focused solo work with AI pairing — no cross-team handoff delays, but still gated: a day's output should be reviewed/accepted before moving to the next.</w:t>
      </w:r>
    </w:p>
    <w:p>
      <w:pPr>
        <w:pStyle w:val="ListBullet"/>
      </w:pPr>
      <w:r>
        <w:t>"Deliverable" is the concrete artifact you should have in hand at day's end — use it to self-check progress.</w:t>
      </w:r>
    </w:p>
    <w:p>
      <w:pPr>
        <w:pStyle w:val="ListBullet"/>
      </w:pPr>
      <w:r>
        <w:t>If a day runs over, don't compress the next day — slip the whole plan by the same amount. The sequence matters more than the calendar date.</w:t>
      </w:r>
    </w:p>
    <w:p>
      <w:pPr>
        <w:pStyle w:val="ListBullet"/>
      </w:pPr>
      <w:r>
        <w:t>This plan covers Phase -1 and Phase 0 only (per agreed scope). Phase 1 onward (Enterprise Core, India tariff/reference data sourcing, Core Customs Processing) will get its own day-wise plan once we approach it — flagged as a reminder at the end of this document.</w:t>
      </w:r>
    </w:p>
    <w:p>
      <w:pPr>
        <w:pStyle w:val="ListBullet"/>
      </w:pPr>
      <w:r>
        <w:t>A "Multi-Agent?" column has been added to every table. It flags whether that day's work is a candidate for parallel subagent execution (multiple independent sub-tasks worked simultaneously to shorten elapsed time) instead of straight sequential solo work. See the summary section below before Week 1.</w:t>
      </w:r>
    </w:p>
    <w:p>
      <w:pPr>
        <w:pStyle w:val="Heading1"/>
      </w:pPr>
      <w:r>
        <w:t>Multi-Agent Parallelization — Summary &amp; Recommendation</w:t>
      </w:r>
    </w:p>
    <w:p>
      <w:r>
        <w:rPr>
          <w:b w:val="0"/>
          <w:i w:val="0"/>
        </w:rPr>
        <w:t>Multiple subagents can work in parallel only where sub-tasks are genuinely independent of each other's output. Forcing parallelism onto sequential/dependent work (e.g. schema before evaluation pipeline) creates conflicting drafts that cost more time to reconcile than they save. Recommendation: use parallel agents only on the days flagged "Yes" below; keep everything else sequential.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Legend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Sub-tasks are independent — recommended candidate for parallel subagents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Some parts can run in parallel, but a review/merge step still needs to happen sequentially</w:t>
            </w:r>
          </w:p>
        </w:tc>
      </w:tr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Has a real dependency chain or requires one coherent decision-maker — keep sequential</w:t>
            </w:r>
          </w:p>
        </w:tc>
      </w:tr>
    </w:tbl>
    <w:p/>
    <w:p>
      <w:pPr>
        <w:pStyle w:val="ListBullet"/>
      </w:pPr>
      <w:r>
        <w:t>Days 2–3: Core-entity model vs. Rules/Charges model can be drafted in parallel, then merged on Day 4's review (Partial — merge is sequential).</w:t>
      </w:r>
    </w:p>
    <w:p>
      <w:pPr>
        <w:pStyle w:val="ListBullet"/>
      </w:pPr>
      <w:r>
        <w:t>Days 16–18: logging-lib, security-lib, persistence-lib, messaging-lib, audit-lib have no interdependencies at build time — strong candidate to compress 3 days into parallel agent runs (Yes).</w:t>
      </w:r>
    </w:p>
    <w:p>
      <w:pPr>
        <w:pStyle w:val="ListBullet"/>
      </w:pPr>
      <w:r>
        <w:t>Days 26–29 (observability): logging rollout, metrics, tracing, and alerting touch overlapping config but can largely be scaffolded in parallel and wired together on Day 30's review (Partial).</w:t>
      </w:r>
    </w:p>
    <w:p>
      <w:pPr>
        <w:pStyle w:val="ListBullet"/>
      </w:pPr>
      <w:r>
        <w:t>Days 36–37: Configuration service and Notification service are independent builds (Yes).</w:t>
      </w:r>
    </w:p>
    <w:p>
      <w:pPr>
        <w:pStyle w:val="ListBullet"/>
      </w:pPr>
      <w:r>
        <w:t>Days 41–44 (hardening): security review, performance baseline, CI/CD hardening, and documentation are independent workstreams over the same completed codebase (Yes).</w:t>
      </w:r>
    </w:p>
    <w:p>
      <w:pPr>
        <w:pStyle w:val="ListBullet"/>
      </w:pPr>
      <w:r>
        <w:t>Rules-engine days (31–34), infra bring-up (21–25), and all "review/sign-off" days are explicitly marked No — they either have a strict build order or require your single decision as human-in-the-loop.</w:t>
      </w:r>
    </w:p>
    <w:p>
      <w:pPr>
        <w:pStyle w:val="Heading1"/>
      </w:pPr>
      <w:r>
        <w:t>Phase -1: Architecture &amp; Engineering Preparation (Days 1–20, ~4 weeks)</w:t>
      </w:r>
    </w:p>
    <w:p>
      <w:r>
        <w:rPr>
          <w:b w:val="0"/>
          <w:i w:val="0"/>
        </w:rPr>
        <w:t>Goal: everything that must be decided once, before writing production code, so later phases don't require rework.</w:t>
      </w:r>
    </w:p>
    <w:p>
      <w:pPr>
        <w:pStyle w:val="Heading2"/>
      </w:pPr>
      <w:r>
        <w:t>Week 1 (Days 1–5): Domain Model &amp; Bounded Contexts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Kickoff &amp; Domain Scoping</w:t>
            </w:r>
          </w:p>
        </w:tc>
        <w:tc>
          <w:tcPr>
            <w:tcW w:type="dxa" w:w="1728"/>
          </w:tcPr>
          <w:p>
            <w:r>
              <w:t>Re-confirm MVP scope from PRD for India; list bounded contexts (Shipment, Declaration, Commodity, Party, Permit, Charges, Segregation/Rules); identify which are in v1 vs later</w:t>
            </w:r>
          </w:p>
        </w:tc>
        <w:tc>
          <w:tcPr>
            <w:tcW w:type="dxa" w:w="1728"/>
          </w:tcPr>
          <w:p>
            <w:r>
              <w:t>Bounded-context map (1-page diagram + notes)</w:t>
            </w:r>
          </w:p>
        </w:tc>
        <w:tc>
          <w:tcPr>
            <w:tcW w:type="dxa" w:w="1728"/>
          </w:tcPr>
          <w:p>
            <w:r>
              <w:t>No — single scoping decision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Canonical Data Model – Core Entities</w:t>
            </w:r>
          </w:p>
        </w:tc>
        <w:tc>
          <w:tcPr>
            <w:tcW w:type="dxa" w:w="1728"/>
          </w:tcPr>
          <w:p>
            <w:r>
              <w:t>Draft entity attributes for Shipment, Declaration, Commodity, Party (from PRD Ch.2, 4, 6, 7), adapted for India (ITC-HS 8-digit, GST/Cess fields)</w:t>
            </w:r>
          </w:p>
        </w:tc>
        <w:tc>
          <w:tcPr>
            <w:tcW w:type="dxa" w:w="1728"/>
          </w:tcPr>
          <w:p>
            <w:r>
              <w:t>Draft ER diagram v0.1</w:t>
            </w:r>
          </w:p>
        </w:tc>
        <w:tc>
          <w:tcPr>
            <w:tcW w:type="dxa" w:w="1728"/>
          </w:tcPr>
          <w:p>
            <w:r>
              <w:t>Partial — can run alongside Day 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Canonical Data Model – Rules &amp; Charges</w:t>
            </w:r>
          </w:p>
        </w:tc>
        <w:tc>
          <w:tcPr>
            <w:tcW w:type="dxa" w:w="1728"/>
          </w:tcPr>
          <w:p>
            <w:r>
              <w:t>Draft entity model for Charges, Permits, Shipment Indicators, and the Rules/Segregation model (rule, condition, priority, decision trace)</w:t>
            </w:r>
          </w:p>
        </w:tc>
        <w:tc>
          <w:tcPr>
            <w:tcW w:type="dxa" w:w="1728"/>
          </w:tcPr>
          <w:p>
            <w:r>
              <w:t>ER diagram v0.2 including rules entities</w:t>
            </w:r>
          </w:p>
        </w:tc>
        <w:tc>
          <w:tcPr>
            <w:tcW w:type="dxa" w:w="1728"/>
          </w:tcPr>
          <w:p>
            <w:r>
              <w:t>Partial — can run alongside Day 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 Model Review &amp; Refinement</w:t>
            </w:r>
          </w:p>
        </w:tc>
        <w:tc>
          <w:tcPr>
            <w:tcW w:type="dxa" w:w="1728"/>
          </w:tcPr>
          <w:p>
            <w:r>
              <w:t>Walk through end-to-end scenario (e.g. informal import from China to India) against the model; fix gaps</w:t>
            </w:r>
          </w:p>
        </w:tc>
        <w:tc>
          <w:tcPr>
            <w:tcW w:type="dxa" w:w="1728"/>
          </w:tcPr>
          <w:p>
            <w:r>
              <w:t>ER diagram v1.0 (signed off)</w:t>
            </w:r>
          </w:p>
        </w:tc>
        <w:tc>
          <w:tcPr>
            <w:tcW w:type="dxa" w:w="1728"/>
          </w:tcPr>
          <w:p>
            <w:r>
              <w:t>No — merge/review needs one owner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Bounded Context Interfaces</w:t>
            </w:r>
          </w:p>
        </w:tc>
        <w:tc>
          <w:tcPr>
            <w:tcW w:type="dxa" w:w="1728"/>
          </w:tcPr>
          <w:p>
            <w:r>
              <w:t>Define how contexts talk to each other (events vs direct calls); list domain events (ShipmentValidated, HSClassified, DeclarationSubmitted, etc.)</w:t>
            </w:r>
          </w:p>
        </w:tc>
        <w:tc>
          <w:tcPr>
            <w:tcW w:type="dxa" w:w="1728"/>
          </w:tcPr>
          <w:p>
            <w:r>
              <w:t>Context map + domain event catalog v1.0</w:t>
            </w:r>
          </w:p>
        </w:tc>
        <w:tc>
          <w:tcPr>
            <w:tcW w:type="dxa" w:w="1728"/>
          </w:tcPr>
          <w:p>
            <w:r>
              <w:t>No — depends on Day 4 model</w:t>
            </w:r>
          </w:p>
        </w:tc>
      </w:tr>
    </w:tbl>
    <w:p/>
    <w:p>
      <w:pPr>
        <w:pStyle w:val="Heading2"/>
      </w:pPr>
      <w:r>
        <w:t>Week 2 (Days 6–10): API &amp; Coding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API Standards</w:t>
            </w:r>
          </w:p>
        </w:tc>
        <w:tc>
          <w:tcPr>
            <w:tcW w:type="dxa" w:w="1728"/>
          </w:tcPr>
          <w:p>
            <w:r>
              <w:t>Define REST conventions: URL structure, versioning, pagination, filtering, error format, correlation ID header</w:t>
            </w:r>
          </w:p>
        </w:tc>
        <w:tc>
          <w:tcPr>
            <w:tcW w:type="dxa" w:w="1728"/>
          </w:tcPr>
          <w:p>
            <w:r>
              <w:t>API standards doc v1.0</w:t>
            </w:r>
          </w:p>
        </w:tc>
        <w:tc>
          <w:tcPr>
            <w:tcW w:type="dxa" w:w="1728"/>
          </w:tcPr>
          <w:p>
            <w:r>
              <w:t>No — single standards decision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OpenAPI Contract Skeletons</w:t>
            </w:r>
          </w:p>
        </w:tc>
        <w:tc>
          <w:tcPr>
            <w:tcW w:type="dxa" w:w="1728"/>
          </w:tcPr>
          <w:p>
            <w:r>
              <w:t>Draft OpenAPI stubs for Shipment and Declaration services (paths + schemas, no implementation)</w:t>
            </w:r>
          </w:p>
        </w:tc>
        <w:tc>
          <w:tcPr>
            <w:tcW w:type="dxa" w:w="1728"/>
          </w:tcPr>
          <w:p>
            <w:r>
              <w:t>openapi/shipment.yaml, openapi/declaration.yaml (draft)</w:t>
            </w:r>
          </w:p>
        </w:tc>
        <w:tc>
          <w:tcPr>
            <w:tcW w:type="dxa" w:w="1728"/>
          </w:tcPr>
          <w:p>
            <w:r>
              <w:t>Yes — one stub per service in parallel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Coding Standards &amp; ADR Template</w:t>
            </w:r>
          </w:p>
        </w:tc>
        <w:tc>
          <w:tcPr>
            <w:tcW w:type="dxa" w:w="1728"/>
          </w:tcPr>
          <w:p>
            <w:r>
              <w:t>Choose backend stack/framework, set naming/style conventions, create ADR template; write ADR-001 (stack choice), ADR-002 (rules-engine approach: config-driven vs code)</w:t>
            </w:r>
          </w:p>
        </w:tc>
        <w:tc>
          <w:tcPr>
            <w:tcW w:type="dxa" w:w="1728"/>
          </w:tcPr>
          <w:p>
            <w:r>
              <w:t>Coding standards doc + ADR-001, ADR-002</w:t>
            </w:r>
          </w:p>
        </w:tc>
        <w:tc>
          <w:tcPr>
            <w:tcW w:type="dxa" w:w="1728"/>
          </w:tcPr>
          <w:p>
            <w:r>
              <w:t>No — needs one coherent decision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Repository &amp; Branching Strategy</w:t>
            </w:r>
          </w:p>
        </w:tc>
        <w:tc>
          <w:tcPr>
            <w:tcW w:type="dxa" w:w="1728"/>
          </w:tcPr>
          <w:p>
            <w:r>
              <w:t>Set up repo structure (mono-repo vs multi-repo decision), branching model, commit conventions, PR/review checklist (even solo, use PR-to-self discipline for traceability)</w:t>
            </w:r>
          </w:p>
        </w:tc>
        <w:tc>
          <w:tcPr>
            <w:tcW w:type="dxa" w:w="1728"/>
          </w:tcPr>
          <w:p>
            <w:r>
              <w:t>Repo initialized with structure + CONTRIBUTING.md</w:t>
            </w:r>
          </w:p>
        </w:tc>
        <w:tc>
          <w:tcPr>
            <w:tcW w:type="dxa" w:w="1728"/>
          </w:tcPr>
          <w:p>
            <w:r>
              <w:t>No — single structural decision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Security &amp; Audit Standards</w:t>
            </w:r>
          </w:p>
        </w:tc>
        <w:tc>
          <w:tcPr>
            <w:tcW w:type="dxa" w:w="1728"/>
          </w:tcPr>
          <w:p>
            <w:r>
              <w:t>Define auth approach (JWT/OAuth2), field-level audit logging pattern, data-at-rest/in-transit encryption approach</w:t>
            </w:r>
          </w:p>
        </w:tc>
        <w:tc>
          <w:tcPr>
            <w:tcW w:type="dxa" w:w="1728"/>
          </w:tcPr>
          <w:p>
            <w:r>
              <w:t>Security standards doc v1.0</w:t>
            </w:r>
          </w:p>
        </w:tc>
        <w:tc>
          <w:tcPr>
            <w:tcW w:type="dxa" w:w="1728"/>
          </w:tcPr>
          <w:p>
            <w:r>
              <w:t>No — single standards decision</w:t>
            </w:r>
          </w:p>
        </w:tc>
      </w:tr>
    </w:tbl>
    <w:p/>
    <w:p>
      <w:pPr>
        <w:pStyle w:val="Heading2"/>
      </w:pPr>
      <w:r>
        <w:t>Week 3 (Days 11–15): CI/CD &amp; Quality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CI Pipeline Setup</w:t>
            </w:r>
          </w:p>
        </w:tc>
        <w:tc>
          <w:tcPr>
            <w:tcW w:type="dxa" w:w="1728"/>
          </w:tcPr>
          <w:p>
            <w:r>
              <w:t>Set up build pipeline (GitHub Actions/Azure DevOps): build, lint, unit test stages</w:t>
            </w:r>
          </w:p>
        </w:tc>
        <w:tc>
          <w:tcPr>
            <w:tcW w:type="dxa" w:w="1728"/>
          </w:tcPr>
          <w:p>
            <w:r>
              <w:t>CI pipeline green on empty scaffold project</w:t>
            </w:r>
          </w:p>
        </w:tc>
        <w:tc>
          <w:tcPr>
            <w:tcW w:type="dxa" w:w="1728"/>
          </w:tcPr>
          <w:p>
            <w:r>
              <w:t>No — foundational, others build on it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Code Scanning &amp; Coverage Gates</w:t>
            </w:r>
          </w:p>
        </w:tc>
        <w:tc>
          <w:tcPr>
            <w:tcW w:type="dxa" w:w="1728"/>
          </w:tcPr>
          <w:p>
            <w:r>
              <w:t>Integrate static analysis (SonarQube/equivalent) and coverage reporting; set thresholds (95% core logic / 80% CRUD per v2 plan)</w:t>
            </w:r>
          </w:p>
        </w:tc>
        <w:tc>
          <w:tcPr>
            <w:tcW w:type="dxa" w:w="1728"/>
          </w:tcPr>
          <w:p>
            <w:r>
              <w:t>CI pipeline enforcing coverage + lint gates</w:t>
            </w:r>
          </w:p>
        </w:tc>
        <w:tc>
          <w:tcPr>
            <w:tcW w:type="dxa" w:w="1728"/>
          </w:tcPr>
          <w:p>
            <w:r>
              <w:t>No — depends on Day 11 pipeline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CD Pipeline &amp; Environments</w:t>
            </w:r>
          </w:p>
        </w:tc>
        <w:tc>
          <w:tcPr>
            <w:tcW w:type="dxa" w:w="1728"/>
          </w:tcPr>
          <w:p>
            <w:r>
              <w:t>Set up deployment pipeline to a dev environment (containerized); define environment promotion path (dev → staging → prod)</w:t>
            </w:r>
          </w:p>
        </w:tc>
        <w:tc>
          <w:tcPr>
            <w:tcW w:type="dxa" w:w="1728"/>
          </w:tcPr>
          <w:p>
            <w:r>
              <w:t>Automated deploy to dev environment working</w:t>
            </w:r>
          </w:p>
        </w:tc>
        <w:tc>
          <w:tcPr>
            <w:tcW w:type="dxa" w:w="1728"/>
          </w:tcPr>
          <w:p>
            <w:r>
              <w:t>No — depends on Day 11 pipeline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Test Automation Scaffolding</w:t>
            </w:r>
          </w:p>
        </w:tc>
        <w:tc>
          <w:tcPr>
            <w:tcW w:type="dxa" w:w="1728"/>
          </w:tcPr>
          <w:p>
            <w:r>
              <w:t>Set up unit test framework, integration test framework, Postman/Newman or equivalent for API contract tests</w:t>
            </w:r>
          </w:p>
        </w:tc>
        <w:tc>
          <w:tcPr>
            <w:tcW w:type="dxa" w:w="1728"/>
          </w:tcPr>
          <w:p>
            <w:r>
              <w:t>Test scaffolding with one passing sample test per layer</w:t>
            </w:r>
          </w:p>
        </w:tc>
        <w:tc>
          <w:tcPr>
            <w:tcW w:type="dxa" w:w="1728"/>
          </w:tcPr>
          <w:p>
            <w:r>
              <w:t>Partial — unit vs API test scaffolds can be split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Quality Gate Checklists</w:t>
            </w:r>
          </w:p>
        </w:tc>
        <w:tc>
          <w:tcPr>
            <w:tcW w:type="dxa" w:w="1728"/>
          </w:tcPr>
          <w:p>
            <w:r>
              <w:t>Formalize Gate 1–5 checklists (Architecture, Backend, API, Frontend, Release) as living checklists to use at each phase exit</w:t>
            </w:r>
          </w:p>
        </w:tc>
        <w:tc>
          <w:tcPr>
            <w:tcW w:type="dxa" w:w="1728"/>
          </w:tcPr>
          <w:p>
            <w:r>
              <w:t>Quality gate checklist doc (checkable, reusable)</w:t>
            </w:r>
          </w:p>
        </w:tc>
        <w:tc>
          <w:tcPr>
            <w:tcW w:type="dxa" w:w="1728"/>
          </w:tcPr>
          <w:p>
            <w:r>
              <w:t>Yes — one checklist per gate in parallel</w:t>
            </w:r>
          </w:p>
        </w:tc>
      </w:tr>
    </w:tbl>
    <w:p/>
    <w:p>
      <w:pPr>
        <w:pStyle w:val="Heading2"/>
      </w:pPr>
      <w:r>
        <w:t>Week 4 (Days 16–20): Platform Libraries &amp; Rules-Engine Spike</w:t>
      </w:r>
    </w:p>
    <w:p>
      <w:r>
        <w:rPr>
          <w:b w:val="0"/>
          <w:i/>
        </w:rPr>
        <w:t>Days 16–18 are the strongest parallelization candidate in Phase -1: logging-lib, security-lib, persistence-lib, messaging-lib, and audit-lib have no build-time interdependencies. Recommendation: run these as parallel subagent tasks and compress 3 days into roughly 1, using the freed time as buffer or to start the Day 19 design spike early.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Reusable Library – Logging &amp; Error Handling</w:t>
            </w:r>
          </w:p>
        </w:tc>
        <w:tc>
          <w:tcPr>
            <w:tcW w:type="dxa" w:w="1728"/>
          </w:tcPr>
          <w:p>
            <w:r>
              <w:t>Build shared logging module (structured logs, correlation ID propagation) and standard exception/error-response handling</w:t>
            </w:r>
          </w:p>
        </w:tc>
        <w:tc>
          <w:tcPr>
            <w:tcW w:type="dxa" w:w="1728"/>
          </w:tcPr>
          <w:p>
            <w:r>
              <w:t>logging-lib, error-handling-lib (versioned packages)</w:t>
            </w:r>
          </w:p>
        </w:tc>
        <w:tc>
          <w:tcPr>
            <w:tcW w:type="dxa" w:w="1728"/>
          </w:tcPr>
          <w:p>
            <w:r>
              <w:t>Yes — independent of Day 17/18 libs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Reusable Library – Security &amp; Auditing</w:t>
            </w:r>
          </w:p>
        </w:tc>
        <w:tc>
          <w:tcPr>
            <w:tcW w:type="dxa" w:w="1728"/>
          </w:tcPr>
          <w:p>
            <w:r>
              <w:t>Build shared auth middleware and generic audit-trail module (event type, old/new value, user, timestamp, correlation ID) per PRD audit requirements</w:t>
            </w:r>
          </w:p>
        </w:tc>
        <w:tc>
          <w:tcPr>
            <w:tcW w:type="dxa" w:w="1728"/>
          </w:tcPr>
          <w:p>
            <w:r>
              <w:t>security-lib, audit-lib</w:t>
            </w:r>
          </w:p>
        </w:tc>
        <w:tc>
          <w:tcPr>
            <w:tcW w:type="dxa" w:w="1728"/>
          </w:tcPr>
          <w:p>
            <w:r>
              <w:t>Yes — independent of Day 16/18 libs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Reusable Library – Persistence &amp; Messaging</w:t>
            </w:r>
          </w:p>
        </w:tc>
        <w:tc>
          <w:tcPr>
            <w:tcW w:type="dxa" w:w="1728"/>
          </w:tcPr>
          <w:p>
            <w:r>
              <w:t>Build shared repository base classes / ORM setup, and event-bus publish/subscribe wrapper</w:t>
            </w:r>
          </w:p>
        </w:tc>
        <w:tc>
          <w:tcPr>
            <w:tcW w:type="dxa" w:w="1728"/>
          </w:tcPr>
          <w:p>
            <w:r>
              <w:t>persistence-lib, messaging-lib</w:t>
            </w:r>
          </w:p>
        </w:tc>
        <w:tc>
          <w:tcPr>
            <w:tcW w:type="dxa" w:w="1728"/>
          </w:tcPr>
          <w:p>
            <w:r>
              <w:t>Yes — independent of Day 16/17 libs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Rules-Engine Design Spike</w:t>
            </w:r>
          </w:p>
        </w:tc>
        <w:tc>
          <w:tcPr>
            <w:tcW w:type="dxa" w:w="1728"/>
          </w:tcPr>
          <w:p>
            <w:r>
              <w:t>Design (not build) the configurable rules engine: rule schema (condition, priority, action), storage model, versioning, decision-trace output — per PRD Ch.5 segregation logic, scoped for India rules (e.g. De Minimis threshold, FTZ, controlled goods)</w:t>
            </w:r>
          </w:p>
        </w:tc>
        <w:tc>
          <w:tcPr>
            <w:tcW w:type="dxa" w:w="1728"/>
          </w:tcPr>
          <w:p>
            <w:r>
              <w:t>Rules-engine design doc + schema (ready for Phase 0 build)</w:t>
            </w:r>
          </w:p>
        </w:tc>
        <w:tc>
          <w:tcPr>
            <w:tcW w:type="dxa" w:w="1728"/>
          </w:tcPr>
          <w:p>
            <w:r>
              <w:t>No — single coherent design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Phase -1 Exit Review</w:t>
            </w:r>
          </w:p>
        </w:tc>
        <w:tc>
          <w:tcPr>
            <w:tcW w:type="dxa" w:w="1728"/>
          </w:tcPr>
          <w:p>
            <w:r>
              <w:t>Walk through Gate 1 (Architecture Review) checklist against everything built; fix gaps; confirm readiness to start Phase 0</w:t>
            </w:r>
          </w:p>
        </w:tc>
        <w:tc>
          <w:tcPr>
            <w:tcW w:type="dxa" w:w="1728"/>
          </w:tcPr>
          <w:p>
            <w:r>
              <w:t>Phase -1 sign-off note; go/no-go decision</w:t>
            </w:r>
          </w:p>
        </w:tc>
        <w:tc>
          <w:tcPr>
            <w:tcW w:type="dxa" w:w="1728"/>
          </w:tcPr>
          <w:p>
            <w:r>
              <w:t>No — you are the sole reviewer/approver</w:t>
            </w:r>
          </w:p>
        </w:tc>
      </w:tr>
    </w:tbl>
    <w:p/>
    <w:p>
      <w:pPr>
        <w:pStyle w:val="Heading1"/>
      </w:pPr>
      <w:r>
        <w:t>Phase 0: Platform Foundation (Days 21–50, ~6 weeks)</w:t>
      </w:r>
    </w:p>
    <w:p>
      <w:r>
        <w:rPr>
          <w:b w:val="0"/>
          <w:i w:val="0"/>
        </w:rPr>
        <w:t>Goal: the technical base every later module builds on — infra, identity, security, observability, and a working (empty) rules-engine skeleton.</w:t>
      </w:r>
    </w:p>
    <w:p>
      <w:pPr>
        <w:pStyle w:val="Heading2"/>
      </w:pPr>
      <w:r>
        <w:t>Week 5 (Days 21–25): Core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Environment &amp; Containerization</w:t>
            </w:r>
          </w:p>
        </w:tc>
        <w:tc>
          <w:tcPr>
            <w:tcW w:type="dxa" w:w="1728"/>
          </w:tcPr>
          <w:p>
            <w:r>
              <w:t>Set up local/dev Kubernetes (or Docker Compose for solo-scale dev) and base service template project</w:t>
            </w:r>
          </w:p>
        </w:tc>
        <w:tc>
          <w:tcPr>
            <w:tcW w:type="dxa" w:w="1728"/>
          </w:tcPr>
          <w:p>
            <w:r>
              <w:t>Running "hello world" service in a container</w:t>
            </w:r>
          </w:p>
        </w:tc>
        <w:tc>
          <w:tcPr>
            <w:tcW w:type="dxa" w:w="1728"/>
          </w:tcPr>
          <w:p>
            <w:r>
              <w:t>No — everything else builds on this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API Gateway</w:t>
            </w:r>
          </w:p>
        </w:tc>
        <w:tc>
          <w:tcPr>
            <w:tcW w:type="dxa" w:w="1728"/>
          </w:tcPr>
          <w:p>
            <w:r>
              <w:t>Stand up API Gateway (routing, rate limiting, basic auth passthrough)</w:t>
            </w:r>
          </w:p>
        </w:tc>
        <w:tc>
          <w:tcPr>
            <w:tcW w:type="dxa" w:w="1728"/>
          </w:tcPr>
          <w:p>
            <w:r>
              <w:t>Gateway routes hello-world service</w:t>
            </w:r>
          </w:p>
        </w:tc>
        <w:tc>
          <w:tcPr>
            <w:tcW w:type="dxa" w:w="1728"/>
          </w:tcPr>
          <w:p>
            <w:r>
              <w:t>No — depends on Day 21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Identity &amp; Access</w:t>
            </w:r>
          </w:p>
        </w:tc>
        <w:tc>
          <w:tcPr>
            <w:tcW w:type="dxa" w:w="1728"/>
          </w:tcPr>
          <w:p>
            <w:r>
              <w:t>Implement Identity service (or integrate managed identity provider); user/role model per PRD personas (Broker, Supervisor, Compliance Officer, Admin)</w:t>
            </w:r>
          </w:p>
        </w:tc>
        <w:tc>
          <w:tcPr>
            <w:tcW w:type="dxa" w:w="1728"/>
          </w:tcPr>
          <w:p>
            <w:r>
              <w:t>Working login + role-based token issuance</w:t>
            </w:r>
          </w:p>
        </w:tc>
        <w:tc>
          <w:tcPr>
            <w:tcW w:type="dxa" w:w="1728"/>
          </w:tcPr>
          <w:p>
            <w:r>
              <w:t>No — depends on Day 21/22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Event Bus</w:t>
            </w:r>
          </w:p>
        </w:tc>
        <w:tc>
          <w:tcPr>
            <w:tcW w:type="dxa" w:w="1728"/>
          </w:tcPr>
          <w:p>
            <w:r>
              <w:t>Stand up event bus (Kafka/RabbitMQ/Azure Service Bus); publish/consume a test domain event</w:t>
            </w:r>
          </w:p>
        </w:tc>
        <w:tc>
          <w:tcPr>
            <w:tcW w:type="dxa" w:w="1728"/>
          </w:tcPr>
          <w:p>
            <w:r>
              <w:t>Event bus operational with sample event flow</w:t>
            </w:r>
          </w:p>
        </w:tc>
        <w:tc>
          <w:tcPr>
            <w:tcW w:type="dxa" w:w="1728"/>
          </w:tcPr>
          <w:p>
            <w:r>
              <w:t>Partial — infra bring-up independent of Day 23, but same environment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Base Security Framework</w:t>
            </w:r>
          </w:p>
        </w:tc>
        <w:tc>
          <w:tcPr>
            <w:tcW w:type="dxa" w:w="1728"/>
          </w:tcPr>
          <w:p>
            <w:r>
              <w:t>Wire security-lib into gateway and identity; enforce authenticated routes end-to-end</w:t>
            </w:r>
          </w:p>
        </w:tc>
        <w:tc>
          <w:tcPr>
            <w:tcW w:type="dxa" w:w="1728"/>
          </w:tcPr>
          <w:p>
            <w:r>
              <w:t>Auth-protected sample endpoint working</w:t>
            </w:r>
          </w:p>
        </w:tc>
        <w:tc>
          <w:tcPr>
            <w:tcW w:type="dxa" w:w="1728"/>
          </w:tcPr>
          <w:p>
            <w:r>
              <w:t>No — depends on Day 22/23</w:t>
            </w:r>
          </w:p>
        </w:tc>
      </w:tr>
    </w:tbl>
    <w:p/>
    <w:p>
      <w:pPr>
        <w:pStyle w:val="Heading2"/>
      </w:pPr>
      <w:r>
        <w:t>Week 6 (Days 26–30): Observability</w:t>
      </w:r>
    </w:p>
    <w:p>
      <w:r>
        <w:rPr>
          <w:b w:val="0"/>
          <w:i/>
        </w:rPr>
        <w:t>Days 26–29 can largely be scaffolded in parallel (each touches a different tool/pipeline), with Day 30 as the mandatory sequential wiring/review step.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Structured Logging Rollout</w:t>
            </w:r>
          </w:p>
        </w:tc>
        <w:tc>
          <w:tcPr>
            <w:tcW w:type="dxa" w:w="1728"/>
          </w:tcPr>
          <w:p>
            <w:r>
              <w:t>Wire logging-lib into all scaffold services; centralize log output</w:t>
            </w:r>
          </w:p>
        </w:tc>
        <w:tc>
          <w:tcPr>
            <w:tcW w:type="dxa" w:w="1728"/>
          </w:tcPr>
          <w:p>
            <w:r>
              <w:t>Centralized log view (e.g. ELK/Loki) showing service logs</w:t>
            </w:r>
          </w:p>
        </w:tc>
        <w:tc>
          <w:tcPr>
            <w:tcW w:type="dxa" w:w="1728"/>
          </w:tcPr>
          <w:p>
            <w:r>
              <w:t>Partial — parallel with 27–29, merge on Day 30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Monitoring &amp; Metrics</w:t>
            </w:r>
          </w:p>
        </w:tc>
        <w:tc>
          <w:tcPr>
            <w:tcW w:type="dxa" w:w="1728"/>
          </w:tcPr>
          <w:p>
            <w:r>
              <w:t>Set up metrics collection (Prometheus/equivalent) and a basic dashboard (Grafana)</w:t>
            </w:r>
          </w:p>
        </w:tc>
        <w:tc>
          <w:tcPr>
            <w:tcW w:type="dxa" w:w="1728"/>
          </w:tcPr>
          <w:p>
            <w:r>
              <w:t>Dashboard showing service health/latency</w:t>
            </w:r>
          </w:p>
        </w:tc>
        <w:tc>
          <w:tcPr>
            <w:tcW w:type="dxa" w:w="1728"/>
          </w:tcPr>
          <w:p>
            <w:r>
              <w:t>Partial — parallel with 26, 28, 29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Distributed Tracing</w:t>
            </w:r>
          </w:p>
        </w:tc>
        <w:tc>
          <w:tcPr>
            <w:tcW w:type="dxa" w:w="1728"/>
          </w:tcPr>
          <w:p>
            <w:r>
              <w:t>Add correlation-ID-based tracing across gateway → service → event bus</w:t>
            </w:r>
          </w:p>
        </w:tc>
        <w:tc>
          <w:tcPr>
            <w:tcW w:type="dxa" w:w="1728"/>
          </w:tcPr>
          <w:p>
            <w:r>
              <w:t>Trace visible for one end-to-end sample request</w:t>
            </w:r>
          </w:p>
        </w:tc>
        <w:tc>
          <w:tcPr>
            <w:tcW w:type="dxa" w:w="1728"/>
          </w:tcPr>
          <w:p>
            <w:r>
              <w:t>Partial — parallel with 26, 27, 29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Alerting Basics</w:t>
            </w:r>
          </w:p>
        </w:tc>
        <w:tc>
          <w:tcPr>
            <w:tcW w:type="dxa" w:w="1728"/>
          </w:tcPr>
          <w:p>
            <w:r>
              <w:t>Configure basic alerts (service down, error rate spike)</w:t>
            </w:r>
          </w:p>
        </w:tc>
        <w:tc>
          <w:tcPr>
            <w:tcW w:type="dxa" w:w="1728"/>
          </w:tcPr>
          <w:p>
            <w:r>
              <w:t>At least one working alert rule</w:t>
            </w:r>
          </w:p>
        </w:tc>
        <w:tc>
          <w:tcPr>
            <w:tcW w:type="dxa" w:w="1728"/>
          </w:tcPr>
          <w:p>
            <w:r>
              <w:t>Partial — parallel with 26–28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Observability Review</w:t>
            </w:r>
          </w:p>
        </w:tc>
        <w:tc>
          <w:tcPr>
            <w:tcW w:type="dxa" w:w="1728"/>
          </w:tcPr>
          <w:p>
            <w:r>
              <w:t>Validate logs, metrics, traces, alerts all correlate for one sample request/event</w:t>
            </w:r>
          </w:p>
        </w:tc>
        <w:tc>
          <w:tcPr>
            <w:tcW w:type="dxa" w:w="1728"/>
          </w:tcPr>
          <w:p>
            <w:r>
              <w:t>Observability sign-off note</w:t>
            </w:r>
          </w:p>
        </w:tc>
        <w:tc>
          <w:tcPr>
            <w:tcW w:type="dxa" w:w="1728"/>
          </w:tcPr>
          <w:p>
            <w:r>
              <w:t>No — single reviewer, ties everything together</w:t>
            </w:r>
          </w:p>
        </w:tc>
      </w:tr>
    </w:tbl>
    <w:p/>
    <w:p>
      <w:pPr>
        <w:pStyle w:val="Heading2"/>
      </w:pPr>
      <w:r>
        <w:t>Week 7 (Days 31–35): Rules Engine Skeleton</w:t>
      </w:r>
    </w:p>
    <w:p>
      <w:r>
        <w:rPr>
          <w:b w:val="0"/>
          <w:i/>
        </w:rPr>
        <w:t>This week is deliberately marked No throughout — schema, evaluation pipeline, versioning, and admin API form a strict build chain; parallelizing here would produce mismatched schema/service assumptions.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Rules Engine – Storage Model</w:t>
            </w:r>
          </w:p>
        </w:tc>
        <w:tc>
          <w:tcPr>
            <w:tcW w:type="dxa" w:w="1728"/>
          </w:tcPr>
          <w:p>
            <w:r>
              <w:t>Implement DB schema for rules (from Phase -1 design spike): rule, condition, priority, action, version</w:t>
            </w:r>
          </w:p>
        </w:tc>
        <w:tc>
          <w:tcPr>
            <w:tcW w:type="dxa" w:w="1728"/>
          </w:tcPr>
          <w:p>
            <w:r>
              <w:t>Rules storage schema migrated</w:t>
            </w:r>
          </w:p>
        </w:tc>
        <w:tc>
          <w:tcPr>
            <w:tcW w:type="dxa" w:w="1728"/>
          </w:tcPr>
          <w:p>
            <w:r>
              <w:t>No — everything else depends on this schema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Rules Engine – Evaluation Pipeline</w:t>
            </w:r>
          </w:p>
        </w:tc>
        <w:tc>
          <w:tcPr>
            <w:tcW w:type="dxa" w:w="1728"/>
          </w:tcPr>
          <w:p>
            <w:r>
              <w:t>Implement rule evaluation service (input facts → matched rules → ordered by priority → outcome)</w:t>
            </w:r>
          </w:p>
        </w:tc>
        <w:tc>
          <w:tcPr>
            <w:tcW w:type="dxa" w:w="1728"/>
          </w:tcPr>
          <w:p>
            <w:r>
              <w:t>Evaluation service passes unit tests on dummy rules</w:t>
            </w:r>
          </w:p>
        </w:tc>
        <w:tc>
          <w:tcPr>
            <w:tcW w:type="dxa" w:w="1728"/>
          </w:tcPr>
          <w:p>
            <w:r>
              <w:t>No — depends on Day 31 schema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Rules Engine – Versioning &amp; Decision Trace</w:t>
            </w:r>
          </w:p>
        </w:tc>
        <w:tc>
          <w:tcPr>
            <w:tcW w:type="dxa" w:w="1728"/>
          </w:tcPr>
          <w:p>
            <w:r>
              <w:t>Implement rule versioning and decision-trace capture (per PRD Ch.5 explainability requirement)</w:t>
            </w:r>
          </w:p>
        </w:tc>
        <w:tc>
          <w:tcPr>
            <w:tcW w:type="dxa" w:w="1728"/>
          </w:tcPr>
          <w:p>
            <w:r>
              <w:t>Decision trace visible for a test rule evaluation</w:t>
            </w:r>
          </w:p>
        </w:tc>
        <w:tc>
          <w:tcPr>
            <w:tcW w:type="dxa" w:w="1728"/>
          </w:tcPr>
          <w:p>
            <w:r>
              <w:t>No — depends on Day 32 pipeline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Rules Engine – Admin API (minimal)</w:t>
            </w:r>
          </w:p>
        </w:tc>
        <w:tc>
          <w:tcPr>
            <w:tcW w:type="dxa" w:w="1728"/>
          </w:tcPr>
          <w:p>
            <w:r>
              <w:t>Expose minimal API to create/update/deactivate a rule (no UI yet — Postman/Swagger only)</w:t>
            </w:r>
          </w:p>
        </w:tc>
        <w:tc>
          <w:tcPr>
            <w:tcW w:type="dxa" w:w="1728"/>
          </w:tcPr>
          <w:p>
            <w:r>
              <w:t>CRUD API for rules, testable via Swagger</w:t>
            </w:r>
          </w:p>
        </w:tc>
        <w:tc>
          <w:tcPr>
            <w:tcW w:type="dxa" w:w="1728"/>
          </w:tcPr>
          <w:p>
            <w:r>
              <w:t>No — depends on Day 31–33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Rules Engine Review</w:t>
            </w:r>
          </w:p>
        </w:tc>
        <w:tc>
          <w:tcPr>
            <w:tcW w:type="dxa" w:w="1728"/>
          </w:tcPr>
          <w:p>
            <w:r>
              <w:t>Load 2–3 real India-specific sample rules (e.g. De Minimis value threshold, controlled-goods flag) and verify evaluation + trace output</w:t>
            </w:r>
          </w:p>
        </w:tc>
        <w:tc>
          <w:tcPr>
            <w:tcW w:type="dxa" w:w="1728"/>
          </w:tcPr>
          <w:p>
            <w:r>
              <w:t>Rules engine validated against real India business rules</w:t>
            </w:r>
          </w:p>
        </w:tc>
        <w:tc>
          <w:tcPr>
            <w:tcW w:type="dxa" w:w="1728"/>
          </w:tcPr>
          <w:p>
            <w:r>
              <w:t>No — single validation pass</w:t>
            </w:r>
          </w:p>
        </w:tc>
      </w:tr>
    </w:tbl>
    <w:p/>
    <w:p>
      <w:pPr>
        <w:pStyle w:val="Heading2"/>
      </w:pPr>
      <w:r>
        <w:t>Week 8 (Days 36–40): Configuration &amp; Notification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Configuration Service</w:t>
            </w:r>
          </w:p>
        </w:tc>
        <w:tc>
          <w:tcPr>
            <w:tcW w:type="dxa" w:w="1728"/>
          </w:tcPr>
          <w:p>
            <w:r>
              <w:t>Build central configuration service (feature flags, business parameters like currency, thresholds) — no redeploy needed for changes</w:t>
            </w:r>
          </w:p>
        </w:tc>
        <w:tc>
          <w:tcPr>
            <w:tcW w:type="dxa" w:w="1728"/>
          </w:tcPr>
          <w:p>
            <w:r>
              <w:t>Config service live, one value changed without redeploy</w:t>
            </w:r>
          </w:p>
        </w:tc>
        <w:tc>
          <w:tcPr>
            <w:tcW w:type="dxa" w:w="1728"/>
          </w:tcPr>
          <w:p>
            <w:r>
              <w:t>Yes — independent of Day 37 notification build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Notification Base</w:t>
            </w:r>
          </w:p>
        </w:tc>
        <w:tc>
          <w:tcPr>
            <w:tcW w:type="dxa" w:w="1728"/>
          </w:tcPr>
          <w:p>
            <w:r>
              <w:t>Build basic notification service (email/in-app event-driven notification skeleton)</w:t>
            </w:r>
          </w:p>
        </w:tc>
        <w:tc>
          <w:tcPr>
            <w:tcW w:type="dxa" w:w="1728"/>
          </w:tcPr>
          <w:p>
            <w:r>
              <w:t>Sample notification fires on a test event</w:t>
            </w:r>
          </w:p>
        </w:tc>
        <w:tc>
          <w:tcPr>
            <w:tcW w:type="dxa" w:w="1728"/>
          </w:tcPr>
          <w:p>
            <w:r>
              <w:t>Yes — independent of Day 36 config build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Audit Trail End-to-End</w:t>
            </w:r>
          </w:p>
        </w:tc>
        <w:tc>
          <w:tcPr>
            <w:tcW w:type="dxa" w:w="1728"/>
          </w:tcPr>
          <w:p>
            <w:r>
              <w:t>Wire audit-lib into a real sample flow (e.g. config change) to confirm full audit capture per PRD requirements</w:t>
            </w:r>
          </w:p>
        </w:tc>
        <w:tc>
          <w:tcPr>
            <w:tcW w:type="dxa" w:w="1728"/>
          </w:tcPr>
          <w:p>
            <w:r>
              <w:t>Audit record visible with old/new value, user, timestamp</w:t>
            </w:r>
          </w:p>
        </w:tc>
        <w:tc>
          <w:tcPr>
            <w:tcW w:type="dxa" w:w="1728"/>
          </w:tcPr>
          <w:p>
            <w:r>
              <w:t>No — depends on Day 36 config service existing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Seed Data &amp; Reference Tables</w:t>
            </w:r>
          </w:p>
        </w:tc>
        <w:tc>
          <w:tcPr>
            <w:tcW w:type="dxa" w:w="1728"/>
          </w:tcPr>
          <w:p>
            <w:r>
              <w:t>Load initial India reference data stubs: country codes, currency (INR + majors), unit-of-measure list (placeholder ahead of full tariff sourcing in Phase 1)</w:t>
            </w:r>
          </w:p>
        </w:tc>
        <w:tc>
          <w:tcPr>
            <w:tcW w:type="dxa" w:w="1728"/>
          </w:tcPr>
          <w:p>
            <w:r>
              <w:t>Reference/lookup tables seeded</w:t>
            </w:r>
          </w:p>
        </w:tc>
        <w:tc>
          <w:tcPr>
            <w:tcW w:type="dxa" w:w="1728"/>
          </w:tcPr>
          <w:p>
            <w:r>
              <w:t>Yes — independent data-entry task, can run alongside Day 36/37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Integration Smoke Test</w:t>
            </w:r>
          </w:p>
        </w:tc>
        <w:tc>
          <w:tcPr>
            <w:tcW w:type="dxa" w:w="1728"/>
          </w:tcPr>
          <w:p>
            <w:r>
              <w:t>End-to-end smoke test: auth → gateway → sample service → rules engine → audit → notification</w:t>
            </w:r>
          </w:p>
        </w:tc>
        <w:tc>
          <w:tcPr>
            <w:tcW w:type="dxa" w:w="1728"/>
          </w:tcPr>
          <w:p>
            <w:r>
              <w:t>All foundation pieces verified working together</w:t>
            </w:r>
          </w:p>
        </w:tc>
        <w:tc>
          <w:tcPr>
            <w:tcW w:type="dxa" w:w="1728"/>
          </w:tcPr>
          <w:p>
            <w:r>
              <w:t>No — single end-to-end verification pass</w:t>
            </w:r>
          </w:p>
        </w:tc>
      </w:tr>
    </w:tbl>
    <w:p/>
    <w:p>
      <w:pPr>
        <w:pStyle w:val="Heading2"/>
      </w:pPr>
      <w:r>
        <w:t>Week 9 (Days 41–45): Hardening &amp; Documentation</w:t>
      </w:r>
    </w:p>
    <w:p>
      <w:r>
        <w:rPr>
          <w:b w:val="0"/>
          <w:i/>
        </w:rPr>
        <w:t>Days 41–44 are independent workstreams over the same already-completed codebase — a strong parallelization candidate, potentially compressing 4 days into roughly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Security Hardening</w:t>
            </w:r>
          </w:p>
        </w:tc>
        <w:tc>
          <w:tcPr>
            <w:tcW w:type="dxa" w:w="1728"/>
          </w:tcPr>
          <w:p>
            <w:r>
              <w:t>Review auth flows, secrets management, encryption at rest/in transit against Phase -1 security standards</w:t>
            </w:r>
          </w:p>
        </w:tc>
        <w:tc>
          <w:tcPr>
            <w:tcW w:type="dxa" w:w="1728"/>
          </w:tcPr>
          <w:p>
            <w:r>
              <w:t>Security checklist passed</w:t>
            </w:r>
          </w:p>
        </w:tc>
        <w:tc>
          <w:tcPr>
            <w:tcW w:type="dxa" w:w="1728"/>
          </w:tcPr>
          <w:p>
            <w:r>
              <w:t>Yes — independent of Days 42–44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Performance Baseline</w:t>
            </w:r>
          </w:p>
        </w:tc>
        <w:tc>
          <w:tcPr>
            <w:tcW w:type="dxa" w:w="1728"/>
          </w:tcPr>
          <w:p>
            <w:r>
              <w:t>Run basic load test against gateway + sample service to establish a performance baseline</w:t>
            </w:r>
          </w:p>
        </w:tc>
        <w:tc>
          <w:tcPr>
            <w:tcW w:type="dxa" w:w="1728"/>
          </w:tcPr>
          <w:p>
            <w:r>
              <w:t>Baseline performance report</w:t>
            </w:r>
          </w:p>
        </w:tc>
        <w:tc>
          <w:tcPr>
            <w:tcW w:type="dxa" w:w="1728"/>
          </w:tcPr>
          <w:p>
            <w:r>
              <w:t>Yes — independent of Days 41, 43, 44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CI/CD Hardening</w:t>
            </w:r>
          </w:p>
        </w:tc>
        <w:tc>
          <w:tcPr>
            <w:tcW w:type="dxa" w:w="1728"/>
          </w:tcPr>
          <w:p>
            <w:r>
              <w:t>Ensure CI/CD pipeline enforces all quality gates automatically (coverage, lint, security scan) before merge</w:t>
            </w:r>
          </w:p>
        </w:tc>
        <w:tc>
          <w:tcPr>
            <w:tcW w:type="dxa" w:w="1728"/>
          </w:tcPr>
          <w:p>
            <w:r>
              <w:t>Pipeline blocks a deliberately broken PR</w:t>
            </w:r>
          </w:p>
        </w:tc>
        <w:tc>
          <w:tcPr>
            <w:tcW w:type="dxa" w:w="1728"/>
          </w:tcPr>
          <w:p>
            <w:r>
              <w:t>Yes — independent of Days 41, 42, 44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Documentation Pass</w:t>
            </w:r>
          </w:p>
        </w:tc>
        <w:tc>
          <w:tcPr>
            <w:tcW w:type="dxa" w:w="1728"/>
          </w:tcPr>
          <w:p>
            <w:r>
              <w:t>Document Phase 0 architecture (diagrams, runbooks: how to run locally, how to deploy, how to add a new service)</w:t>
            </w:r>
          </w:p>
        </w:tc>
        <w:tc>
          <w:tcPr>
            <w:tcW w:type="dxa" w:w="1728"/>
          </w:tcPr>
          <w:p>
            <w:r>
              <w:t>Phase 0 runbook + architecture doc</w:t>
            </w:r>
          </w:p>
        </w:tc>
        <w:tc>
          <w:tcPr>
            <w:tcW w:type="dxa" w:w="1728"/>
          </w:tcPr>
          <w:p>
            <w:r>
              <w:t>Yes — independent of Days 41–43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Buffer / Catch-up Day</w:t>
            </w:r>
          </w:p>
        </w:tc>
        <w:tc>
          <w:tcPr>
            <w:tcW w:type="dxa" w:w="1728"/>
          </w:tcPr>
          <w:p>
            <w:r>
              <w:t>Reserved for slippage from Weeks 5–8; if unused, get ahead on Phase 1 India tariff-sourcing research</w:t>
            </w:r>
          </w:p>
        </w:tc>
        <w:tc>
          <w:tcPr>
            <w:tcW w:type="dxa" w:w="1728"/>
          </w:tcPr>
          <w:p>
            <w:r>
              <w:t>Plan back on schedule</w:t>
            </w:r>
          </w:p>
        </w:tc>
        <w:tc>
          <w:tcPr>
            <w:tcW w:type="dxa" w:w="1728"/>
          </w:tcPr>
          <w:p>
            <w:r>
              <w:t>No — reserved slack, not parallel work</w:t>
            </w:r>
          </w:p>
        </w:tc>
      </w:tr>
    </w:tbl>
    <w:p/>
    <w:p>
      <w:pPr>
        <w:pStyle w:val="Heading2"/>
      </w:pPr>
      <w:r>
        <w:t>Week 10 (Days 46–50): Phase 0 Exit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Multi-Agent?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Gate 1 Re-check (Architecture)</w:t>
            </w:r>
          </w:p>
        </w:tc>
        <w:tc>
          <w:tcPr>
            <w:tcW w:type="dxa" w:w="1728"/>
          </w:tcPr>
          <w:p>
            <w:r>
              <w:t>Re-verify standards, naming, security, performance, documentation across everything built in Phase 0</w:t>
            </w:r>
          </w:p>
        </w:tc>
        <w:tc>
          <w:tcPr>
            <w:tcW w:type="dxa" w:w="1728"/>
          </w:tcPr>
          <w:p>
            <w:r>
              <w:t>Gate 1 checklist passed</w:t>
            </w:r>
          </w:p>
        </w:tc>
        <w:tc>
          <w:tcPr>
            <w:tcW w:type="dxa" w:w="1728"/>
          </w:tcPr>
          <w:p>
            <w:r>
              <w:t>No — you are the sole approver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Gate 2 Dry Run (Backend)</w:t>
            </w:r>
          </w:p>
        </w:tc>
        <w:tc>
          <w:tcPr>
            <w:tcW w:type="dxa" w:w="1728"/>
          </w:tcPr>
          <w:p>
            <w:r>
              <w:t>Verify business-rule validation, unit test coverage, static analysis, security scan on foundation services</w:t>
            </w:r>
          </w:p>
        </w:tc>
        <w:tc>
          <w:tcPr>
            <w:tcW w:type="dxa" w:w="1728"/>
          </w:tcPr>
          <w:p>
            <w:r>
              <w:t>Gate 2 checklist passed</w:t>
            </w:r>
          </w:p>
        </w:tc>
        <w:tc>
          <w:tcPr>
            <w:tcW w:type="dxa" w:w="1728"/>
          </w:tcPr>
          <w:p>
            <w:r>
              <w:t>No — you are the sole approver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Regression Pass</w:t>
            </w:r>
          </w:p>
        </w:tc>
        <w:tc>
          <w:tcPr>
            <w:tcW w:type="dxa" w:w="1728"/>
          </w:tcPr>
          <w:p>
            <w:r>
              <w:t>Re-run full smoke/integration suite from Day 40 to confirm nothing regressed during hardening</w:t>
            </w:r>
          </w:p>
        </w:tc>
        <w:tc>
          <w:tcPr>
            <w:tcW w:type="dxa" w:w="1728"/>
          </w:tcPr>
          <w:p>
            <w:r>
              <w:t>All foundation tests green</w:t>
            </w:r>
          </w:p>
        </w:tc>
        <w:tc>
          <w:tcPr>
            <w:tcW w:type="dxa" w:w="1728"/>
          </w:tcPr>
          <w:p>
            <w:r>
              <w:t>No — single verification pass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Phase 1 Kickoff Prep</w:t>
            </w:r>
          </w:p>
        </w:tc>
        <w:tc>
          <w:tcPr>
            <w:tcW w:type="dxa" w:w="1728"/>
          </w:tcPr>
          <w:p>
            <w:r>
              <w:t>Prepare Phase 1 entry: confirm scope (User Mgmt, Organization, Notification, Audit, Configuration UI-facing pieces) and India tariff-sourcing plan inputs</w:t>
            </w:r>
          </w:p>
        </w:tc>
        <w:tc>
          <w:tcPr>
            <w:tcW w:type="dxa" w:w="1728"/>
          </w:tcPr>
          <w:p>
            <w:r>
              <w:t>Phase 1 kickoff brief drafted</w:t>
            </w:r>
          </w:p>
        </w:tc>
        <w:tc>
          <w:tcPr>
            <w:tcW w:type="dxa" w:w="1728"/>
          </w:tcPr>
          <w:p>
            <w:r>
              <w:t>No — planning/decision task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Phase 0 Sign-off</w:t>
            </w:r>
          </w:p>
        </w:tc>
        <w:tc>
          <w:tcPr>
            <w:tcW w:type="dxa" w:w="1728"/>
          </w:tcPr>
          <w:p>
            <w:r>
              <w:t>Formal go/no-go review; document lessons learned; confirm readiness to proceed to Phase 1</w:t>
            </w:r>
          </w:p>
        </w:tc>
        <w:tc>
          <w:tcPr>
            <w:tcW w:type="dxa" w:w="1728"/>
          </w:tcPr>
          <w:p>
            <w:r>
              <w:t>Phase 0 sign-off note</w:t>
            </w:r>
          </w:p>
        </w:tc>
        <w:tc>
          <w:tcPr>
            <w:tcW w:type="dxa" w:w="1728"/>
          </w:tcPr>
          <w:p>
            <w:r>
              <w:t>No — you are the sole approver</w:t>
            </w:r>
          </w:p>
        </w:tc>
      </w:tr>
    </w:tbl>
    <w:p/>
    <w:p>
      <w:pPr>
        <w:pStyle w:val="Heading1"/>
      </w:pPr>
      <w:r>
        <w:t>Reminder Flags Embedded in This Plan</w:t>
      </w:r>
    </w:p>
    <w:p>
      <w:pPr>
        <w:pStyle w:val="ListBullet"/>
      </w:pPr>
      <w:r>
        <w:t>Day 39: only placeholder reference data is loaded. Full India tariff master (ITC-HS) sourcing and licensing is a Phase 1 workstream — do not assume tariff data is production-ready at this point.</w:t>
      </w:r>
    </w:p>
    <w:p>
      <w:pPr>
        <w:pStyle w:val="ListBullet"/>
      </w:pPr>
      <w:r>
        <w:t>Target customs authority (e.g. ICEGATE) is still unconfirmed — flagged previously, and relevant again once Phase 8 (Integration) planning approaches. No action needed yet.</w:t>
      </w:r>
    </w:p>
    <w:p>
      <w:pPr>
        <w:pStyle w:val="Heading1"/>
      </w:pPr>
      <w:r>
        <w:t>What Comes Next</w:t>
      </w:r>
    </w:p>
    <w:p>
      <w:r>
        <w:rPr>
          <w:b w:val="0"/>
          <w:i/>
        </w:rPr>
        <w:t>This document intentionally stops at the end of Phase 0 (Day 50). Once we complete Phase 0, we will prepare a fresh day-wise plan for Phase 1 (Enterprise Core + India tariff/reference data sourcing) and Phase 2/3 (Master Data + Core Customs Processing for India), so that later-phase detail reflects what we actually learn while building Phase -1 and Phase 0 — rather than being locked in now based on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