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Customs Clearance Platform – Phase-wise Development Plan</w:t>
      </w:r>
    </w:p>
    <w:p>
      <w:r>
        <w:rPr>
          <w:b/>
          <w:i w:val="0"/>
        </w:rPr>
        <w:t>Version: 2.0</w:t>
      </w:r>
    </w:p>
    <w:p>
      <w:r>
        <w:rPr>
          <w:b w:val="0"/>
          <w:i w:val="0"/>
        </w:rPr>
        <w:t>Document Type: Phase-wise Development Plan (Revised)</w:t>
      </w:r>
    </w:p>
    <w:p>
      <w:r>
        <w:rPr>
          <w:b w:val="0"/>
          <w:i w:val="0"/>
        </w:rPr>
        <w:t>Change Basis: Incorporates review feedback on the v1 plan — see "Revision Summary" below.</w:t>
      </w:r>
    </w:p>
    <w:p>
      <w:pPr>
        <w:pStyle w:val="Heading1"/>
      </w:pPr>
      <w:r>
        <w:t>Revision Summary (v1 → v2)</w:t>
      </w:r>
    </w:p>
    <w:p>
      <w:r>
        <w:rPr>
          <w:b w:val="0"/>
          <w:i w:val="0"/>
        </w:rPr>
        <w:t>This version addresses five issues raised in review of v1:</w:t>
      </w:r>
    </w:p>
    <w:p>
      <w:pPr>
        <w:pStyle w:val="ListBullet"/>
      </w:pPr>
      <w:r>
        <w:t>Segregation/Rules Engine skeleton moved earlier (into Phase 0/1) instead of waiting until Phase 4/5, since nearly every downstream module (Declaration, Duty, Compliance) depends on rule-driven behavior from day one.</w:t>
      </w:r>
    </w:p>
    <w:p>
      <w:pPr>
        <w:pStyle w:val="ListBullet"/>
      </w:pPr>
      <w:r>
        <w:t>Tariff &amp; HS Code data sourcing is now called out as its own explicit workstream starting in Phase 1, given the scale (multi-jurisdiction, versioned, millions of records) and external licensing dependency (WCO HS, country-specific extensions).</w:t>
      </w:r>
    </w:p>
    <w:p>
      <w:pPr>
        <w:pStyle w:val="ListBullet"/>
      </w:pPr>
      <w:r>
        <w:t>The 95% unit test coverage gate is now explicitly scoped to core business/rules logic (duty, tariff, declaration, segregation) rather than applied as a blanket rule across all backend services, including CRUD-heavy master data modules.</w:t>
      </w:r>
    </w:p>
    <w:p>
      <w:pPr>
        <w:pStyle w:val="ListBullet"/>
      </w:pPr>
      <w:r>
        <w:t>Customs gateway certification/sandbox access is flagged as an external dependency and risk in Phase 8, with schedule buffer, since it is gated by government agencies rather than engineering velocity.</w:t>
      </w:r>
    </w:p>
    <w:p>
      <w:pPr>
        <w:pStyle w:val="ListBullet"/>
      </w:pPr>
      <w:r>
        <w:t>Team topology and parallelism are now made explicit — phases are grouped into overlapping tracks rather than presented as a strictly serial sequence.</w:t>
      </w:r>
    </w:p>
    <w:p>
      <w:pPr>
        <w:pStyle w:val="Heading1"/>
      </w:pPr>
      <w:r>
        <w:t>1. Delivery Approach</w:t>
      </w:r>
    </w:p>
    <w:p>
      <w:r>
        <w:rPr>
          <w:b w:val="0"/>
          <w:i w:val="0"/>
        </w:rPr>
        <w:t>The platform (comparable in scope to CargoWise, Descartes, SAP GTS, Oracle GTM) will be developed architecture-first and backend-first, with every phase passing defined exit criteria before the next begins. A 5-level delivery hierarchy is used:</w:t>
      </w:r>
    </w:p>
    <w:p>
      <w:pPr>
        <w:pStyle w:val="ListBullet"/>
      </w:pPr>
      <w:r>
        <w:t>Platform Program</w:t>
      </w:r>
    </w:p>
    <w:p>
      <w:pPr>
        <w:pStyle w:val="ListBullet"/>
      </w:pPr>
      <w:r>
        <w:t>Phase</w:t>
      </w:r>
    </w:p>
    <w:p>
      <w:pPr>
        <w:pStyle w:val="ListBullet"/>
      </w:pPr>
      <w:r>
        <w:t>Business Domain</w:t>
      </w:r>
    </w:p>
    <w:p>
      <w:pPr>
        <w:pStyle w:val="ListBullet"/>
      </w:pPr>
      <w:r>
        <w:t>Layer</w:t>
      </w:r>
    </w:p>
    <w:p>
      <w:pPr>
        <w:pStyle w:val="ListBullet"/>
      </w:pPr>
      <w:r>
        <w:t>Sprint / Feature</w:t>
      </w:r>
    </w:p>
    <w:p>
      <w:pPr>
        <w:pStyle w:val="Heading2"/>
      </w:pPr>
      <w:r>
        <w:t>1.1 Development Layering (per phase)</w:t>
      </w:r>
    </w:p>
    <w:p>
      <w:r>
        <w:rPr>
          <w:b w:val="0"/>
          <w:i w:val="0"/>
        </w:rPr>
        <w:t>Each phase is completed in four sequential layers; no frontend work begins until backend layers pass their quality gates.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t>1 – Database</w:t>
            </w:r>
          </w:p>
        </w:tc>
        <w:tc>
          <w:tcPr>
            <w:tcW w:type="dxa" w:w="2880"/>
          </w:tcPr>
          <w:p>
            <w:r>
              <w:t>Tables, indexes, views, constraints, seed data, migration scripts</w:t>
            </w:r>
          </w:p>
        </w:tc>
        <w:tc>
          <w:tcPr>
            <w:tcW w:type="dxa" w:w="2880"/>
          </w:tcPr>
          <w:p>
            <w:r>
              <w:t>100% schema validation, referential integrity, performance baseline</w:t>
            </w:r>
          </w:p>
        </w:tc>
      </w:tr>
      <w:tr>
        <w:tc>
          <w:tcPr>
            <w:tcW w:type="dxa" w:w="2880"/>
          </w:tcPr>
          <w:p>
            <w:r>
              <w:t>2 – Backend Services</w:t>
            </w:r>
          </w:p>
        </w:tc>
        <w:tc>
          <w:tcPr>
            <w:tcW w:type="dxa" w:w="2880"/>
          </w:tcPr>
          <w:p>
            <w:r>
              <w:t>Entities, repositories, domain models, business services, rules, transactions</w:t>
            </w:r>
          </w:p>
        </w:tc>
        <w:tc>
          <w:tcPr>
            <w:tcW w:type="dxa" w:w="2880"/>
          </w:tcPr>
          <w:p>
            <w:r>
              <w:t>≥95% unit test coverage for core business/rules logic; static analysis clean</w:t>
            </w:r>
          </w:p>
        </w:tc>
      </w:tr>
      <w:tr>
        <w:tc>
          <w:tcPr>
            <w:tcW w:type="dxa" w:w="2880"/>
          </w:tcPr>
          <w:p>
            <w:r>
              <w:t>3 – Business APIs</w:t>
            </w:r>
          </w:p>
        </w:tc>
        <w:tc>
          <w:tcPr>
            <w:tcW w:type="dxa" w:w="2880"/>
          </w:tcPr>
          <w:p>
            <w:r>
              <w:t>REST APIs, OpenAPI/Swagger, auth, pagination, filtering, versioning</w:t>
            </w:r>
          </w:p>
        </w:tc>
        <w:tc>
          <w:tcPr>
            <w:tcW w:type="dxa" w:w="2880"/>
          </w:tcPr>
          <w:p>
            <w:r>
              <w:t>Contract tests passed, integration tests green, API docs finalized</w:t>
            </w:r>
          </w:p>
        </w:tc>
      </w:tr>
      <w:tr>
        <w:tc>
          <w:tcPr>
            <w:tcW w:type="dxa" w:w="2880"/>
          </w:tcPr>
          <w:p>
            <w:r>
              <w:t>4 – User Interface</w:t>
            </w:r>
          </w:p>
        </w:tc>
        <w:tc>
          <w:tcPr>
            <w:tcW w:type="dxa" w:w="2880"/>
          </w:tcPr>
          <w:p>
            <w:r>
              <w:t>Angular/React/Blazor UI consuming completed, stable APIs</w:t>
            </w:r>
          </w:p>
        </w:tc>
        <w:tc>
          <w:tcPr>
            <w:tcW w:type="dxa" w:w="2880"/>
          </w:tcPr>
          <w:p>
            <w:r>
              <w:t>UI functional tests, accessibility review, UX sign-off</w:t>
            </w:r>
          </w:p>
        </w:tc>
      </w:tr>
    </w:tbl>
    <w:p/>
    <w:p>
      <w:r>
        <w:rPr>
          <w:b w:val="0"/>
          <w:i w:val="0"/>
        </w:rPr>
        <w:t>Note (v2 change): the 95% coverage target applies specifically to core business/rules logic — segregation, duty/tax, tariff, declaration lifecycle. Master-data CRUD services carry a lower, still-enforced coverage bar (target 80%) so the gate reflects risk rather than being applied uniformly.</w:t>
      </w:r>
    </w:p>
    <w:p>
      <w:pPr>
        <w:pStyle w:val="Heading1"/>
      </w:pPr>
      <w:r>
        <w:t>2. Revised Phase Roadmap</w:t>
      </w:r>
    </w:p>
    <w:p>
      <w:r>
        <w:rPr>
          <w:b w:val="0"/>
          <w:i w:val="0"/>
        </w:rPr>
        <w:t>Phases are grouped into four overlapping delivery tracks rather than one strictly serial chain. Tracks 2 and 3 may run in parallel once Track 1 foundations are stable, with dedicated teams per track.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Run in Parallel With</w:t>
            </w:r>
          </w:p>
        </w:tc>
      </w:tr>
      <w:tr>
        <w:tc>
          <w:tcPr>
            <w:tcW w:type="dxa" w:w="2880"/>
          </w:tcPr>
          <w:p>
            <w:r>
              <w:t>Track 1 – Foundation</w:t>
            </w:r>
          </w:p>
        </w:tc>
        <w:tc>
          <w:tcPr>
            <w:tcW w:type="dxa" w:w="2880"/>
          </w:tcPr>
          <w:p>
            <w:r>
              <w:t>Phase -1, Phase 0, Phase 1</w:t>
            </w:r>
          </w:p>
        </w:tc>
        <w:tc>
          <w:tcPr>
            <w:tcW w:type="dxa" w:w="2880"/>
          </w:tcPr>
          <w:p>
            <w:r>
              <w:t>N/A (must complete first)</w:t>
            </w:r>
          </w:p>
        </w:tc>
      </w:tr>
      <w:tr>
        <w:tc>
          <w:tcPr>
            <w:tcW w:type="dxa" w:w="2880"/>
          </w:tcPr>
          <w:p>
            <w:r>
              <w:t>Track 2 – Core Domain</w:t>
            </w:r>
          </w:p>
        </w:tc>
        <w:tc>
          <w:tcPr>
            <w:tcW w:type="dxa" w:w="2880"/>
          </w:tcPr>
          <w:p>
            <w:r>
              <w:t>Phase 2 (Master Data), Phase 3 (Core Customs), Phase 4 (Compliance)</w:t>
            </w:r>
          </w:p>
        </w:tc>
        <w:tc>
          <w:tcPr>
            <w:tcW w:type="dxa" w:w="2880"/>
          </w:tcPr>
          <w:p>
            <w:r>
              <w:t>Track 3</w:t>
            </w:r>
          </w:p>
        </w:tc>
      </w:tr>
      <w:tr>
        <w:tc>
          <w:tcPr>
            <w:tcW w:type="dxa" w:w="2880"/>
          </w:tcPr>
          <w:p>
            <w:r>
              <w:t>Track 3 – Operational Platform</w:t>
            </w:r>
          </w:p>
        </w:tc>
        <w:tc>
          <w:tcPr>
            <w:tcW w:type="dxa" w:w="2880"/>
          </w:tcPr>
          <w:p>
            <w:r>
              <w:t>Phase 5 (Workflow), Phase 6 (Finance), Phase 7 (Documents)</w:t>
            </w:r>
          </w:p>
        </w:tc>
        <w:tc>
          <w:tcPr>
            <w:tcW w:type="dxa" w:w="2880"/>
          </w:tcPr>
          <w:p>
            <w:r>
              <w:t>Track 2</w:t>
            </w:r>
          </w:p>
        </w:tc>
      </w:tr>
      <w:tr>
        <w:tc>
          <w:tcPr>
            <w:tcW w:type="dxa" w:w="2880"/>
          </w:tcPr>
          <w:p>
            <w:r>
              <w:t>Track 4 – Outward-Facing</w:t>
            </w:r>
          </w:p>
        </w:tc>
        <w:tc>
          <w:tcPr>
            <w:tcW w:type="dxa" w:w="2880"/>
          </w:tcPr>
          <w:p>
            <w:r>
              <w:t>Phase 8 (Integration), Phase 9 (Reporting), Phase 10 (Customer Experience)</w:t>
            </w:r>
          </w:p>
        </w:tc>
        <w:tc>
          <w:tcPr>
            <w:tcW w:type="dxa" w:w="2880"/>
          </w:tcPr>
          <w:p>
            <w:r>
              <w:t>Begins once Track 2/3 core APIs stabilize</w:t>
            </w:r>
          </w:p>
        </w:tc>
      </w:tr>
    </w:tbl>
    <w:p/>
    <w:p>
      <w:pPr>
        <w:pStyle w:val="Heading2"/>
      </w:pPr>
      <w:r>
        <w:t>2.1 Phase -1: Architecture &amp; Engineering Preparation (New — 6–10 weeks)</w:t>
      </w:r>
    </w:p>
    <w:p>
      <w:r>
        <w:rPr>
          <w:b w:val="0"/>
          <w:i w:val="0"/>
        </w:rPr>
        <w:t>Inserted before Phase 0 per review feedback. Reduces rework and ensures cross-team consistency before any production code is written.</w:t>
      </w:r>
    </w:p>
    <w:p>
      <w:pPr>
        <w:pStyle w:val="ListBullet"/>
      </w:pPr>
      <w:r>
        <w:t>Finalize domain-driven design and bounded contexts</w:t>
      </w:r>
    </w:p>
    <w:p>
      <w:pPr>
        <w:pStyle w:val="ListBullet"/>
      </w:pPr>
      <w:r>
        <w:t>Define the canonical data model</w:t>
      </w:r>
    </w:p>
    <w:p>
      <w:pPr>
        <w:pStyle w:val="ListBullet"/>
      </w:pPr>
      <w:r>
        <w:t>Establish API standards and OpenAPI contracts</w:t>
      </w:r>
    </w:p>
    <w:p>
      <w:pPr>
        <w:pStyle w:val="ListBullet"/>
      </w:pPr>
      <w:r>
        <w:t>Establish coding standards and Architecture Decision Records (ADRs)</w:t>
      </w:r>
    </w:p>
    <w:p>
      <w:pPr>
        <w:pStyle w:val="ListBullet"/>
      </w:pPr>
      <w:r>
        <w:t>Set up CI/CD, quality gates, code scanning, and test automation</w:t>
      </w:r>
    </w:p>
    <w:p>
      <w:pPr>
        <w:pStyle w:val="ListBullet"/>
      </w:pPr>
      <w:r>
        <w:t>Build reusable platform libraries: logging, error handling, security, auditing, messaging, persistence</w:t>
      </w:r>
    </w:p>
    <w:p>
      <w:pPr>
        <w:pStyle w:val="ListBullet"/>
      </w:pPr>
      <w:r>
        <w:t>Create developer templates and reference implementations</w:t>
      </w:r>
    </w:p>
    <w:p>
      <w:pPr>
        <w:pStyle w:val="ListBullet"/>
      </w:pPr>
      <w:r>
        <w:t>(v2 addition) Produce an initial rules-engine design spike — schema for storing configurable rules (segregation, duty applicability) — so Phase 0/1 can build against it rather than hard-coding early logic that gets rewritten in Phase 4/5</w:t>
      </w:r>
    </w:p>
    <w:p>
      <w:pPr>
        <w:pStyle w:val="Heading2"/>
      </w:pPr>
      <w:r>
        <w:t>2.2 Phase 0: Platform Foundation</w:t>
      </w:r>
    </w:p>
    <w:p>
      <w:pPr>
        <w:pStyle w:val="ListBullet"/>
      </w:pPr>
      <w:r>
        <w:t>Architecture, CI/CD, Kubernetes, Identity, Logging, Monitoring, API Gateway, Event Bus, Security base framework</w:t>
      </w:r>
    </w:p>
    <w:p>
      <w:pPr>
        <w:pStyle w:val="ListBullet"/>
      </w:pPr>
      <w:r>
        <w:t>(v2 addition) Rules Engine skeleton: rule storage, versioning, and evaluation pipeline (empty of business rules, but structurally ready) — so Phase 3 does not have to retrofit configuration-driven behavior later</w:t>
      </w:r>
    </w:p>
    <w:p>
      <w:r>
        <w:rPr>
          <w:b w:val="0"/>
          <w:i w:val="0"/>
        </w:rPr>
        <w:t>No business modules yet.</w:t>
      </w:r>
    </w:p>
    <w:p>
      <w:pPr>
        <w:pStyle w:val="Heading2"/>
      </w:pPr>
      <w:r>
        <w:t>2.3 Phase 1: Enterprise Core</w:t>
      </w:r>
    </w:p>
    <w:p>
      <w:pPr>
        <w:pStyle w:val="ListBullet"/>
      </w:pPr>
      <w:r>
        <w:t>User Management, Organization, Security, Notification, Audit, Configuration</w:t>
      </w:r>
    </w:p>
    <w:p>
      <w:pPr>
        <w:pStyle w:val="ListBullet"/>
      </w:pPr>
      <w:r>
        <w:t>(v2 addition) Tariff &amp; Reference Data Sourcing workstream kicks off here in parallel: licensing and ingestion planning for WCO HS, country-specific tariff extensions (ASEAN AHTN, US HTS, EU TARIC, etc.), exchange rate feeds, and lookup table sourcing — this is called out explicitly because Chapter 8 of the PRD treats tariff data as foundational, and sourcing/licensing lead time is an external dependency that can otherwise block Phase 2/3 unnoticed</w:t>
      </w:r>
    </w:p>
    <w:p>
      <w:r>
        <w:rPr>
          <w:b w:val="0"/>
          <w:i w:val="0"/>
        </w:rPr>
        <w:t>Sequence: Backend first, then Testing, then UI.</w:t>
      </w:r>
    </w:p>
    <w:p>
      <w:pPr>
        <w:pStyle w:val="Heading2"/>
      </w:pPr>
      <w:r>
        <w:t>2.4 Phase 2: Master Data Platform</w:t>
      </w:r>
    </w:p>
    <w:p>
      <w:pPr>
        <w:pStyle w:val="ListBullet"/>
      </w:pPr>
      <w:r>
        <w:t>Modules: Customers, Products, HS Codes, Countries, Ports, Carriers</w:t>
      </w:r>
    </w:p>
    <w:p>
      <w:pPr>
        <w:pStyle w:val="ListBullet"/>
      </w:pPr>
      <w:r>
        <w:t>Tariff Master ingestion (multi-jurisdiction, versioned) continues here, consuming the sourcing work started in Phase 1</w:t>
      </w:r>
    </w:p>
    <w:p>
      <w:r>
        <w:rPr>
          <w:b w:val="0"/>
          <w:i w:val="0"/>
        </w:rPr>
        <w:t>Sequence: Backend → Services → API → UI.</w:t>
      </w:r>
    </w:p>
    <w:p>
      <w:pPr>
        <w:pStyle w:val="Heading2"/>
      </w:pPr>
      <w:r>
        <w:t>2.5 Phase 3: Core Customs Processing</w:t>
      </w:r>
    </w:p>
    <w:p>
      <w:pPr>
        <w:pStyle w:val="ListBullet"/>
      </w:pPr>
      <w:r>
        <w:t>Modules: Shipment, Declaration, Duty, Tariff, Permit, Customs Submission</w:t>
      </w:r>
    </w:p>
    <w:p>
      <w:pPr>
        <w:pStyle w:val="ListBullet"/>
      </w:pPr>
      <w:r>
        <w:t>(v2 addition) Segregation Engine business rules are authored and activated here against the rules-engine skeleton built in Phase 0 — avoiding rework of Phase 3 logic once Phase 4 compliance rules land</w:t>
      </w:r>
    </w:p>
    <w:p>
      <w:r>
        <w:rPr>
          <w:b w:val="0"/>
          <w:i w:val="0"/>
        </w:rPr>
        <w:t>Sequence: Backend → Services → API → UI.</w:t>
      </w:r>
    </w:p>
    <w:p>
      <w:pPr>
        <w:pStyle w:val="Heading2"/>
      </w:pPr>
      <w:r>
        <w:t>2.6 Phase 4: Compliance Platform</w:t>
      </w:r>
    </w:p>
    <w:p>
      <w:pPr>
        <w:pStyle w:val="ListBullet"/>
      </w:pPr>
      <w:r>
        <w:t>Modules: Screening, Risk, OGA, Holds, Inspections</w:t>
      </w:r>
    </w:p>
    <w:p>
      <w:r>
        <w:rPr>
          <w:b w:val="0"/>
          <w:i w:val="0"/>
        </w:rPr>
        <w:t>Runs in parallel with the latter part of Phase 3 (Track 2), since compliance rules extend the same rules-engine foundation rather than introducing a new one.</w:t>
      </w:r>
    </w:p>
    <w:p>
      <w:pPr>
        <w:pStyle w:val="Heading2"/>
      </w:pPr>
      <w:r>
        <w:t>2.7 Phase 5: Workflow Platform</w:t>
      </w:r>
    </w:p>
    <w:p>
      <w:pPr>
        <w:pStyle w:val="ListBullet"/>
      </w:pPr>
      <w:r>
        <w:t>Modules: Workflow, Tasks, SLA, Escalation, Collaboration</w:t>
      </w:r>
    </w:p>
    <w:p>
      <w:pPr>
        <w:pStyle w:val="Heading2"/>
      </w:pPr>
      <w:r>
        <w:t>2.8 Phase 6: Financial Platform</w:t>
      </w:r>
    </w:p>
    <w:p>
      <w:pPr>
        <w:pStyle w:val="ListBullet"/>
      </w:pPr>
      <w:r>
        <w:t>Modules: Billing, Duty, Tax, Payments</w:t>
      </w:r>
    </w:p>
    <w:p>
      <w:pPr>
        <w:pStyle w:val="Heading2"/>
      </w:pPr>
      <w:r>
        <w:t>2.9 Phase 7: Document Platform</w:t>
      </w:r>
    </w:p>
    <w:p>
      <w:pPr>
        <w:pStyle w:val="ListBullet"/>
      </w:pPr>
      <w:r>
        <w:t>Modules: DMS, OCR, Templates, Digital Signature</w:t>
      </w:r>
    </w:p>
    <w:p>
      <w:pPr>
        <w:pStyle w:val="Heading2"/>
      </w:pPr>
      <w:r>
        <w:t>2.10 Phase 8: Integration Platform</w:t>
      </w:r>
    </w:p>
    <w:p>
      <w:pPr>
        <w:pStyle w:val="ListBullet"/>
      </w:pPr>
      <w:r>
        <w:t>Modules: API Gateway, Adapters, Events, EDI, Customs Gateways</w:t>
      </w:r>
    </w:p>
    <w:p>
      <w:r>
        <w:rPr>
          <w:b w:val="0"/>
          <w:i w:val="0"/>
        </w:rPr>
        <w:t>(v2 addition) Risk flag: Customs Gateway certification and sandbox access are controlled by external government agencies, not engineering velocity. This phase carries a schedule buffer and should begin agency sandbox/certification requests as early as Phase 3, since approval lead times often run in parallel tracks independent of development readiness.</w:t>
      </w:r>
    </w:p>
    <w:p>
      <w:pPr>
        <w:pStyle w:val="Heading2"/>
      </w:pPr>
      <w:r>
        <w:t>2.11 Phase 9: Reporting Platform</w:t>
      </w:r>
    </w:p>
    <w:p>
      <w:pPr>
        <w:pStyle w:val="ListBullet"/>
      </w:pPr>
      <w:r>
        <w:t>Modules: Dashboards, BI, KPIs, Analytics, AI</w:t>
      </w:r>
    </w:p>
    <w:p>
      <w:pPr>
        <w:pStyle w:val="Heading2"/>
      </w:pPr>
      <w:r>
        <w:t>2.12 Phase 10: Customer Experience</w:t>
      </w:r>
    </w:p>
    <w:p>
      <w:pPr>
        <w:pStyle w:val="ListBullet"/>
      </w:pPr>
      <w:r>
        <w:t>Customer Portal, Mobile App, Broker UI, Executive Dashboard</w:t>
      </w:r>
    </w:p>
    <w:p>
      <w:r>
        <w:rPr>
          <w:b w:val="0"/>
          <w:i w:val="0"/>
        </w:rPr>
        <w:t>Developed last, once all APIs and backend capabilities are stable — UI teams focus on experience rather than waiting on backend changes.</w:t>
      </w:r>
    </w:p>
    <w:p>
      <w:pPr>
        <w:pStyle w:val="Heading1"/>
      </w:pPr>
      <w:r>
        <w:t>3. Quality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Schema review passed, migrations validated, performance baseline achieved, integrity checks passed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≥95% unit test coverage for core business/rules logic (≥80% for master-data CRUD services), static code analysis clean, business rule validation complete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Contract tests passed, integration tests green, authentication/authorization verified, API documentation finalized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UI functional tests passed, accessibility review completed, responsive behavior verified, UX sign-off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End-to-end workflows validated, regression suite passed, performance/load tests completed, security testing passed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UAT sign-off, operational runbooks approved, deployment rehearsed, rollback plan validated</w:t>
            </w:r>
          </w:p>
        </w:tc>
      </w:tr>
    </w:tbl>
    <w:p/>
    <w:p>
      <w:pPr>
        <w:pStyle w:val="Heading2"/>
      </w:pPr>
      <w:r>
        <w:t>3.1 Phase Exit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Checklist</w:t>
            </w:r>
          </w:p>
        </w:tc>
      </w:tr>
      <w:tr>
        <w:tc>
          <w:tcPr>
            <w:tcW w:type="dxa" w:w="4320"/>
          </w:tcPr>
          <w:p>
            <w:r>
              <w:t>Gate 1 – Architecture Review</w:t>
            </w:r>
          </w:p>
        </w:tc>
        <w:tc>
          <w:tcPr>
            <w:tcW w:type="dxa" w:w="4320"/>
          </w:tcPr>
          <w:p>
            <w:r>
              <w:t>Standards followed, naming conventions, security, performance, documentation</w:t>
            </w:r>
          </w:p>
        </w:tc>
      </w:tr>
      <w:tr>
        <w:tc>
          <w:tcPr>
            <w:tcW w:type="dxa" w:w="4320"/>
          </w:tcPr>
          <w:p>
            <w:r>
              <w:t>Gate 2 – Backend Review</w:t>
            </w:r>
          </w:p>
        </w:tc>
        <w:tc>
          <w:tcPr>
            <w:tcW w:type="dxa" w:w="4320"/>
          </w:tcPr>
          <w:p>
            <w:r>
              <w:t>Business rules, unit tests, code coverage, static analysis (e.g. SonarQube), security scan</w:t>
            </w:r>
          </w:p>
        </w:tc>
      </w:tr>
      <w:tr>
        <w:tc>
          <w:tcPr>
            <w:tcW w:type="dxa" w:w="4320"/>
          </w:tcPr>
          <w:p>
            <w:r>
              <w:t>Gate 3 – API Review</w:t>
            </w:r>
          </w:p>
        </w:tc>
        <w:tc>
          <w:tcPr>
            <w:tcW w:type="dxa" w:w="4320"/>
          </w:tcPr>
          <w:p>
            <w:r>
              <w:t>Swagger/OpenAPI, API contracts, versioning, authentication, integration tests</w:t>
            </w:r>
          </w:p>
        </w:tc>
      </w:tr>
      <w:tr>
        <w:tc>
          <w:tcPr>
            <w:tcW w:type="dxa" w:w="4320"/>
          </w:tcPr>
          <w:p>
            <w:r>
              <w:t>Gate 4 – Frontend Review</w:t>
            </w:r>
          </w:p>
        </w:tc>
        <w:tc>
          <w:tcPr>
            <w:tcW w:type="dxa" w:w="4320"/>
          </w:tcPr>
          <w:p>
            <w:r>
              <w:t>UX, accessibility, performance, responsive design</w:t>
            </w:r>
          </w:p>
        </w:tc>
      </w:tr>
      <w:tr>
        <w:tc>
          <w:tcPr>
            <w:tcW w:type="dxa" w:w="4320"/>
          </w:tcPr>
          <w:p>
            <w:r>
              <w:t>Gate 5 – Release Review</w:t>
            </w:r>
          </w:p>
        </w:tc>
        <w:tc>
          <w:tcPr>
            <w:tcW w:type="dxa" w:w="4320"/>
          </w:tcPr>
          <w:p>
            <w:r>
              <w:t>SIT, UAT, regression, load test, DR test, security test</w:t>
            </w:r>
          </w:p>
        </w:tc>
      </w:tr>
    </w:tbl>
    <w:p/>
    <w:p>
      <w:pPr>
        <w:pStyle w:val="Heading1"/>
      </w:pPr>
      <w:r>
        <w:t>4. Program Timeline (Revised, 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Phase -1: Architecture &amp; Engineering Prep</w:t>
            </w:r>
          </w:p>
        </w:tc>
        <w:tc>
          <w:tcPr>
            <w:tcW w:type="dxa" w:w="2880"/>
          </w:tcPr>
          <w:p>
            <w:r>
              <w:t>6–10 weeks</w:t>
            </w:r>
          </w:p>
        </w:tc>
        <w:tc>
          <w:tcPr>
            <w:tcW w:type="dxa" w:w="2880"/>
          </w:tcPr>
          <w:p>
            <w:r>
              <w:t>Includes rules-engine design spike (v2 addition)</w:t>
            </w:r>
          </w:p>
        </w:tc>
      </w:tr>
      <w:tr>
        <w:tc>
          <w:tcPr>
            <w:tcW w:type="dxa" w:w="2880"/>
          </w:tcPr>
          <w:p>
            <w:r>
              <w:t>Phase 0: Platform Foundation</w:t>
            </w:r>
          </w:p>
        </w:tc>
        <w:tc>
          <w:tcPr>
            <w:tcW w:type="dxa" w:w="2880"/>
          </w:tcPr>
          <w:p>
            <w:r>
              <w:t>3–4 months</w:t>
            </w:r>
          </w:p>
        </w:tc>
        <w:tc>
          <w:tcPr>
            <w:tcW w:type="dxa" w:w="2880"/>
          </w:tcPr>
          <w:p>
            <w:r>
              <w:t>Includes rules-engine skeleton (v2 addition)</w:t>
            </w:r>
          </w:p>
        </w:tc>
      </w:tr>
      <w:tr>
        <w:tc>
          <w:tcPr>
            <w:tcW w:type="dxa" w:w="2880"/>
          </w:tcPr>
          <w:p>
            <w:r>
              <w:t>Phase 1: Enterprise Core + Tariff Sourcing kickoff</w:t>
            </w:r>
          </w:p>
        </w:tc>
        <w:tc>
          <w:tcPr>
            <w:tcW w:type="dxa" w:w="2880"/>
          </w:tcPr>
          <w:p>
            <w:r>
              <w:t>4–6 months</w:t>
            </w:r>
          </w:p>
        </w:tc>
        <w:tc>
          <w:tcPr>
            <w:tcW w:type="dxa" w:w="2880"/>
          </w:tcPr>
          <w:p>
            <w:r>
              <w:t>Tariff/reference data licensing started in parallel (v2 addition)</w:t>
            </w:r>
          </w:p>
        </w:tc>
      </w:tr>
      <w:tr>
        <w:tc>
          <w:tcPr>
            <w:tcW w:type="dxa" w:w="2880"/>
          </w:tcPr>
          <w:p>
            <w:r>
              <w:t>Phase 2–3: Master Data &amp; Core Customs Processing</w:t>
            </w:r>
          </w:p>
        </w:tc>
        <w:tc>
          <w:tcPr>
            <w:tcW w:type="dxa" w:w="2880"/>
          </w:tcPr>
          <w:p>
            <w:r>
              <w:t>6–8 months</w:t>
            </w:r>
          </w:p>
        </w:tc>
        <w:tc>
          <w:tcPr>
            <w:tcW w:type="dxa" w:w="2880"/>
          </w:tcPr>
          <w:p>
            <w:r>
              <w:t>Segregation rules authored against existing engine skeleton</w:t>
            </w:r>
          </w:p>
        </w:tc>
      </w:tr>
      <w:tr>
        <w:tc>
          <w:tcPr>
            <w:tcW w:type="dxa" w:w="2880"/>
          </w:tcPr>
          <w:p>
            <w:r>
              <w:t>Phase 4–5: Compliance &amp; Workflow</w:t>
            </w:r>
          </w:p>
        </w:tc>
        <w:tc>
          <w:tcPr>
            <w:tcW w:type="dxa" w:w="2880"/>
          </w:tcPr>
          <w:p>
            <w:r>
              <w:t>5–6 months</w:t>
            </w:r>
          </w:p>
        </w:tc>
        <w:tc>
          <w:tcPr>
            <w:tcW w:type="dxa" w:w="2880"/>
          </w:tcPr>
          <w:p>
            <w:r>
              <w:t>Runs partly in parallel with late Phase 3 (Track 2/3 overlap)</w:t>
            </w:r>
          </w:p>
        </w:tc>
      </w:tr>
      <w:tr>
        <w:tc>
          <w:tcPr>
            <w:tcW w:type="dxa" w:w="2880"/>
          </w:tcPr>
          <w:p>
            <w:r>
              <w:t>Phase 6–7: Finance &amp; Documents</w:t>
            </w:r>
          </w:p>
        </w:tc>
        <w:tc>
          <w:tcPr>
            <w:tcW w:type="dxa" w:w="2880"/>
          </w:tcPr>
          <w:p>
            <w:r>
              <w:t>4–5 months</w:t>
            </w:r>
          </w:p>
        </w:tc>
        <w:tc>
          <w:tcPr>
            <w:tcW w:type="dxa" w:w="2880"/>
          </w:tcPr>
          <w:p>
            <w:r>
              <w:t>Track 3, overlaps Track 2 where feasible</w:t>
            </w:r>
          </w:p>
        </w:tc>
      </w:tr>
      <w:tr>
        <w:tc>
          <w:tcPr>
            <w:tcW w:type="dxa" w:w="2880"/>
          </w:tcPr>
          <w:p>
            <w:r>
              <w:t>Phase 8: Integration &amp; Customs Gateways</w:t>
            </w:r>
          </w:p>
        </w:tc>
        <w:tc>
          <w:tcPr>
            <w:tcW w:type="dxa" w:w="2880"/>
          </w:tcPr>
          <w:p>
            <w:r>
              <w:t>4–5 months + buffer</w:t>
            </w:r>
          </w:p>
        </w:tc>
        <w:tc>
          <w:tcPr>
            <w:tcW w:type="dxa" w:w="2880"/>
          </w:tcPr>
          <w:p>
            <w:r>
              <w:t>Agency sandbox/certification requests initiated in Phase 3 (v2 addition); buffer added for external approval lead time</w:t>
            </w:r>
          </w:p>
        </w:tc>
      </w:tr>
      <w:tr>
        <w:tc>
          <w:tcPr>
            <w:tcW w:type="dxa" w:w="2880"/>
          </w:tcPr>
          <w:p>
            <w:r>
              <w:t>Phase 9: Reporting &amp; Analytics</w:t>
            </w:r>
          </w:p>
        </w:tc>
        <w:tc>
          <w:tcPr>
            <w:tcW w:type="dxa" w:w="2880"/>
          </w:tcPr>
          <w:p>
            <w:r>
              <w:t>Overlaps Phase 8</w:t>
            </w:r>
          </w:p>
        </w:tc>
        <w:tc>
          <w:tcPr>
            <w:tcW w:type="dxa" w:w="2880"/>
          </w:tcPr>
          <w:p>
            <w:r>
              <w:t>Track 4</w:t>
            </w:r>
          </w:p>
        </w:tc>
      </w:tr>
      <w:tr>
        <w:tc>
          <w:tcPr>
            <w:tcW w:type="dxa" w:w="2880"/>
          </w:tcPr>
          <w:p>
            <w:r>
              <w:t>Phase 10: Customer Experience &amp; Final Hardening</w:t>
            </w:r>
          </w:p>
        </w:tc>
        <w:tc>
          <w:tcPr>
            <w:tcW w:type="dxa" w:w="2880"/>
          </w:tcPr>
          <w:p>
            <w:r>
              <w:t>3–4 months</w:t>
            </w:r>
          </w:p>
        </w:tc>
        <w:tc>
          <w:tcPr>
            <w:tcW w:type="dxa" w:w="2880"/>
          </w:tcPr>
          <w:p>
            <w:r>
              <w:t>Begins once Track 2/3 APIs are stable</w:t>
            </w:r>
          </w:p>
        </w:tc>
      </w:tr>
    </w:tbl>
    <w:p/>
    <w:p>
      <w:r>
        <w:rPr>
          <w:b w:val="0"/>
          <w:i/>
        </w:rPr>
        <w:t>Overall: approximately 24–36 months for an MVP-to-enterprise platform, consistent with v1. The revisions in v2 do not change the headline duration; they front-load engine and data-sourcing risk into earlier phases and add explicit schedule buffer around externally-gated dependencies (customs agency certification), so the timeline is more defensible rather than longer.</w:t>
      </w:r>
    </w:p>
    <w:p>
      <w:pPr>
        <w:pStyle w:val="Heading1"/>
      </w:pPr>
      <w:r>
        <w:t>5. Open Items for Sign-off</w:t>
      </w:r>
    </w:p>
    <w:p>
      <w:pPr>
        <w:pStyle w:val="ListNumber"/>
      </w:pPr>
      <w:r>
        <w:t>Confirm team topology: are Track 2 and Track 3 to be staffed as separate teams, or does one team rotate across tracks?</w:t>
      </w:r>
    </w:p>
    <w:p>
      <w:pPr>
        <w:pStyle w:val="ListNumber"/>
      </w:pPr>
      <w:r>
        <w:t>Confirm which countries/jurisdictions are in scope for MVP tariff sourcing (drives Phase 1 licensing lead time).</w:t>
      </w:r>
    </w:p>
    <w:p>
      <w:pPr>
        <w:pStyle w:val="ListNumber"/>
      </w:pPr>
      <w:r>
        <w:t>Confirm target customs authorities for Phase 8 sandbox access requests, so certification requests can be initiated as early as Phase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