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10 Deliverable — Security &amp; Audit Standards v1.0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Day: 10 of 20 (final day of Week 2)</w:t>
      </w:r>
    </w:p>
    <w:p>
      <w:r>
        <w:rPr>
          <w:b w:val="0"/>
          <w:i w:val="0"/>
        </w:rPr>
        <w:t>Stack: ASP.NET Core (C#), PostgreSQL (ADR-0001)</w:t>
      </w:r>
    </w:p>
    <w:p>
      <w:r>
        <w:rPr>
          <w:b w:val="0"/>
          <w:i w:val="0"/>
        </w:rPr>
        <w:t>Deliverable per plan: Security standards doc v1.0</w:t>
      </w:r>
    </w:p>
    <w:p>
      <w:r>
        <w:rPr>
          <w:b w:val="0"/>
          <w:i w:val="0"/>
        </w:rPr>
        <w:t>Scope requested: 17 specific areas + gap analysis. Companion: adr/0004-security-audit-standards.md</w:t>
      </w:r>
    </w:p>
    <w:p>
      <w:pPr>
        <w:pStyle w:val="Heading1"/>
      </w:pPr>
      <w:r>
        <w:t>0. Gap Analysis — What Your List Missed</w:t>
      </w:r>
    </w:p>
    <w:p>
      <w:r>
        <w:rPr>
          <w:b w:val="0"/>
          <w:i w:val="0"/>
        </w:rPr>
        <w:t>Your 17 items are thorough and cover the areas most teams get right. Six items are worth adding, mostly because they are easy to leave implicit until they cause a problem: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Missing 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Matters Here</w:t>
            </w:r>
          </w:p>
        </w:tc>
      </w:tr>
      <w:tr>
        <w:tc>
          <w:tcPr>
            <w:tcW w:type="dxa" w:w="4320"/>
          </w:tcPr>
          <w:p>
            <w:r>
              <w:t>Secrets Management &amp; Rotation</w:t>
            </w:r>
          </w:p>
        </w:tc>
        <w:tc>
          <w:tcPr>
            <w:tcW w:type="dxa" w:w="4320"/>
          </w:tcPr>
          <w:p>
            <w:r>
              <w:t>Item 5 covers encrypting secrets at rest; it does not cover *how secrets get into the system, who can read them, and how often they rotate*. A vault with no rotation policy is a static secret with a fancier storage location.</w:t>
            </w:r>
          </w:p>
        </w:tc>
      </w:tr>
      <w:tr>
        <w:tc>
          <w:tcPr>
            <w:tcW w:type="dxa" w:w="4320"/>
          </w:tcPr>
          <w:p>
            <w:r>
              <w:t>Data Retention &amp; Purge Policy</w:t>
            </w:r>
          </w:p>
        </w:tc>
        <w:tc>
          <w:tcPr>
            <w:tcW w:type="dxa" w:w="4320"/>
          </w:tcPr>
          <w:p>
            <w:r>
              <w:t>The PRD mandates immutable audit history (Ch.6.11/7.14/8.14) but never states a retention *duration*. India customs record-keeping requirements impose specific periods; without a stated duration, "immutable forever" becomes an unbounded storage/compliance liability.</w:t>
            </w:r>
          </w:p>
        </w:tc>
      </w:tr>
      <w:tr>
        <w:tc>
          <w:tcPr>
            <w:tcW w:type="dxa" w:w="4320"/>
          </w:tcPr>
          <w:p>
            <w:r>
              <w:t>India DPDPA 2023 Compliance</w:t>
            </w:r>
          </w:p>
        </w:tc>
        <w:tc>
          <w:tcPr>
            <w:tcW w:type="dxa" w:w="4320"/>
          </w:tcPr>
          <w:p>
            <w:r>
              <w:t>Not named anywhere in the PRD or Days 1-9. Individual importers with personal gift shipments (Day 4 Scenario B) mean this platform processes personal data of natural persons, making it a "Data Fiduciary" under India's Digital Personal Data Protection Act, 2023 — a distinct compliance regime from generic "Compliance" (Item 17), which read as customs/trade compliance, not data-protection law.</w:t>
            </w:r>
          </w:p>
        </w:tc>
      </w:tr>
      <w:tr>
        <w:tc>
          <w:tcPr>
            <w:tcW w:type="dxa" w:w="4320"/>
          </w:tcPr>
          <w:p>
            <w:r>
              <w:t>Non-Repudiation for ICEGATE Submissions</w:t>
            </w:r>
          </w:p>
        </w:tc>
        <w:tc>
          <w:tcPr>
            <w:tcW w:type="dxa" w:w="4320"/>
          </w:tcPr>
          <w:p>
            <w:r>
              <w:t>PRD Ch.3 Stage 10 mentions "digitally sign the message (if required)" in passing. This deserves to be a named standard, not a parenthetical, given it is what makes a customs filing legally attributable.</w:t>
            </w:r>
          </w:p>
        </w:tc>
      </w:tr>
      <w:tr>
        <w:tc>
          <w:tcPr>
            <w:tcW w:type="dxa" w:w="4320"/>
          </w:tcPr>
          <w:p>
            <w:r>
              <w:t>Rate Limiting / DoS Protection</w:t>
            </w:r>
          </w:p>
        </w:tc>
        <w:tc>
          <w:tcPr>
            <w:tcW w:type="dxa" w:w="4320"/>
          </w:tcPr>
          <w:p>
            <w:r>
              <w:t>Implicit in Item 3 (API Security) but frequently under-scoped when left implicit — called out explicitly below.</w:t>
            </w:r>
          </w:p>
        </w:tc>
      </w:tr>
      <w:tr>
        <w:tc>
          <w:tcPr>
            <w:tcW w:type="dxa" w:w="4320"/>
          </w:tcPr>
          <w:p>
            <w:r>
              <w:t>Dependency / SCA Scanning</w:t>
            </w:r>
          </w:p>
        </w:tc>
        <w:tc>
          <w:tcPr>
            <w:tcW w:type="dxa" w:w="4320"/>
          </w:tcPr>
          <w:p>
            <w:r>
              <w:t>Item 16 (Security Testing) is usually read as SAST/pen-testing; software composition analysis (vulnerable NuGet packages) is a distinct, automatable, CI-native control worth naming separately.</w:t>
            </w:r>
          </w:p>
        </w:tc>
      </w:tr>
    </w:tbl>
    <w:p/>
    <w:p>
      <w:r>
        <w:rPr>
          <w:b w:val="0"/>
          <w:i/>
        </w:rPr>
        <w:t>All 17 requested items plus these 6 are covered below.</w:t>
      </w:r>
    </w:p>
    <w:p>
      <w:pPr>
        <w:pStyle w:val="Heading1"/>
      </w:pPr>
      <w:r>
        <w:t>1. Authentication Standard</w:t>
      </w:r>
    </w:p>
    <w:p>
      <w:pPr>
        <w:pStyle w:val="ListBullet"/>
      </w:pPr>
      <w:r>
        <w:t>OAuth 2.0 / OpenID Connect for all human users, via the Identity service (Phase 0, Day 23).</w:t>
      </w:r>
    </w:p>
    <w:p>
      <w:pPr>
        <w:pStyle w:val="ListBullet"/>
      </w:pPr>
      <w:r>
        <w:t>JWT bearer tokens, short-lived (15-minute access token, refresh token per session), validated at the API Gateway before any request reaches a context-owned service (per Day 6 v1.1 Section 2 — gateway handles external ingress auth).</w:t>
      </w:r>
    </w:p>
    <w:p>
      <w:pPr>
        <w:pStyle w:val="ListBullet"/>
      </w:pPr>
      <w:r>
        <w:t>No local username/password accounts for MVP — see Item 15 for the deferred fallback policy.</w:t>
      </w:r>
    </w:p>
    <w:p>
      <w:pPr>
        <w:pStyle w:val="ListBullet"/>
      </w:pPr>
      <w:r>
        <w:t>MFA required for Supervisor, Compliance Officer, and Admin roles (per Day 1 personas) given their ability to override segregation decisions (Day 3, IsOverride) and approve permits/compliance holds.</w:t>
      </w:r>
    </w:p>
    <w:p>
      <w:pPr>
        <w:pStyle w:val="Heading1"/>
      </w:pPr>
      <w:r>
        <w:t>2. Authorization Standard</w:t>
      </w:r>
    </w:p>
    <w:p>
      <w:pPr>
        <w:pStyle w:val="ListBullet"/>
      </w:pPr>
      <w:r>
        <w:t>Policy-based authorization (ASP.NET Core `AuthorizationPolicy`), never ad-hoc role checks scattered in controllers — reinforces Day 8's coding standards.</w:t>
      </w:r>
    </w:p>
    <w:p>
      <w:pPr>
        <w:pStyle w:val="ListBullet"/>
      </w:pPr>
      <w:r>
        <w:t>Role claims map directly to the Day 1/PRD Ch.4.9 Permissions Matrix (Broker, Supervisor, Compliance Officer, Admin).</w:t>
      </w:r>
    </w:p>
    <w:p>
      <w:pPr>
        <w:pStyle w:val="ListBullet"/>
      </w:pPr>
      <w:r>
        <w:t>Two-tier enforcement: coarse endpoint/role checks at the API layer; field-level checks (e.g. restricted fields post-submission, FR-003) in the Application layer — per Day 8, Section 8.</w:t>
      </w:r>
    </w:p>
    <w:p>
      <w:pPr>
        <w:pStyle w:val="ListBullet"/>
      </w:pPr>
      <w:r>
        <w:t>Every authorization decision (grant or deny) that touches a Confidential+ classified field (Section 6) is a Technical Audit event (Item 17).</w:t>
      </w:r>
    </w:p>
    <w:p>
      <w:pPr>
        <w:pStyle w:val="Heading1"/>
      </w:pPr>
      <w:r>
        <w:t>3. API Security</w:t>
      </w:r>
    </w:p>
    <w:p>
      <w:pPr>
        <w:pStyle w:val="ListBullet"/>
      </w:pPr>
      <w:r>
        <w:t>Rate limiting per client/token at the API Gateway (Phase 0 Day 22), thresholds tuned to the PRD's 500,000 shipments/day target without allowing a single misbehaving client to degrade service for others.</w:t>
      </w:r>
    </w:p>
    <w:p>
      <w:pPr>
        <w:pStyle w:val="ListBullet"/>
      </w:pPr>
      <w:r>
        <w:t>Input validation at the edge (schema validation against the OpenAPI contract, Day 7) before any request reaches business logic — rejects malformed payloads before they cost a database round-trip.</w:t>
      </w:r>
    </w:p>
    <w:p>
      <w:pPr>
        <w:pStyle w:val="ListBullet"/>
      </w:pPr>
      <w:r>
        <w:t>OWASP API Security Top 10 checklist applied to every context-owned API as part of the Gate 3 (API Review) quality gate already defined in the Phase-wise Plan v2.</w:t>
      </w:r>
    </w:p>
    <w:p>
      <w:pPr>
        <w:pStyle w:val="ListBullet"/>
      </w:pPr>
      <w:r>
        <w:t>No sensitive data (Section 6 Confidential+) in URL query strings or path segments — ever; request bodies only.</w:t>
      </w:r>
    </w:p>
    <w:p>
      <w:pPr>
        <w:pStyle w:val="Heading1"/>
      </w:pPr>
      <w:r>
        <w:t>4. Service-to-Service Authentication</w:t>
      </w:r>
    </w:p>
    <w:p>
      <w:r>
        <w:rPr>
          <w:b w:val="0"/>
          <w:i w:val="0"/>
        </w:rPr>
        <w:t>Per Day 6 v1.1's decision that internal service-to-service calls bypass the API Gateway, those calls still need their own authentication — "no gateway" does not mean "no auth."</w:t>
      </w:r>
    </w:p>
    <w:p>
      <w:pPr>
        <w:pStyle w:val="ListBullet"/>
      </w:pPr>
      <w:r>
        <w:t>Mutual TLS (mTLS) between internal services where the deployment platform supports it easily (e.g. within a Kubernetes cluster via a service mesh), OR short-lived signed service tokens (client-credentials OAuth2 flow, service identity, not a user identity) where mTLS adds excess operational overhead for MVP scale.</w:t>
      </w:r>
    </w:p>
    <w:p>
      <w:pPr>
        <w:pStyle w:val="ListBullet"/>
      </w:pPr>
      <w:r>
        <w:t>Recommendation for MVP: start with signed service tokens (simpler to stand up solo than a full service mesh); revisit mTLS if/when the platform scales to genuinely independent microservices per context (post-MVP, per the Phase-wise Plan's "modular monolith now, microservices-ready later" framing).</w:t>
      </w:r>
    </w:p>
    <w:p>
      <w:pPr>
        <w:pStyle w:val="ListBullet"/>
      </w:pPr>
      <w:r>
        <w:t>Same-deployable-unit calls (e.g. Shipment Management to its Journey/Leg sub-modules) require no network-level auth at all — in-process calls, per ADR-0003.</w:t>
      </w:r>
    </w:p>
    <w:p>
      <w:pPr>
        <w:pStyle w:val="Heading1"/>
      </w:pPr>
      <w:r>
        <w:t>5. Encryption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4320"/>
          </w:tcPr>
          <w:p>
            <w:r>
              <w:t>Data in transit</w:t>
            </w:r>
          </w:p>
        </w:tc>
        <w:tc>
          <w:tcPr>
            <w:tcW w:type="dxa" w:w="4320"/>
          </w:tcPr>
          <w:p>
            <w:r>
              <w:t>TLS 1.2 minimum (TLS 1.3 preferred) on every external and internal network hop, including internal service-to-service calls per Item 4</w:t>
            </w:r>
          </w:p>
        </w:tc>
      </w:tr>
      <w:tr>
        <w:tc>
          <w:tcPr>
            <w:tcW w:type="dxa" w:w="4320"/>
          </w:tcPr>
          <w:p>
            <w:r>
              <w:t>Data at rest</w:t>
            </w:r>
          </w:p>
        </w:tc>
        <w:tc>
          <w:tcPr>
            <w:tcW w:type="dxa" w:w="4320"/>
          </w:tcPr>
          <w:p>
            <w:r>
              <w:t>AES-256 for the PostgreSQL database (transparent data encryption at the storage/disk layer, or column-level encryption for Section 6 Highly Confidential fields specifically) and any file storage (Document Management, Day 1 context #13)</w:t>
            </w:r>
          </w:p>
        </w:tc>
      </w:tr>
      <w:tr>
        <w:tc>
          <w:tcPr>
            <w:tcW w:type="dxa" w:w="4320"/>
          </w:tcPr>
          <w:p>
            <w:r>
              <w:t>Secrets (new — Section 0 gap)</w:t>
            </w:r>
          </w:p>
        </w:tc>
        <w:tc>
          <w:tcPr>
            <w:tcW w:type="dxa" w:w="4320"/>
          </w:tcPr>
          <w:p>
            <w:r>
              <w:t>A managed secrets vault (e.g. Azure Key Vault, HashiCorp Vault) — never in appsettings.json, source control, or environment variables checked into the repo. Rotation: minimum every 90 days for service credentials, immediately on suspected compromise. Access to the vault itself is a Technical Audit event (Item 17).</w:t>
            </w:r>
          </w:p>
        </w:tc>
      </w:tr>
    </w:tbl>
    <w:p/>
    <w:p>
      <w:pPr>
        <w:pStyle w:val="Heading1"/>
      </w:pPr>
      <w:r>
        <w:t>6. Sensitive Data Classification</w:t>
      </w:r>
    </w:p>
    <w:p>
      <w:r>
        <w:rPr>
          <w:b w:val="0"/>
          <w:i w:val="0"/>
        </w:rPr>
        <w:t>Applied directly to ER Diagram v1.1 entities/fields, per the four tiers you specified.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Fields (ER v1.1)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 harm if disclosed</w:t>
            </w:r>
          </w:p>
        </w:tc>
        <w:tc>
          <w:tcPr>
            <w:tcW w:type="dxa" w:w="2880"/>
          </w:tcPr>
          <w:p>
            <w:r>
              <w:t>HS Code/ITC-HS tariff descriptions, published Rule metadata (not decision outcomes)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Internal operational data, low harm if disclosed to a competitor but not to the public at large</w:t>
            </w:r>
          </w:p>
        </w:tc>
        <w:tc>
          <w:tcPr>
            <w:tcW w:type="dxa" w:w="2880"/>
          </w:tcPr>
          <w:p>
            <w:r>
              <w:t>ShipmentNumber, TransportLeg schedule data, Commodity descriptions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Commercially or personally sensitive; disclosure causes real harm</w:t>
            </w:r>
          </w:p>
        </w:tc>
        <w:tc>
          <w:tcPr>
            <w:tcW w:type="dxa" w:w="2880"/>
          </w:tcPr>
          <w:p>
            <w:r>
              <w:t>Party.Address, Party.ContactInfo, Commodity.CustomsValue, Charge.CalculatedAmount</w:t>
            </w:r>
          </w:p>
        </w:tc>
      </w:tr>
      <w:tr>
        <w:tc>
          <w:tcPr>
            <w:tcW w:type="dxa" w:w="2880"/>
          </w:tcPr>
          <w:p>
            <w:r>
              <w:t>Highly Confidential</w:t>
            </w:r>
          </w:p>
        </w:tc>
        <w:tc>
          <w:tcPr>
            <w:tcW w:type="dxa" w:w="2880"/>
          </w:tcPr>
          <w:p>
            <w:r>
              <w:t>Regulatory-identifier or personal-identity data; disclosure has legal/compliance consequences</w:t>
            </w:r>
          </w:p>
        </w:tc>
        <w:tc>
          <w:tcPr>
            <w:tcW w:type="dxa" w:w="2880"/>
          </w:tcPr>
          <w:p>
            <w:r>
              <w:t>Party.GSTIN, Party.IEC, Party.PAN, Permit.DGFTLicenseRef, CourierShipment.ImportPurpose+ImporterType combined with Party identity (re-identification risk for individual gift importers, DPDPA-relevant per Section 0)</w:t>
            </w:r>
          </w:p>
        </w:tc>
      </w:tr>
    </w:tbl>
    <w:p/>
    <w:p>
      <w:r>
        <w:rPr>
          <w:b w:val="0"/>
          <w:i/>
        </w:rPr>
        <w:t>This table is the input to Data Masking (Item 12) and Logging Standards (Item 11) below — classification is decided once, here, and referenced everywhere else rather than re-litigated per feature.</w:t>
      </w:r>
    </w:p>
    <w:p>
      <w:pPr>
        <w:pStyle w:val="Heading1"/>
      </w:pPr>
      <w:r>
        <w:t>7. Audit Logging (Audit Event Model)</w:t>
      </w:r>
    </w:p>
    <w:p>
      <w:r>
        <w:rPr>
          <w:b w:val="0"/>
          <w:i w:val="0"/>
        </w:rPr>
        <w:t>A single, shared AuditEvent model (src/Platform/Audit, per ADR-0003), consumed by every context — not one bespoke audit mechanism per context, avoiding the duplication risk flagged in Day 1's ownership-boundary notes.</w:t>
      </w:r>
    </w:p>
    <w:p>
      <w:r>
        <w:rPr>
          <w:rFonts w:ascii="Consolas" w:hAnsi="Consolas"/>
          <w:sz w:val="18"/>
        </w:rPr>
        <w:t>AuditEvent</w:t>
        <w:br/>
        <w:t>----------------------------</w:t>
        <w:br/>
        <w:t>AuditEventId        (UUID)</w:t>
        <w:br/>
        <w:t>CorrelationId        (UUID)  -- reuses API Standards v1.0/v1.1 CorrelationId, not a separate ID</w:t>
        <w:br/>
        <w:t>EventCategory         (Enum: BusinessAudit, TechnicalAudit)  -- Item 17 split</w:t>
        <w:br/>
        <w:t>EntityType            (string, e.g. "Declaration")</w:t>
        <w:br/>
        <w:t>EntityId              (UUID, nullable for pure technical events e.g. login)</w:t>
        <w:br/>
        <w:t>Action                (string, e.g. "StatusChanged", "PermissionGranted")</w:t>
        <w:br/>
        <w:t>PerformedBy           (FK to User, nullable for system-initiated actions)</w:t>
        <w:br/>
        <w:t>PerformedBySystem     (string, e.g. "SegregationEngine", when system-initiated)</w:t>
        <w:br/>
        <w:t>OccurredAt            (DateTime, UTC)</w:t>
        <w:br/>
        <w:t>BusinessRuleRef       (string, nullable -- e.g. "BR-DEC-004", ties back to PRD rule IDs per API Standards v1.0 Section 6)</w:t>
        <w:br/>
        <w:t>FieldChanges          (JSON array -- see Item 8)</w:t>
        <w:br/>
        <w:t>Classification         (Enum -- highest classification tier, Item 6, among the fields touched)</w:t>
        <w:br/>
      </w:r>
    </w:p>
    <w:p>
      <w:pPr>
        <w:pStyle w:val="Heading1"/>
      </w:pPr>
      <w:r>
        <w:t>8. Field-Level Audit</w:t>
      </w:r>
    </w:p>
    <w:p>
      <w:r>
        <w:rPr>
          <w:b w:val="0"/>
          <w:i w:val="0"/>
        </w:rPr>
        <w:t>Every field classified Confidential or Highly Confidential (Item 6) that changes value triggers a field-level audit entry within the FieldChanges array of the relevant AuditEvent.</w:t>
      </w:r>
    </w:p>
    <w:p>
      <w:r>
        <w:rPr>
          <w:rFonts w:ascii="Consolas" w:hAnsi="Consolas"/>
          <w:sz w:val="18"/>
        </w:rPr>
        <w:t>FieldChange (embedded in AuditEvent.FieldChanges)</w:t>
        <w:br/>
        <w:t>----------------------------</w:t>
        <w:br/>
        <w:t>FieldName</w:t>
        <w:br/>
        <w:t>PreviousValue      (masked per Item 12 rules if Highly Confidential, when displayed — stored value itself is not masked, only display/log output)</w:t>
        <w:br/>
        <w:t>NewValue           (same masking rule applies to display)</w:t>
        <w:br/>
      </w:r>
    </w:p>
    <w:p>
      <w:pPr>
        <w:pStyle w:val="ListBullet"/>
      </w:pPr>
      <w:r>
        <w:t>Internal/Public-classified fields are covered by the existing entity-versioning mechanisms already designed (Commodity versioning Day 2/7.11, Declaration versioning Day 2/6.10) — field-level audit specifically targets Confidential+ fields that might not otherwise trigger a full entity version (e.g. a Party contact detail update).</w:t>
      </w:r>
    </w:p>
    <w:p>
      <w:pPr>
        <w:pStyle w:val="Heading1"/>
      </w:pPr>
      <w:r>
        <w:t>9. Audit Storage</w:t>
      </w:r>
    </w:p>
    <w:p>
      <w:pPr>
        <w:pStyle w:val="ListBullet"/>
      </w:pPr>
      <w:r>
        <w:t>Append-only table(s) in PostgreSQL for MVP — no UPDATE or DELETE permitted at the database role level (enforced via a restricted DB role that the application connects with; audit writes use a separate, insert-only credential).</w:t>
      </w:r>
    </w:p>
    <w:p>
      <w:pPr>
        <w:pStyle w:val="ListBullet"/>
      </w:pPr>
      <w:r>
        <w:t>Partitioned by month (PostgreSQL native table partitioning) to keep query performance stable as volume grows toward the PRD's 500,000 shipments/day target.</w:t>
      </w:r>
    </w:p>
    <w:p>
      <w:pPr>
        <w:pStyle w:val="ListBullet"/>
      </w:pPr>
      <w:r>
        <w:t>Retention (Section 0 gap, now resolved as an explicit open item): recommend a minimum 5-year retention aligned with typical Indian customs/tax record-keeping expectations (Customs Act 1962 record-keeping practice, GST record retention norms) — flagged for your confirmation in Section 17, since the exact mandated period should be verified against current CBIC/GST rules rather than assumed.</w:t>
      </w:r>
    </w:p>
    <w:p>
      <w:pPr>
        <w:pStyle w:val="ListBullet"/>
      </w:pPr>
      <w:r>
        <w:t>Long-term archival (beyond active retention) to cold storage is a Phase 6/9 (Financial/Reporting Platform) concern, not Phase -1/0 — noted here only so it is not forgotten.</w:t>
      </w:r>
    </w:p>
    <w:p>
      <w:pPr>
        <w:pStyle w:val="Heading1"/>
      </w:pPr>
      <w:r>
        <w:t>10. Correlation &amp; Traceability</w:t>
      </w:r>
    </w:p>
    <w:p>
      <w:r>
        <w:rPr>
          <w:b w:val="0"/>
          <w:i w:val="0"/>
        </w:rPr>
        <w:t>No new mechanism — this reuses the CorrelationId already established in API Standards v1.0 Section 7 and formalized in the event envelope in v1.1 Section 3.1. The same ID threads through: the originating REST request, every internal service-to-service call (Item 4), every published domain/integration event (Day 5), every AuditEvent (Item 7), and the ICEGATE submission itself (Customs Gateway Integration context). One ID, one thread, satisfying the PRD's "Correlation ID (for integrations)" requirement (Ch.6.11/7.14/8.14) end-to-end rather than per-context.</w:t>
      </w:r>
    </w:p>
    <w:p>
      <w:pPr>
        <w:pStyle w:val="Heading1"/>
      </w:pPr>
      <w:r>
        <w:t>11. Logging Standards</w:t>
      </w:r>
    </w:p>
    <w:p>
      <w:pPr>
        <w:pStyle w:val="ListBullet"/>
      </w:pPr>
      <w:r>
        <w:t>Structured (JSON) logging throughout — matches Phase 0 Day 16 (logging-lib) and Day 26 (structured logging rollout) already planned.</w:t>
      </w:r>
    </w:p>
    <w:p>
      <w:pPr>
        <w:pStyle w:val="ListBullet"/>
      </w:pPr>
      <w:r>
        <w:t>CorrelationId on every log line, always.</w:t>
      </w:r>
    </w:p>
    <w:p>
      <w:pPr>
        <w:pStyle w:val="ListBullet"/>
      </w:pPr>
      <w:r>
        <w:t>No Confidential or Highly Confidential data (Item 6) ever appears in log bodies — log the field name and that a change occurred, not the value, for anything above Internal classification. (The AuditEvent store, Item 9, is the correct place for the actual values, with its own tighter access control — logs are for operational debugging, not a secondary audit trail.)</w:t>
      </w:r>
    </w:p>
    <w:p>
      <w:pPr>
        <w:pStyle w:val="ListBullet"/>
      </w:pPr>
      <w:r>
        <w:t>Log levels: Error/Warning always captured; Information for business-significant events (aligns with Day 5's domain events); Debug/Trace disabled in production by default, enabled per-service temporarily for troubleshooting only.</w:t>
      </w:r>
    </w:p>
    <w:p>
      <w:pPr>
        <w:pStyle w:val="Heading1"/>
      </w:pPr>
      <w:r>
        <w:t>12. Data Masking</w:t>
      </w:r>
    </w:p>
    <w:p>
      <w:r>
        <w:rPr>
          <w:b w:val="0"/>
          <w:i w:val="0"/>
        </w:rPr>
        <w:t>Applied at the API/read-model layer — the mechanism that decides what a given caller sees, never by mutating the stored value itself.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Masking Rule (in API responses / UI display)</w:t>
            </w:r>
          </w:p>
        </w:tc>
      </w:tr>
      <w:tr>
        <w:tc>
          <w:tcPr>
            <w:tcW w:type="dxa" w:w="4320"/>
          </w:tcPr>
          <w:p>
            <w:r>
              <w:t>Public / Internal</w:t>
            </w:r>
          </w:p>
        </w:tc>
        <w:tc>
          <w:tcPr>
            <w:tcW w:type="dxa" w:w="4320"/>
          </w:tcPr>
          <w:p>
            <w:r>
              <w:t>No masking</w:t>
            </w:r>
          </w:p>
        </w:tc>
      </w:tr>
      <w:tr>
        <w:tc>
          <w:tcPr>
            <w:tcW w:type="dxa" w:w="4320"/>
          </w:tcPr>
          <w:p>
            <w:r>
              <w:t>Confidential</w:t>
            </w:r>
          </w:p>
        </w:tc>
        <w:tc>
          <w:tcPr>
            <w:tcW w:type="dxa" w:w="4320"/>
          </w:tcPr>
          <w:p>
            <w:r>
              <w:t>Visible to roles with a legitimate need (Broker, Supervisor, Compliance Officer, Admin per Day 1 personas); masked in any export/report unless explicitly authorized</w:t>
            </w:r>
          </w:p>
        </w:tc>
      </w:tr>
      <w:tr>
        <w:tc>
          <w:tcPr>
            <w:tcW w:type="dxa" w:w="4320"/>
          </w:tcPr>
          <w:p>
            <w:r>
              <w:t>Highly Confidential</w:t>
            </w:r>
          </w:p>
        </w:tc>
        <w:tc>
          <w:tcPr>
            <w:tcW w:type="dxa" w:w="4320"/>
          </w:tcPr>
          <w:p>
            <w:r>
              <w:t>GSTIN/IEC/PAN: last 4 characters visible, remainder masked, by default, even to authorized roles, unless a specific "reveal" action is taken (itself a Technical Audit event, Item 17); full value only ever returned to the exact context that legally requires it (e.g. Declaration submission payload to ICEGATE)</w:t>
            </w:r>
          </w:p>
        </w:tc>
      </w:tr>
    </w:tbl>
    <w:p/>
    <w:p>
      <w:pPr>
        <w:pStyle w:val="Heading1"/>
      </w:pPr>
      <w:r>
        <w:t>13. Digital Documents</w:t>
      </w:r>
    </w:p>
    <w:p>
      <w:r>
        <w:rPr>
          <w:b w:val="0"/>
          <w:i w:val="0"/>
        </w:rPr>
        <w:t>Two distinct concerns, both real but different, and worth not conflating:</w:t>
      </w:r>
    </w:p>
    <w:p>
      <w:pPr>
        <w:pStyle w:val="ListBullet"/>
      </w:pPr>
      <w:r>
        <w:t>Document Management (Day 1 context #13): supporting documents (invoices, packing lists) attached to Shipment/Commodity/Declaration — standard secure file storage (encrypted at rest per Item 5), access-controlled per role.</w:t>
      </w:r>
    </w:p>
    <w:p>
      <w:pPr>
        <w:pStyle w:val="ListBullet"/>
      </w:pPr>
      <w:r>
        <w:t>Digital Signature for ICEGATE Submission (Section 0 gap — new standard, not previously named): the declaration payload transmitted to ICEGATE (PRD Ch.3 Stage 10) must be digitally signed for non-repudiation, using a standard consistent with Indian government e-filing requirements (typically PKI-based digital signature certificates, as used elsewhere in Indian government e-filing systems, e.g. GST/Income Tax portals). The specific certificate authority/class requirement is an ICEGATE integration detail to confirm at Phase 8 (Customs Gateway Integration), but the *standard itself* — that every submission is signed and the signature is retained alongside the submission record — is decided now.</w:t>
      </w:r>
    </w:p>
    <w:p>
      <w:pPr>
        <w:pStyle w:val="Heading1"/>
      </w:pPr>
      <w:r>
        <w:t>14. Security Headers</w:t>
      </w:r>
    </w:p>
    <w:p>
      <w:r>
        <w:rPr>
          <w:b w:val="0"/>
          <w:i w:val="0"/>
        </w:rPr>
        <w:t>Standard OWASP secure header set, enforced at the API Gateway (Phase 0, Day 22) so it applies uniformly without every context-owned service needing to remember it individually:</w:t>
      </w:r>
    </w:p>
    <w:p>
      <w:pPr>
        <w:pStyle w:val="ListBullet"/>
      </w:pPr>
      <w:r>
        <w:t>Strict-Transport-Security (HSTS)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Content-Security-Policy (scoped once a UI framework is chosen, Phase 0 Day 4 Layer)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Referrer-Policy: no-referrer or strict-origin-when-cross-origin</w:t>
      </w:r>
    </w:p>
    <w:p>
      <w:pPr>
        <w:pStyle w:val="Heading1"/>
      </w:pPr>
      <w:r>
        <w:t>15. Password Policy (Deferred, Documented as Fallback)</w:t>
      </w:r>
    </w:p>
    <w:p>
      <w:r>
        <w:rPr>
          <w:b w:val="0"/>
          <w:i w:val="0"/>
        </w:rPr>
        <w:t>No local accounts are planned for MVP — Item 1 relies entirely on OAuth2/OIDC via the Identity service, so this policy is not implemented, only documented in case a local-account fallback is ever needed (e.g. a break-glass admin account):</w:t>
      </w:r>
    </w:p>
    <w:p>
      <w:pPr>
        <w:pStyle w:val="ListBullet"/>
      </w:pPr>
      <w:r>
        <w:t>Minimum 12 characters, complexity per NIST 800-63B guidance (favor length over forced complexity rules)</w:t>
      </w:r>
    </w:p>
    <w:p>
      <w:pPr>
        <w:pStyle w:val="ListBullet"/>
      </w:pPr>
      <w:r>
        <w:t>No forced periodic rotation (per current NIST guidance, rotation-on-suspected-compromise only, not calendar-based)</w:t>
      </w:r>
    </w:p>
    <w:p>
      <w:pPr>
        <w:pStyle w:val="ListBullet"/>
      </w:pPr>
      <w:r>
        <w:t>Account lockout after 5 failed attempts, with exponential backoff</w:t>
      </w:r>
    </w:p>
    <w:p>
      <w:pPr>
        <w:pStyle w:val="ListBullet"/>
      </w:pPr>
      <w:r>
        <w:t>MFA mandatory for any local account, no exceptions</w:t>
      </w:r>
    </w:p>
    <w:p>
      <w:pPr>
        <w:pStyle w:val="Heading1"/>
      </w:pPr>
      <w:r>
        <w:t>16. Security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SAST (static analysis)</w:t>
            </w:r>
          </w:p>
        </w:tc>
        <w:tc>
          <w:tcPr>
            <w:tcW w:type="dxa" w:w="2880"/>
          </w:tcPr>
          <w:p>
            <w:r>
              <w:t>Every CI build (Phase 0, Day 12 — already planned)</w:t>
            </w:r>
          </w:p>
        </w:tc>
        <w:tc>
          <w:tcPr>
            <w:tcW w:type="dxa" w:w="2880"/>
          </w:tcPr>
          <w:p>
            <w:r>
              <w:t>Already in the Phase-wise Plan v2 quality gates</w:t>
            </w:r>
          </w:p>
        </w:tc>
      </w:tr>
      <w:tr>
        <w:tc>
          <w:tcPr>
            <w:tcW w:type="dxa" w:w="2880"/>
          </w:tcPr>
          <w:p>
            <w:r>
              <w:t>Dependency / SCA scanning (Section 0 gap)</w:t>
            </w:r>
          </w:p>
        </w:tc>
        <w:tc>
          <w:tcPr>
            <w:tcW w:type="dxa" w:w="2880"/>
          </w:tcPr>
          <w:p>
            <w:r>
              <w:t>Every CI build, distinct from SAST</w:t>
            </w:r>
          </w:p>
        </w:tc>
        <w:tc>
          <w:tcPr>
            <w:tcW w:type="dxa" w:w="2880"/>
          </w:tcPr>
          <w:p>
            <w:r>
              <w:t>Checks NuGet packages for known vulnerabilities — automatable, cheap, easy to skip if not named explicitly</w:t>
            </w:r>
          </w:p>
        </w:tc>
      </w:tr>
      <w:tr>
        <w:tc>
          <w:tcPr>
            <w:tcW w:type="dxa" w:w="2880"/>
          </w:tcPr>
          <w:p>
            <w:r>
              <w:t>DAST (dynamic analysis)</w:t>
            </w:r>
          </w:p>
        </w:tc>
        <w:tc>
          <w:tcPr>
            <w:tcW w:type="dxa" w:w="2880"/>
          </w:tcPr>
          <w:p>
            <w:r>
              <w:t>Pre-release, starting once a deployed environment exists (Phase 0 exit)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Penetration Testing</w:t>
            </w:r>
          </w:p>
        </w:tc>
        <w:tc>
          <w:tcPr>
            <w:tcW w:type="dxa" w:w="2880"/>
          </w:tcPr>
          <w:p>
            <w:r>
              <w:t>Before Phase 8 (Customs Gateway Integration / ICEGATE certification)</w:t>
            </w:r>
          </w:p>
        </w:tc>
        <w:tc>
          <w:tcPr>
            <w:tcW w:type="dxa" w:w="2880"/>
          </w:tcPr>
          <w:p>
            <w:r>
              <w:t>Government integration will likely require evidence of security testing as part of onboarding — timing this before Phase 8 avoids a late surprise</w:t>
            </w:r>
          </w:p>
        </w:tc>
      </w:tr>
      <w:tr>
        <w:tc>
          <w:tcPr>
            <w:tcW w:type="dxa" w:w="2880"/>
          </w:tcPr>
          <w:p>
            <w:r>
              <w:t>Secrets scanning (pre-commit + CI)</w:t>
            </w:r>
          </w:p>
        </w:tc>
        <w:tc>
          <w:tcPr>
            <w:tcW w:type="dxa" w:w="2880"/>
          </w:tcPr>
          <w:p>
            <w:r>
              <w:t>Every commit</w:t>
            </w:r>
          </w:p>
        </w:tc>
        <w:tc>
          <w:tcPr>
            <w:tcW w:type="dxa" w:w="2880"/>
          </w:tcPr>
          <w:p>
            <w:r>
              <w:t>Catches accidental secret commits before they reach even a private history</w:t>
            </w:r>
          </w:p>
        </w:tc>
      </w:tr>
    </w:tbl>
    <w:p/>
    <w:p>
      <w:pPr>
        <w:pStyle w:val="Heading1"/>
      </w:pPr>
      <w:r>
        <w:t>17. Compliance</w:t>
      </w:r>
    </w:p>
    <w:p>
      <w:pPr>
        <w:pStyle w:val="ListBullet"/>
      </w:pPr>
      <w:r>
        <w:t>Indian IT Act 2000 and associated rules (reasonable security practices requirement).</w:t>
      </w:r>
    </w:p>
    <w:p>
      <w:pPr>
        <w:pStyle w:val="ListBullet"/>
      </w:pPr>
      <w:r>
        <w:t>India DPDPA 2023 (Section 0 gap) — this platform is a Data Fiduciary with respect to individual importers' personal data (Day 4 Scenario B). Open item: confirm data-subject-rights handling (access/correction/erasure requests) and consent mechanics before Phase 3, when personal data processing scales beyond design scenarios.</w:t>
      </w:r>
    </w:p>
    <w:p>
      <w:pPr>
        <w:pStyle w:val="ListBullet"/>
      </w:pPr>
      <w:r>
        <w:t>CBIC/Customs record-keeping requirements (retention duration, Item 9 — open item for your confirmation).</w:t>
      </w:r>
    </w:p>
    <w:p>
      <w:pPr>
        <w:pStyle w:val="ListBullet"/>
      </w:pPr>
      <w:r>
        <w:t>The PRD's own audit requirements (Ch.6.11/7.14/8.14) — already substantially satisfied by Items 7-10 above.</w:t>
      </w:r>
    </w:p>
    <w:p>
      <w:pPr>
        <w:pStyle w:val="Heading2"/>
      </w:pPr>
      <w:r>
        <w:t>17.1 Business Audit vs Technical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Business Audit</w:t>
            </w:r>
          </w:p>
        </w:tc>
        <w:tc>
          <w:tcPr>
            <w:tcW w:type="dxa" w:w="2160"/>
          </w:tcPr>
          <w:p>
            <w:r>
              <w:t>Who did what to which business entity, and why — the "what happened to this declaration" trail</w:t>
            </w:r>
          </w:p>
        </w:tc>
        <w:tc>
          <w:tcPr>
            <w:tcW w:type="dxa" w:w="2160"/>
          </w:tcPr>
          <w:p>
            <w:r>
              <w:t>Declaration status change, Commodity value amendment, Segregation override (Day 3 DecisionTrace.IsOverride), Permit approval</w:t>
            </w:r>
          </w:p>
        </w:tc>
        <w:tc>
          <w:tcPr>
            <w:tcW w:type="dxa" w:w="2160"/>
          </w:tcPr>
          <w:p>
            <w:r>
              <w:t>Already substantially modeled via DecisionTrace (Day 3) and entity versioning (Day 2/4/6); AuditEvent (Item 7) with EventCategory=BusinessAudit unifies it</w:t>
            </w:r>
          </w:p>
        </w:tc>
      </w:tr>
      <w:tr>
        <w:tc>
          <w:tcPr>
            <w:tcW w:type="dxa" w:w="2160"/>
          </w:tcPr>
          <w:p>
            <w:r>
              <w:t>Technical Audit</w:t>
            </w:r>
          </w:p>
        </w:tc>
        <w:tc>
          <w:tcPr>
            <w:tcW w:type="dxa" w:w="2160"/>
          </w:tcPr>
          <w:p>
            <w:r>
              <w:t>System-level security events — the "who accessed/changed the system itself" trail</w:t>
            </w:r>
          </w:p>
        </w:tc>
        <w:tc>
          <w:tcPr>
            <w:tcW w:type="dxa" w:w="2160"/>
          </w:tcPr>
          <w:p>
            <w:r>
              <w:t>Login, MFA challenge, permission grant/revoke, secrets-vault access, Highly-Confidential-field "reveal" action (Item 12), configuration change</w:t>
            </w:r>
          </w:p>
        </w:tc>
        <w:tc>
          <w:tcPr>
            <w:tcW w:type="dxa" w:w="2160"/>
          </w:tcPr>
          <w:p>
            <w:r>
              <w:t>AuditEvent (Item 7) with EventCategory=TechnicalAudit; owned by Platform/Security + Platform/Audit (ADR-0003 structure)</w:t>
            </w:r>
          </w:p>
        </w:tc>
      </w:tr>
    </w:tbl>
    <w:p/>
    <w:p>
      <w:r>
        <w:rPr>
          <w:b w:val="0"/>
          <w:i/>
        </w:rPr>
        <w:t>Keeping these as one model with a category field (rather than two separate systems) avoids the duplication risk already flagged elsewhere (Day 1 Section 4.1) while still letting a business auditor and a security auditor each query only the category relevant to them.</w:t>
      </w:r>
    </w:p>
    <w:p>
      <w:pPr>
        <w:pStyle w:val="Heading1"/>
      </w:pPr>
      <w:r>
        <w:t>18. Open Items Requiring Your Confirmation</w:t>
      </w:r>
    </w:p>
    <w:p>
      <w:pPr>
        <w:pStyle w:val="ListBullet"/>
      </w:pPr>
      <w:r>
        <w:t>Exact audit/record retention duration under current CBIC/GST rules (Item 9) — recommended 5 years as a starting assumption, needs verification against current regulation text, not assumed correct.</w:t>
      </w:r>
    </w:p>
    <w:p>
      <w:pPr>
        <w:pStyle w:val="ListBullet"/>
      </w:pPr>
      <w:r>
        <w:t>DPDPA 2023 data-subject-rights handling approach (Item 17) — needs a decision before Phase 3, not before Phase -1 closes; flagged now so it is not forgotten.</w:t>
      </w:r>
    </w:p>
    <w:p>
      <w:pPr>
        <w:pStyle w:val="ListBullet"/>
      </w:pPr>
      <w:r>
        <w:t>Service-to-service auth mechanism for MVP: signed service tokens (recommended) vs. full mTLS/service mesh (Item 4) — recommendation given, awaiting your confirmation or override.</w:t>
      </w:r>
    </w:p>
    <w:p>
      <w:pPr>
        <w:pStyle w:val="ListBullet"/>
      </w:pPr>
      <w:r>
        <w:t>ICEGATE-specific digital signature certificate requirements (Item 13) — genuinely a Phase 8 integration detail, not decidable now; flagged as a forward reminder alongside the already-pending "target customs authority" confirmation from Day 1.</w:t>
      </w:r>
    </w:p>
    <w:p>
      <w:pPr>
        <w:pStyle w:val="Heading1"/>
      </w:pPr>
      <w:r>
        <w:t>19. Traceability</w:t>
      </w:r>
    </w:p>
    <w:p>
      <w:r>
        <w:rPr>
          <w:b w:val="0"/>
          <w:i/>
        </w:rPr>
        <w:t>This deliverable satisfies Day 10 of the Day-Wise Plan: "Define auth approach (JWT/OAuth2), field-level audit logging pattern, data-at-rest/in-transit encryption approach," extended per your request to cover 17 named areas plus 6 identified gaps. Deliverable produced: Security &amp; Audit Standards v1.0, above, plus adr/0004-security-audit-standards.md.</w:t>
      </w:r>
    </w:p>
    <w:p>
      <w:r>
        <w:rPr>
          <w:b w:val="0"/>
          <w:i/>
        </w:rPr>
        <w:t>This completes Phase -1, Week 2 (Days 6-10: API &amp; Coding Standards). Next: Week 3, Day 11 — CI Pipeline Setup (build, lint, unit test stages).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