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 Deliverable — Kickoff &amp; Domain Scoping</w:t>
      </w:r>
    </w:p>
    <w:p>
      <w:r>
        <w:rPr>
          <w:b/>
          <w:i w:val="0"/>
        </w:rPr>
        <w:t>Phase: Phase -1 (Architecture &amp; Engineering Preparation)</w:t>
      </w:r>
    </w:p>
    <w:p>
      <w:r>
        <w:rPr>
          <w:b w:val="0"/>
          <w:i w:val="0"/>
        </w:rPr>
        <w:t>Day: 1 of 20</w:t>
      </w:r>
    </w:p>
    <w:p>
      <w:r>
        <w:rPr>
          <w:b w:val="0"/>
          <w:i w:val="0"/>
        </w:rPr>
        <w:t>Jurisdiction: India (MVP)</w:t>
      </w:r>
    </w:p>
    <w:p>
      <w:r>
        <w:rPr>
          <w:b w:val="0"/>
          <w:i w:val="0"/>
        </w:rPr>
        <w:t>Source: CustomsClearance_PRD.docx (Chapters 1–2, scope confirmed against 22-chapter PRD structure)</w:t>
      </w:r>
    </w:p>
    <w:p>
      <w:r>
        <w:rPr>
          <w:b w:val="0"/>
          <w:i w:val="0"/>
        </w:rPr>
        <w:t>Deliverable per plan: Bounded-context map (1-page diagram + notes)</w:t>
      </w:r>
    </w:p>
    <w:p>
      <w:pPr>
        <w:pStyle w:val="Heading1"/>
      </w:pPr>
      <w:r>
        <w:t>1. MVP Scope Re-confirmed for India</w:t>
      </w:r>
    </w:p>
    <w:p>
      <w:r>
        <w:rPr>
          <w:b w:val="0"/>
          <w:i w:val="0"/>
        </w:rPr>
        <w:t>Per PRD Chapter 1 (Product Scope), the platform covers the full customs brokerage lifecycle. For the India MVP, scope is confirmed as follows:</w:t>
      </w:r>
    </w:p>
    <w:p>
      <w:pPr>
        <w:pStyle w:val="Heading2"/>
      </w:pPr>
      <w:r>
        <w:t>1.1 In Scope for India MVP</w:t>
      </w:r>
    </w:p>
    <w:p>
      <w:pPr>
        <w:pStyle w:val="ListBullet"/>
      </w:pPr>
      <w:r>
        <w:t>Shipment types: Import, Export, Domestic, Cross-border, Courier — via Air, Ocean, Road freight (Rail deferred, low near-term priority for India air/ocean-heavy brokerage volumes)</w:t>
      </w:r>
    </w:p>
    <w:p>
      <w:pPr>
        <w:pStyle w:val="ListBullet"/>
      </w:pPr>
      <w:r>
        <w:t>Brokerage operations: Shipment download/validation, Segregation, Commodity management, HS Classification (ITC-HS), Customs declaration, Duty/GST/Cess calculation, Permit management, Customs submission (ICEGATE-bound), Clearance management</w:t>
      </w:r>
    </w:p>
    <w:p>
      <w:pPr>
        <w:pStyle w:val="ListBullet"/>
      </w:pPr>
      <w:r>
        <w:t>Regulatory compliance: Restricted/controlled goods, OGA requirements, De Minimis rules, dangerous goods — scoped to Indian customs regulations (Customs Act 1962, GST regime)</w:t>
      </w:r>
    </w:p>
    <w:p>
      <w:pPr>
        <w:pStyle w:val="ListBullet"/>
      </w:pPr>
      <w:r>
        <w:t>Administration: User management, customer profiles, lookup tables, customs/exchange rates, business rules, workflow configuration, audit logs</w:t>
      </w:r>
    </w:p>
    <w:p>
      <w:pPr>
        <w:pStyle w:val="Heading2"/>
      </w:pPr>
      <w:r>
        <w:t>1.2 Deferred Beyond India MVP (per PRD "Out of Scope" + practical sequencing)</w:t>
      </w:r>
    </w:p>
    <w:p>
      <w:pPr>
        <w:pStyle w:val="ListBullet"/>
      </w:pPr>
      <w:r>
        <w:t>FTZ and Bonded shipment workflows — India-specific FTZ/SEZ rules are more complex; defer to a post-MVP phase once core Import/Export/Domestic flows are stable</w:t>
      </w:r>
    </w:p>
    <w:p>
      <w:pPr>
        <w:pStyle w:val="ListBullet"/>
      </w:pPr>
      <w:r>
        <w:t>Rail Freight — lower near-term priority</w:t>
      </w:r>
    </w:p>
    <w:p>
      <w:pPr>
        <w:pStyle w:val="ListBullet"/>
      </w:pPr>
      <w:r>
        <w:t>Multi-country tariff support — MVP is India-only; country-neutral core is preserved architecturally (per PRD design principle) but only India rules are authored initially</w:t>
      </w:r>
    </w:p>
    <w:p>
      <w:pPr>
        <w:pStyle w:val="ListBullet"/>
      </w:pPr>
      <w:r>
        <w:t>Warehouse Management, Fleet Management, Transportation Planning, Financial ERP, HR, CRM, Accounting Ledger, Procurement — explicitly out of scope per PRD Ch.1; integrate via API only, never built in-platform</w:t>
      </w:r>
    </w:p>
    <w:p>
      <w:pPr>
        <w:pStyle w:val="Heading1"/>
      </w:pPr>
      <w:r>
        <w:t>2. Bounded Contexts Identified</w:t>
      </w:r>
    </w:p>
    <w:p>
      <w:r>
        <w:rPr>
          <w:b w:val="0"/>
          <w:i w:val="0"/>
        </w:rPr>
        <w:t>Bounded contexts are derived from the PRD's Business Domain Model (Ch.2) and the module chapters (Ch.4–8+), grouped by the ownership boundaries each module chapter implies.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Bounded Context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Core Responsibility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PRD Reference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MVP Priority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Shipment Management</w:t>
            </w:r>
          </w:p>
        </w:tc>
        <w:tc>
          <w:tcPr>
            <w:tcW w:type="dxa" w:w="1728"/>
          </w:tcPr>
          <w:p>
            <w:r>
              <w:t>Owns the Shipment entity: creation, validation, lifecycle, parties, addresses, packages, indicators, events</w:t>
            </w:r>
          </w:p>
        </w:tc>
        <w:tc>
          <w:tcPr>
            <w:tcW w:type="dxa" w:w="1728"/>
          </w:tcPr>
          <w:p>
            <w:r>
              <w:t>Ch.4</w:t>
            </w:r>
          </w:p>
        </w:tc>
        <w:tc>
          <w:tcPr>
            <w:tcW w:type="dxa" w:w="1728"/>
          </w:tcPr>
          <w:p>
            <w:r>
              <w:t>V1 — foundational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Segregation Engine</w:t>
            </w:r>
          </w:p>
        </w:tc>
        <w:tc>
          <w:tcPr>
            <w:tcW w:type="dxa" w:w="1728"/>
          </w:tcPr>
          <w:p>
            <w:r>
              <w:t>Determines Clearance Type (CT) via configurable rules; drives routing to all downstream contexts</w:t>
            </w:r>
          </w:p>
        </w:tc>
        <w:tc>
          <w:tcPr>
            <w:tcW w:type="dxa" w:w="1728"/>
          </w:tcPr>
          <w:p>
            <w:r>
              <w:t>Ch.5</w:t>
            </w:r>
          </w:p>
        </w:tc>
        <w:tc>
          <w:tcPr>
            <w:tcW w:type="dxa" w:w="1728"/>
          </w:tcPr>
          <w:p>
            <w:r>
              <w:t>V1 — critical, built early against Phase 0 rules-engine skeleton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Commodity Management</w:t>
            </w:r>
          </w:p>
        </w:tc>
        <w:tc>
          <w:tcPr>
            <w:tcW w:type="dxa" w:w="1728"/>
          </w:tcPr>
          <w:p>
            <w:r>
              <w:t>Owns Commodity line items: description, valuation, quantity, splitting/merging, versioning</w:t>
            </w:r>
          </w:p>
        </w:tc>
        <w:tc>
          <w:tcPr>
            <w:tcW w:type="dxa" w:w="1728"/>
          </w:tcPr>
          <w:p>
            <w:r>
              <w:t>Ch.7</w:t>
            </w:r>
          </w:p>
        </w:tc>
        <w:tc>
          <w:tcPr>
            <w:tcW w:type="dxa" w:w="1728"/>
          </w:tcPr>
          <w:p>
            <w:r>
              <w:t>V1 — foundational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HS Classification Engine</w:t>
            </w:r>
          </w:p>
        </w:tc>
        <w:tc>
          <w:tcPr>
            <w:tcW w:type="dxa" w:w="1728"/>
          </w:tcPr>
          <w:p>
            <w:r>
              <w:t>Assigns and validates ITC-HS codes; tariff master (India); classification decision trace</w:t>
            </w:r>
          </w:p>
        </w:tc>
        <w:tc>
          <w:tcPr>
            <w:tcW w:type="dxa" w:w="1728"/>
          </w:tcPr>
          <w:p>
            <w:r>
              <w:t>Ch.8</w:t>
            </w:r>
          </w:p>
        </w:tc>
        <w:tc>
          <w:tcPr>
            <w:tcW w:type="dxa" w:w="1728"/>
          </w:tcPr>
          <w:p>
            <w:r>
              <w:t>V1 — critical, India tariff sourcing dependency (Phase 1)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Declaration Management</w:t>
            </w:r>
          </w:p>
        </w:tc>
        <w:tc>
          <w:tcPr>
            <w:tcW w:type="dxa" w:w="1728"/>
          </w:tcPr>
          <w:p>
            <w:r>
              <w:t>Owns the Declaration entity: draft/version/amend/submit lifecycle, header + commodity lines, split/consolidated declarations</w:t>
            </w:r>
          </w:p>
        </w:tc>
        <w:tc>
          <w:tcPr>
            <w:tcW w:type="dxa" w:w="1728"/>
          </w:tcPr>
          <w:p>
            <w:r>
              <w:t>Ch.6</w:t>
            </w:r>
          </w:p>
        </w:tc>
        <w:tc>
          <w:tcPr>
            <w:tcW w:type="dxa" w:w="1728"/>
          </w:tcPr>
          <w:p>
            <w:r>
              <w:t>V1 — critical, legal centerpiece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Duty &amp; Tax Engine</w:t>
            </w:r>
          </w:p>
        </w:tc>
        <w:tc>
          <w:tcPr>
            <w:tcW w:type="dxa" w:w="1728"/>
          </w:tcPr>
          <w:p>
            <w:r>
              <w:t>Calculates customs value, duty, GST, Cess, statistical value per India rules</w:t>
            </w:r>
          </w:p>
        </w:tc>
        <w:tc>
          <w:tcPr>
            <w:tcW w:type="dxa" w:w="1728"/>
          </w:tcPr>
          <w:p>
            <w:r>
              <w:t>Ch.9 (referenced, not yet detailed)</w:t>
            </w:r>
          </w:p>
        </w:tc>
        <w:tc>
          <w:tcPr>
            <w:tcW w:type="dxa" w:w="1728"/>
          </w:tcPr>
          <w:p>
            <w:r>
              <w:t>V1 — critical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Permit Management</w:t>
            </w:r>
          </w:p>
        </w:tc>
        <w:tc>
          <w:tcPr>
            <w:tcW w:type="dxa" w:w="1728"/>
          </w:tcPr>
          <w:p>
            <w:r>
              <w:t>Tracks permit requirements/status per commodity; blocks submission until approved</w:t>
            </w:r>
          </w:p>
        </w:tc>
        <w:tc>
          <w:tcPr>
            <w:tcW w:type="dxa" w:w="1728"/>
          </w:tcPr>
          <w:p>
            <w:r>
              <w:t>Ch.2, 5, 7 (module detail pending)</w:t>
            </w:r>
          </w:p>
        </w:tc>
        <w:tc>
          <w:tcPr>
            <w:tcW w:type="dxa" w:w="1728"/>
          </w:tcPr>
          <w:p>
            <w:r>
              <w:t>V1 — required wherever controlled goods apply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Compliance Engine</w:t>
            </w:r>
          </w:p>
        </w:tc>
        <w:tc>
          <w:tcPr>
            <w:tcW w:type="dxa" w:w="1728"/>
          </w:tcPr>
          <w:p>
            <w:r>
              <w:t>Screens restricted/sanctioned/controlled goods, customer warnings, licensing checks</w:t>
            </w:r>
          </w:p>
        </w:tc>
        <w:tc>
          <w:tcPr>
            <w:tcW w:type="dxa" w:w="1728"/>
          </w:tcPr>
          <w:p>
            <w:r>
              <w:t>Ch.2, 3 (module detail pending)</w:t>
            </w:r>
          </w:p>
        </w:tc>
        <w:tc>
          <w:tcPr>
            <w:tcW w:type="dxa" w:w="1728"/>
          </w:tcPr>
          <w:p>
            <w:r>
              <w:t>V1 — required for regulatory sign-off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Party / Customer Management</w:t>
            </w:r>
          </w:p>
        </w:tc>
        <w:tc>
          <w:tcPr>
            <w:tcW w:type="dxa" w:w="1728"/>
          </w:tcPr>
          <w:p>
            <w:r>
              <w:t>Owns Customer, Shipper, Consignee, Importer, Exporter, Broker profiles and compliance flags</w:t>
            </w:r>
          </w:p>
        </w:tc>
        <w:tc>
          <w:tcPr>
            <w:tcW w:type="dxa" w:w="1728"/>
          </w:tcPr>
          <w:p>
            <w:r>
              <w:t>Ch.2</w:t>
            </w:r>
          </w:p>
        </w:tc>
        <w:tc>
          <w:tcPr>
            <w:tcW w:type="dxa" w:w="1728"/>
          </w:tcPr>
          <w:p>
            <w:r>
              <w:t>V1 — foundational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Workflow Engine</w:t>
            </w:r>
          </w:p>
        </w:tc>
        <w:tc>
          <w:tcPr>
            <w:tcW w:type="dxa" w:w="1728"/>
          </w:tcPr>
          <w:p>
            <w:r>
              <w:t>Controls status transitions (CT, RAT, CUS, MAN), broker task assignment, escalation</w:t>
            </w:r>
          </w:p>
        </w:tc>
        <w:tc>
          <w:tcPr>
            <w:tcW w:type="dxa" w:w="1728"/>
          </w:tcPr>
          <w:p>
            <w:r>
              <w:t>Ch.6.9, module detail pending</w:t>
            </w:r>
          </w:p>
        </w:tc>
        <w:tc>
          <w:tcPr>
            <w:tcW w:type="dxa" w:w="1728"/>
          </w:tcPr>
          <w:p>
            <w:r>
              <w:t>V1 — needed to drive lifecycle transitions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Customs Gateway Integration</w:t>
            </w:r>
          </w:p>
        </w:tc>
        <w:tc>
          <w:tcPr>
            <w:tcW w:type="dxa" w:w="1728"/>
          </w:tcPr>
          <w:p>
            <w:r>
              <w:t>Submits declarations to ICEGATE; processes acknowledgements/responses</w:t>
            </w:r>
          </w:p>
        </w:tc>
        <w:tc>
          <w:tcPr>
            <w:tcW w:type="dxa" w:w="1728"/>
          </w:tcPr>
          <w:p>
            <w:r>
              <w:t>Ch.3, 6.13</w:t>
            </w:r>
          </w:p>
        </w:tc>
        <w:tc>
          <w:tcPr>
            <w:tcW w:type="dxa" w:w="1728"/>
          </w:tcPr>
          <w:p>
            <w:r>
              <w:t>V1 for submission; full certification is a later-phase (Phase 8) activity per the phase-wise plan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User / Org Administration</w:t>
            </w:r>
          </w:p>
        </w:tc>
        <w:tc>
          <w:tcPr>
            <w:tcW w:type="dxa" w:w="1728"/>
          </w:tcPr>
          <w:p>
            <w:r>
              <w:t>Users, roles, permissions, org structure (Broker, Supervisor, Compliance Officer, Admin)</w:t>
            </w:r>
          </w:p>
        </w:tc>
        <w:tc>
          <w:tcPr>
            <w:tcW w:type="dxa" w:w="1728"/>
          </w:tcPr>
          <w:p>
            <w:r>
              <w:t>Ch.1.7, 4.9</w:t>
            </w:r>
          </w:p>
        </w:tc>
        <w:tc>
          <w:tcPr>
            <w:tcW w:type="dxa" w:w="1728"/>
          </w:tcPr>
          <w:p>
            <w:r>
              <w:t>V1 — foundational, built in Phase 1 Enterprise Core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Document Management</w:t>
            </w:r>
          </w:p>
        </w:tc>
        <w:tc>
          <w:tcPr>
            <w:tcW w:type="dxa" w:w="1728"/>
          </w:tcPr>
          <w:p>
            <w:r>
              <w:t>Supporting documents, attachments per shipment/commodity/declaration</w:t>
            </w:r>
          </w:p>
        </w:tc>
        <w:tc>
          <w:tcPr>
            <w:tcW w:type="dxa" w:w="1728"/>
          </w:tcPr>
          <w:p>
            <w:r>
              <w:t>Ch.6.13 (referenced)</w:t>
            </w:r>
          </w:p>
        </w:tc>
        <w:tc>
          <w:tcPr>
            <w:tcW w:type="dxa" w:w="1728"/>
          </w:tcPr>
          <w:p>
            <w:r>
              <w:t>Later — minimal stub in V1, full DMS/OCR in Phase 7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Financial / Charges</w:t>
            </w:r>
          </w:p>
        </w:tc>
        <w:tc>
          <w:tcPr>
            <w:tcW w:type="dxa" w:w="1728"/>
          </w:tcPr>
          <w:p>
            <w:r>
              <w:t>Brokerage fees, billing, payment tracking (beyond duty/tax calculation itself)</w:t>
            </w:r>
          </w:p>
        </w:tc>
        <w:tc>
          <w:tcPr>
            <w:tcW w:type="dxa" w:w="1728"/>
          </w:tcPr>
          <w:p>
            <w:r>
              <w:t>Ch.6.7 references Charges; full Financial Platform is Phase 6</w:t>
            </w:r>
          </w:p>
        </w:tc>
        <w:tc>
          <w:tcPr>
            <w:tcW w:type="dxa" w:w="1728"/>
          </w:tcPr>
          <w:p>
            <w:r>
              <w:t>Later — V1 only needs charge calculation, not billing/invoicing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Reporting &amp; Analytics</w:t>
            </w:r>
          </w:p>
        </w:tc>
        <w:tc>
          <w:tcPr>
            <w:tcW w:type="dxa" w:w="1728"/>
          </w:tcPr>
          <w:p>
            <w:r>
              <w:t>KPIs, dashboards, classification/audit analytics</w:t>
            </w:r>
          </w:p>
        </w:tc>
        <w:tc>
          <w:tcPr>
            <w:tcW w:type="dxa" w:w="1728"/>
          </w:tcPr>
          <w:p>
            <w:r>
              <w:t>Ch.1.8 (Success Metrics), module detail pending</w:t>
            </w:r>
          </w:p>
        </w:tc>
        <w:tc>
          <w:tcPr>
            <w:tcW w:type="dxa" w:w="1728"/>
          </w:tcPr>
          <w:p>
            <w:r>
              <w:t>Later — Phase 9</w:t>
            </w:r>
          </w:p>
        </w:tc>
      </w:tr>
    </w:tbl>
    <w:p/>
    <w:p>
      <w:pPr>
        <w:pStyle w:val="Heading1"/>
      </w:pPr>
      <w:r>
        <w:t>3. Bounded Context Map (Diagram)</w:t>
      </w:r>
    </w:p>
    <w:p>
      <w:r>
        <w:rPr>
          <w:b w:val="0"/>
          <w:i w:val="0"/>
        </w:rPr>
        <w:t>Text-based diagram (1-page equivalent). Arrows indicate primary data/trigger flow, not ownership.</w:t>
      </w:r>
    </w:p>
    <w:p>
      <w:r>
        <w:rPr>
          <w:rFonts w:ascii="Consolas" w:hAnsi="Consolas"/>
          <w:sz w:val="18"/>
        </w:rPr>
        <w:br/>
        <w:t xml:space="preserve">                         +---------------------------+</w:t>
        <w:br/>
        <w:t xml:space="preserve">                         |  User / Org Administration |</w:t>
        <w:br/>
        <w:t xml:space="preserve">                         |  (Users, Roles, Permissions)|</w:t>
        <w:br/>
        <w:t xml:space="preserve">                         +-------------+---------------+</w:t>
        <w:br/>
        <w:t xml:space="preserve">                                       |</w:t>
        <w:br/>
        <w:t xml:space="preserve">                                       v</w:t>
        <w:br/>
        <w:t xml:space="preserve"> +----------------------+     +---------------------+     +------------------------+</w:t>
        <w:br/>
        <w:t xml:space="preserve"> | Party / Customer     |----&gt;|  Shipment Management |----&gt;|   Segregation Engine   |</w:t>
        <w:br/>
        <w:t xml:space="preserve"> | Management           |     |  (Ch.4)               |     |   (Ch.5 — CT decision) |</w:t>
        <w:br/>
        <w:t xml:space="preserve"> +----------------------+     +----------+------------+     +-----------+------------+</w:t>
        <w:br/>
        <w:t xml:space="preserve">                                          |                              |</w:t>
        <w:br/>
        <w:t xml:space="preserve">                                          v                              v</w:t>
        <w:br/>
        <w:t xml:space="preserve">                               +---------------------+       +---------------------+</w:t>
        <w:br/>
        <w:t xml:space="preserve">                               | Commodity Management |------&gt;|  HS Classification  |</w:t>
        <w:br/>
        <w:t xml:space="preserve">                               | (Ch.7)                |       |  Engine (Ch.8)      |</w:t>
        <w:br/>
        <w:t xml:space="preserve">                               +----------+------------+       +----------+----------+</w:t>
        <w:br/>
        <w:t xml:space="preserve">                                          |                              |</w:t>
        <w:br/>
        <w:t xml:space="preserve">                                          v                              v</w:t>
        <w:br/>
        <w:t xml:space="preserve">                               +---------------------+       +---------------------+</w:t>
        <w:br/>
        <w:t xml:space="preserve">                               |  Duty &amp; Tax Engine    |&lt;-----&gt;|  Permit Management  |</w:t>
        <w:br/>
        <w:t xml:space="preserve">                               |  (India: Duty/GST/Cess)|      |  (Ch.2/5/7)         |</w:t>
        <w:br/>
        <w:t xml:space="preserve">                               +----------+------------+       +----------+----------+</w:t>
        <w:br/>
        <w:t xml:space="preserve">                                          |                              |</w:t>
        <w:br/>
        <w:t xml:space="preserve">                                          v                              v</w:t>
        <w:br/>
        <w:t xml:space="preserve">                               +--------------------------------------------+</w:t>
        <w:br/>
        <w:t xml:space="preserve">                               |          Compliance Engine (screening)      |</w:t>
        <w:br/>
        <w:t xml:space="preserve">                               +---------------------+------------------------+</w:t>
        <w:br/>
        <w:t xml:space="preserve">                                                       |</w:t>
        <w:br/>
        <w:t xml:space="preserve">                                                       v</w:t>
        <w:br/>
        <w:t xml:space="preserve">                               +--------------------------------------------+</w:t>
        <w:br/>
        <w:t xml:space="preserve">                               |          Declaration Management (Ch.6)      |</w:t>
        <w:br/>
        <w:t xml:space="preserve">                               |  (legal centerpiece — draft/version/submit) |</w:t>
        <w:br/>
        <w:t xml:space="preserve">                               +---------------------+------------------------+</w:t>
        <w:br/>
        <w:t xml:space="preserve">                                                       |</w:t>
        <w:br/>
        <w:t xml:space="preserve">                                    +------------------+------------------+</w:t>
        <w:br/>
        <w:t xml:space="preserve">                                    v                                     v</w:t>
        <w:br/>
        <w:t xml:space="preserve">                       +---------------------+                +----------------------+</w:t>
        <w:br/>
        <w:t xml:space="preserve">                       |  Workflow Engine      |                | Customs Gateway       |</w:t>
        <w:br/>
        <w:t xml:space="preserve">                       |  (CT/RAT/CUS/MAN)     |                | Integration (ICEGATE) |</w:t>
        <w:br/>
        <w:t xml:space="preserve">                       +---------------------+                +----------------------+</w:t>
        <w:br/>
        <w:br/>
        <w:t xml:space="preserve">   Peripheral / Later-Phase Contexts (not in critical path for Day-1 scoping):</w:t>
        <w:br/>
        <w:t xml:space="preserve">   Document Management  |  Financial / Charges (billing)  |  Reporting &amp; Analytics</w:t>
        <w:br/>
      </w:r>
    </w:p>
    <w:p>
      <w:pPr>
        <w:pStyle w:val="Heading1"/>
      </w:pPr>
      <w:r>
        <w:t>4. Notes</w:t>
      </w:r>
    </w:p>
    <w:p>
      <w:pPr>
        <w:pStyle w:val="Heading2"/>
      </w:pPr>
      <w:r>
        <w:t>4.1 Ownership Boundaries</w:t>
      </w:r>
    </w:p>
    <w:p>
      <w:pPr>
        <w:pStyle w:val="ListBullet"/>
      </w:pPr>
      <w:r>
        <w:t>Each bounded context owns its own data and validation rules; other contexts consume via events or read models, not direct writes — per the PRD's "event-driven architecture" design principle (Ch.8 summary).</w:t>
      </w:r>
    </w:p>
    <w:p>
      <w:pPr>
        <w:pStyle w:val="ListBullet"/>
      </w:pPr>
      <w:r>
        <w:t>Segregation Engine and Compliance Engine are rule-driven and must both be built against the same configurable rules-engine skeleton (Phase 0, Days 31–35) to avoid duplicating rule infrastructure.</w:t>
      </w:r>
    </w:p>
    <w:p>
      <w:pPr>
        <w:pStyle w:val="ListBullet"/>
      </w:pPr>
      <w:r>
        <w:t>HS Classification Engine has an external hard dependency: the India ITC-HS tariff master must be sourced/licensed (flagged in the Phase-wise Plan v2 as a Phase 1 workstream) before this context can be considered functionally complete — it can be built structurally in Phase 0/1 with placeholder data.</w:t>
      </w:r>
    </w:p>
    <w:p>
      <w:pPr>
        <w:pStyle w:val="Heading2"/>
      </w:pPr>
      <w:r>
        <w:t>4.2 What Changed Going From Generic PRD to India MVP</w:t>
      </w:r>
    </w:p>
    <w:p>
      <w:pPr>
        <w:pStyle w:val="ListBullet"/>
      </w:pPr>
      <w:r>
        <w:t>FTZ and Bonded warehouse contexts are deferred — the PRD treats them as first-class shipment types, but for India MVP they add regulatory complexity (SEZ rules) without being on the critical path for a first working end-to-end flow (Import/Export/Domestic via Air/Ocean/Road).</w:t>
      </w:r>
    </w:p>
    <w:p>
      <w:pPr>
        <w:pStyle w:val="ListBullet"/>
      </w:pPr>
      <w:r>
        <w:t>Duty &amp; Tax Engine is scoped to India's specific charge types (Basic Customs Duty, IGST, Social Welfare Surcharge/Cess) rather than the generic "Duty/Excise/GST" language in the PRD — confirm exact India charge taxonomy before Duty Engine detailed design (later phase).</w:t>
      </w:r>
    </w:p>
    <w:p>
      <w:pPr>
        <w:pStyle w:val="ListBullet"/>
      </w:pPr>
      <w:r>
        <w:t>Customs Gateway Integration context is included in V1 only to the extent of submission/response structure design; actual ICEGATE certification and sandbox access is explicitly a Phase 8 activity per the phase-wise plan, and is gated on the customs-authority confirmation still pending from you.</w:t>
      </w:r>
    </w:p>
    <w:p>
      <w:pPr>
        <w:pStyle w:val="Heading2"/>
      </w:pPr>
      <w:r>
        <w:t>4.3 Open Questions for Day 4 Review</w:t>
      </w:r>
    </w:p>
    <w:p>
      <w:pPr>
        <w:pStyle w:val="ListBullet"/>
      </w:pPr>
      <w:r>
        <w:t>Confirm whether Courier shipments (PRD in-scope item) should be a variant of Shipment Management or a distinct bounded context — courier flows often have simplified/consolidated declaration rules in India.</w:t>
      </w:r>
    </w:p>
    <w:p>
      <w:pPr>
        <w:pStyle w:val="ListBullet"/>
      </w:pPr>
      <w:r>
        <w:t>Confirm India-specific De Minimis threshold and whether it differs by shipment type (courier vs. formal import) — affects Segregation Engine rule design (Day 19 spike).</w:t>
      </w:r>
    </w:p>
    <w:p>
      <w:pPr>
        <w:pStyle w:val="ListBullet"/>
      </w:pPr>
      <w:r>
        <w:t>Confirm whether Permit Management should be a standalone context or a sub-context of Compliance Engine for India MVP — the PRD models them separately (Ch.2) but they are tightly coupled for controlled goods.</w:t>
      </w:r>
    </w:p>
    <w:p>
      <w:pPr>
        <w:pStyle w:val="Heading1"/>
      </w:pPr>
      <w:r>
        <w:t>5. Traceability</w:t>
      </w:r>
    </w:p>
    <w:p>
      <w:r>
        <w:rPr>
          <w:b w:val="0"/>
          <w:i/>
        </w:rPr>
        <w:t>This deliverable satisfies Day 1 of the Day-Wise Plan: "Re-confirm MVP scope from PRD for India; list bounded contexts (Shipment, Declaration, Commodity, Party, Permit, Charges, Segregation/Rules); identify which are in v1 vs later." Deliverable produced: Bounded-context map (1-page diagram + notes), above.</w:t>
      </w:r>
    </w:p>
    <w:p>
      <w:r>
        <w:rPr>
          <w:b w:val="0"/>
          <w:i/>
        </w:rPr>
        <w:t>Next: Day 2 — Canonical Data Model, Core Entities (Shipment, Declaration, Commodity, Party), building directly on the contexts identified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