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1 Deliverable — Kickoff &amp; Domain Scoping (v2)</w:t>
      </w:r>
    </w:p>
    <w:p>
      <w:r>
        <w:rPr>
          <w:b/>
          <w:i w:val="0"/>
        </w:rPr>
        <w:t>Phase: Phase -1 (Architecture &amp; Engineering Preparation)</w:t>
      </w:r>
    </w:p>
    <w:p>
      <w:r>
        <w:rPr>
          <w:b w:val="0"/>
          <w:i w:val="0"/>
        </w:rPr>
        <w:t>Day: 1 of 20</w:t>
      </w:r>
    </w:p>
    <w:p>
      <w:r>
        <w:rPr>
          <w:b w:val="0"/>
          <w:i w:val="0"/>
        </w:rPr>
        <w:t>Jurisdiction: India (MVP)</w:t>
      </w:r>
    </w:p>
    <w:p>
      <w:r>
        <w:rPr>
          <w:b w:val="0"/>
          <w:i w:val="0"/>
        </w:rPr>
        <w:t>Source: CustomsClearance_PRD.docx (Chapters 1–2, scope confirmed against 22-chapter PRD structure) + user-added domain decisions from v1 review</w:t>
      </w:r>
    </w:p>
    <w:p>
      <w:r>
        <w:rPr>
          <w:b w:val="0"/>
          <w:i w:val="0"/>
        </w:rPr>
        <w:t>Deliverable per plan: Bounded-context map (1-page diagram + notes)</w:t>
      </w:r>
    </w:p>
    <w:p>
      <w:pPr>
        <w:pStyle w:val="Heading1"/>
      </w:pPr>
      <w:r>
        <w:t>Revision Note (v1 → v2)</w:t>
      </w:r>
    </w:p>
    <w:p>
      <w:r>
        <w:rPr>
          <w:b w:val="0"/>
          <w:i w:val="0"/>
        </w:rPr>
        <w:t>This version merges the user's v1 additions into the base document rather than carrying them as a separate Q&amp;A appendix. Changes:</w:t>
      </w:r>
    </w:p>
    <w:p>
      <w:pPr>
        <w:pStyle w:val="ListBullet"/>
      </w:pPr>
      <w:r>
        <w:t>Courier promoted from a Shipment Management sub-type to its own first-class bounded context (#16).</w:t>
      </w:r>
    </w:p>
    <w:p>
      <w:pPr>
        <w:pStyle w:val="ListBullet"/>
      </w:pPr>
      <w:r>
        <w:t>Permit Management row updated to reflect the co-deployment decision (standalone context architecturally; delivered alongside Compliance Engine for India MVP).</w:t>
      </w:r>
    </w:p>
    <w:p>
      <w:pPr>
        <w:pStyle w:val="ListBullet"/>
      </w:pPr>
      <w:r>
        <w:t>The de minimis / effective-dated regulatory rules decision moved out of "open questions" into a binding design constraint (Section 4.4), since it is now a decision, not a question — and it directly constrains the Day 19 rules-engine spike and Days 31–35 build.</w:t>
      </w:r>
    </w:p>
    <w:p>
      <w:pPr>
        <w:pStyle w:val="ListBullet"/>
      </w:pPr>
      <w:r>
        <w:t>Scope section (1.1) expanded with the added regulatory, declaration-operations, and administration items.</w:t>
      </w:r>
    </w:p>
    <w:p>
      <w:pPr>
        <w:pStyle w:val="ListBullet"/>
      </w:pPr>
      <w:r>
        <w:t>Diagram redrawn to include Courier Shipment Management and the effective-dated rules constraint on the Segregation Engine.</w:t>
      </w:r>
    </w:p>
    <w:p>
      <w:pPr>
        <w:pStyle w:val="Heading1"/>
      </w:pPr>
      <w:r>
        <w:t>1. MVP Scope Re-confirmed for India</w:t>
      </w:r>
    </w:p>
    <w:p>
      <w:r>
        <w:rPr>
          <w:b w:val="0"/>
          <w:i w:val="0"/>
        </w:rPr>
        <w:t>Per PRD Chapter 1 (Product Scope), the platform covers the full customs brokerage lifecycle. For the India MVP, scope is confirmed as follows:</w:t>
      </w:r>
    </w:p>
    <w:p>
      <w:pPr>
        <w:pStyle w:val="Heading2"/>
      </w:pPr>
      <w:r>
        <w:t>1.1 In Scope for India MVP</w:t>
      </w:r>
    </w:p>
    <w:p>
      <w:pPr>
        <w:pStyle w:val="ListBullet"/>
      </w:pPr>
      <w:r>
        <w:t>Shipment types: Import, Export, Domestic, Cross-border — via Air, Ocean, Road freight (Rail deferred, low near-term priority for India air/ocean-heavy brokerage volumes).</w:t>
      </w:r>
    </w:p>
    <w:p>
      <w:pPr>
        <w:pStyle w:val="ListBullet"/>
      </w:pPr>
      <w:r>
        <w:t>Courier shipments are handled by a dedicated Courier Shipment Management bounded context (see Section 2, #16), not as a variant of general Shipment Management, since India courier flows carry distinct simplified/consolidated declaration rules.</w:t>
      </w:r>
    </w:p>
    <w:p>
      <w:pPr>
        <w:pStyle w:val="ListBullet"/>
      </w:pPr>
      <w:r>
        <w:t>The Shipment domain shall be transport-mode agnostic: mode-specific processing is implemented through configurable workflows and business rules, not through mode-specific data models, keeping the core shipment model reusable.</w:t>
      </w:r>
    </w:p>
    <w:p>
      <w:pPr>
        <w:pStyle w:val="ListBullet"/>
      </w:pPr>
      <w:r>
        <w:t>Brokerage operations: Shipment download/validation, Segregation, Commodity management, HS Classification (ITC-HS), Customs declaration, Duty/GST/Cess calculation, Permit management, Customs submission (ICEGATE-bound), Clearance management.</w:t>
      </w:r>
    </w:p>
    <w:p>
      <w:pPr>
        <w:pStyle w:val="ListBullet"/>
      </w:pPr>
      <w:r>
        <w:t>Declaration operations — Amendment, Cancellation, Resubmission, Assessment Tracking — are operationally essential in India and are in scope for V1, not deferred.</w:t>
      </w:r>
    </w:p>
    <w:p>
      <w:pPr>
        <w:pStyle w:val="ListBullet"/>
      </w:pPr>
      <w:r>
        <w:t>Regulatory compliance: Restricted/controlled goods, OGA requirements, De Minimis rules (see Section 4.4 for design constraint), dangerous goods, Prohibited Goods, DGFT License Validation, End-use Restrictions (where applicable), Sanction Screening (basic), Regulatory Hold Management — scoped to Indian customs regulations (Customs Act 1962, GST regime, CBIC notifications).</w:t>
      </w:r>
    </w:p>
    <w:p>
      <w:pPr>
        <w:pStyle w:val="ListBullet"/>
      </w:pPr>
      <w:r>
        <w:t>Administration: User management, customer profiles, lookup tables, customs/exchange rates, business rules, workflow configuration, audit logs, Notification Templates, Business Calendars, Holiday Calendars, Organization Structure, Roles, Feature Flags, Configuration Versioning — the latter group is indispensable during UAT and production support and is confirmed in scope for V1.</w:t>
      </w:r>
    </w:p>
    <w:p>
      <w:pPr>
        <w:pStyle w:val="Heading2"/>
      </w:pPr>
      <w:r>
        <w:t>1.2 Deferred Beyond India MVP (per PRD "Out of Scope" + practical sequencing)</w:t>
      </w:r>
    </w:p>
    <w:p>
      <w:pPr>
        <w:pStyle w:val="ListBullet"/>
      </w:pPr>
      <w:r>
        <w:t>FTZ and Bonded shipment workflows — India-specific FTZ/SEZ rules are more complex; defer to a post-MVP phase once core Import/Export/Domestic flows are stable.</w:t>
      </w:r>
    </w:p>
    <w:p>
      <w:pPr>
        <w:pStyle w:val="ListBullet"/>
      </w:pPr>
      <w:r>
        <w:t>Rail Freight — lower near-term priority.</w:t>
      </w:r>
    </w:p>
    <w:p>
      <w:pPr>
        <w:pStyle w:val="ListBullet"/>
      </w:pPr>
      <w:r>
        <w:t>Multi-country tariff support — MVP is India-only; country-neutral core is preserved architecturally (per PRD design principle) but only India rules are authored initially.</w:t>
      </w:r>
    </w:p>
    <w:p>
      <w:pPr>
        <w:pStyle w:val="ListBullet"/>
      </w:pPr>
      <w:r>
        <w:t>Warehouse Management, Fleet Management, Transportation Planning, Financial ERP, HR, CRM, Accounting Ledger, Procurement — explicitly out of scope per PRD Ch.1; integrate via API only, never built in-platform.</w:t>
      </w:r>
    </w:p>
    <w:p>
      <w:pPr>
        <w:pStyle w:val="Heading1"/>
      </w:pPr>
      <w:r>
        <w:t>2. Bounded Contexts Identified</w:t>
      </w:r>
    </w:p>
    <w:p>
      <w:r>
        <w:rPr>
          <w:b w:val="0"/>
          <w:i w:val="0"/>
        </w:rPr>
        <w:t>Bounded contexts are derived from the PRD's Business Domain Model (Ch.2) and the module chapters (Ch.4–8+), grouped by the ownership boundaries each module chapter implies, and refined per user domain decisions.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Bounded Context</w:t>
            </w:r>
          </w:p>
        </w:tc>
        <w:tc>
          <w:tcPr>
            <w:tcW w:type="dxa" w:w="1728"/>
          </w:tcPr>
          <w:p>
            <w:r>
              <w:rPr>
                <w:b/>
              </w:rPr>
              <w:t>Core Responsibility</w:t>
            </w:r>
          </w:p>
        </w:tc>
        <w:tc>
          <w:tcPr>
            <w:tcW w:type="dxa" w:w="1728"/>
          </w:tcPr>
          <w:p>
            <w:r>
              <w:rPr>
                <w:b/>
              </w:rPr>
              <w:t>PRD Reference</w:t>
            </w:r>
          </w:p>
        </w:tc>
        <w:tc>
          <w:tcPr>
            <w:tcW w:type="dxa" w:w="1728"/>
          </w:tcPr>
          <w:p>
            <w:r>
              <w:rPr>
                <w:b/>
              </w:rPr>
              <w:t>MVP Priority</w:t>
            </w:r>
          </w:p>
        </w:tc>
      </w:tr>
      <w:tr>
        <w:tc>
          <w:tcPr>
            <w:tcW w:type="dxa" w:w="1728"/>
          </w:tcPr>
          <w:p>
            <w:r>
              <w:t>1</w:t>
            </w:r>
          </w:p>
        </w:tc>
        <w:tc>
          <w:tcPr>
            <w:tcW w:type="dxa" w:w="1728"/>
          </w:tcPr>
          <w:p>
            <w:r>
              <w:t>Shipment Management</w:t>
            </w:r>
          </w:p>
        </w:tc>
        <w:tc>
          <w:tcPr>
            <w:tcW w:type="dxa" w:w="1728"/>
          </w:tcPr>
          <w:p>
            <w:r>
              <w:t>Owns the Shipment entity: creation, validation, lifecycle, parties, addresses, packages, indicators, events. Transport-mode agnostic — mode differences handled via configurable workflow, not data model.</w:t>
            </w:r>
          </w:p>
        </w:tc>
        <w:tc>
          <w:tcPr>
            <w:tcW w:type="dxa" w:w="1728"/>
          </w:tcPr>
          <w:p>
            <w:r>
              <w:t>Ch.4</w:t>
            </w:r>
          </w:p>
        </w:tc>
        <w:tc>
          <w:tcPr>
            <w:tcW w:type="dxa" w:w="1728"/>
          </w:tcPr>
          <w:p>
            <w:r>
              <w:t>V1 — foundational</w:t>
            </w:r>
          </w:p>
        </w:tc>
      </w:tr>
      <w:tr>
        <w:tc>
          <w:tcPr>
            <w:tcW w:type="dxa" w:w="1728"/>
          </w:tcPr>
          <w:p>
            <w:r>
              <w:t>2</w:t>
            </w:r>
          </w:p>
        </w:tc>
        <w:tc>
          <w:tcPr>
            <w:tcW w:type="dxa" w:w="1728"/>
          </w:tcPr>
          <w:p>
            <w:r>
              <w:t>Segregation Engine</w:t>
            </w:r>
          </w:p>
        </w:tc>
        <w:tc>
          <w:tcPr>
            <w:tcW w:type="dxa" w:w="1728"/>
          </w:tcPr>
          <w:p>
            <w:r>
              <w:t>Determines Clearance Type (CT) via configurable, jurisdiction-specific, effective-dated rules; drives routing to all downstream contexts</w:t>
            </w:r>
          </w:p>
        </w:tc>
        <w:tc>
          <w:tcPr>
            <w:tcW w:type="dxa" w:w="1728"/>
          </w:tcPr>
          <w:p>
            <w:r>
              <w:t>Ch.5</w:t>
            </w:r>
          </w:p>
        </w:tc>
        <w:tc>
          <w:tcPr>
            <w:tcW w:type="dxa" w:w="1728"/>
          </w:tcPr>
          <w:p>
            <w:r>
              <w:t>V1 — critical, built early against Phase 0 rules-engine skeleton</w:t>
            </w:r>
          </w:p>
        </w:tc>
      </w:tr>
      <w:tr>
        <w:tc>
          <w:tcPr>
            <w:tcW w:type="dxa" w:w="1728"/>
          </w:tcPr>
          <w:p>
            <w:r>
              <w:t>3</w:t>
            </w:r>
          </w:p>
        </w:tc>
        <w:tc>
          <w:tcPr>
            <w:tcW w:type="dxa" w:w="1728"/>
          </w:tcPr>
          <w:p>
            <w:r>
              <w:t>Commodity Management</w:t>
            </w:r>
          </w:p>
        </w:tc>
        <w:tc>
          <w:tcPr>
            <w:tcW w:type="dxa" w:w="1728"/>
          </w:tcPr>
          <w:p>
            <w:r>
              <w:t>Owns Commodity line items: description, valuation, quantity, splitting/merging, versioning</w:t>
            </w:r>
          </w:p>
        </w:tc>
        <w:tc>
          <w:tcPr>
            <w:tcW w:type="dxa" w:w="1728"/>
          </w:tcPr>
          <w:p>
            <w:r>
              <w:t>Ch.7</w:t>
            </w:r>
          </w:p>
        </w:tc>
        <w:tc>
          <w:tcPr>
            <w:tcW w:type="dxa" w:w="1728"/>
          </w:tcPr>
          <w:p>
            <w:r>
              <w:t>V1 — foundational</w:t>
            </w:r>
          </w:p>
        </w:tc>
      </w:tr>
      <w:tr>
        <w:tc>
          <w:tcPr>
            <w:tcW w:type="dxa" w:w="1728"/>
          </w:tcPr>
          <w:p>
            <w:r>
              <w:t>4</w:t>
            </w:r>
          </w:p>
        </w:tc>
        <w:tc>
          <w:tcPr>
            <w:tcW w:type="dxa" w:w="1728"/>
          </w:tcPr>
          <w:p>
            <w:r>
              <w:t>HS Classification Engine</w:t>
            </w:r>
          </w:p>
        </w:tc>
        <w:tc>
          <w:tcPr>
            <w:tcW w:type="dxa" w:w="1728"/>
          </w:tcPr>
          <w:p>
            <w:r>
              <w:t>Assigns and validates ITC-HS codes; tariff master (India); classification decision trace</w:t>
            </w:r>
          </w:p>
        </w:tc>
        <w:tc>
          <w:tcPr>
            <w:tcW w:type="dxa" w:w="1728"/>
          </w:tcPr>
          <w:p>
            <w:r>
              <w:t>Ch.8</w:t>
            </w:r>
          </w:p>
        </w:tc>
        <w:tc>
          <w:tcPr>
            <w:tcW w:type="dxa" w:w="1728"/>
          </w:tcPr>
          <w:p>
            <w:r>
              <w:t>V1 — critical, India tariff sourcing dependency (Phase 1)</w:t>
            </w:r>
          </w:p>
        </w:tc>
      </w:tr>
      <w:tr>
        <w:tc>
          <w:tcPr>
            <w:tcW w:type="dxa" w:w="1728"/>
          </w:tcPr>
          <w:p>
            <w:r>
              <w:t>5</w:t>
            </w:r>
          </w:p>
        </w:tc>
        <w:tc>
          <w:tcPr>
            <w:tcW w:type="dxa" w:w="1728"/>
          </w:tcPr>
          <w:p>
            <w:r>
              <w:t>Declaration Management</w:t>
            </w:r>
          </w:p>
        </w:tc>
        <w:tc>
          <w:tcPr>
            <w:tcW w:type="dxa" w:w="1728"/>
          </w:tcPr>
          <w:p>
            <w:r>
              <w:t>Owns the Declaration entity: draft/version/amend/cancel/resubmit lifecycle, assessment tracking, header + commodity lines, split/consolidated declarations</w:t>
            </w:r>
          </w:p>
        </w:tc>
        <w:tc>
          <w:tcPr>
            <w:tcW w:type="dxa" w:w="1728"/>
          </w:tcPr>
          <w:p>
            <w:r>
              <w:t>Ch.6</w:t>
            </w:r>
          </w:p>
        </w:tc>
        <w:tc>
          <w:tcPr>
            <w:tcW w:type="dxa" w:w="1728"/>
          </w:tcPr>
          <w:p>
            <w:r>
              <w:t>V1 — critical, legal centerpiece</w:t>
            </w:r>
          </w:p>
        </w:tc>
      </w:tr>
      <w:tr>
        <w:tc>
          <w:tcPr>
            <w:tcW w:type="dxa" w:w="1728"/>
          </w:tcPr>
          <w:p>
            <w:r>
              <w:t>6</w:t>
            </w:r>
          </w:p>
        </w:tc>
        <w:tc>
          <w:tcPr>
            <w:tcW w:type="dxa" w:w="1728"/>
          </w:tcPr>
          <w:p>
            <w:r>
              <w:t>Duty &amp; Tax Engine</w:t>
            </w:r>
          </w:p>
        </w:tc>
        <w:tc>
          <w:tcPr>
            <w:tcW w:type="dxa" w:w="1728"/>
          </w:tcPr>
          <w:p>
            <w:r>
              <w:t>Calculates customs value, duty, GST, Cess, statistical value per India rules</w:t>
            </w:r>
          </w:p>
        </w:tc>
        <w:tc>
          <w:tcPr>
            <w:tcW w:type="dxa" w:w="1728"/>
          </w:tcPr>
          <w:p>
            <w:r>
              <w:t>Ch.9 (referenced, not yet detailed)</w:t>
            </w:r>
          </w:p>
        </w:tc>
        <w:tc>
          <w:tcPr>
            <w:tcW w:type="dxa" w:w="1728"/>
          </w:tcPr>
          <w:p>
            <w:r>
              <w:t>V1 — critical</w:t>
            </w:r>
          </w:p>
        </w:tc>
      </w:tr>
      <w:tr>
        <w:tc>
          <w:tcPr>
            <w:tcW w:type="dxa" w:w="1728"/>
          </w:tcPr>
          <w:p>
            <w:r>
              <w:t>7</w:t>
            </w:r>
          </w:p>
        </w:tc>
        <w:tc>
          <w:tcPr>
            <w:tcW w:type="dxa" w:w="1728"/>
          </w:tcPr>
          <w:p>
            <w:r>
              <w:t>Permit Management</w:t>
            </w:r>
          </w:p>
        </w:tc>
        <w:tc>
          <w:tcPr>
            <w:tcW w:type="dxa" w:w="1728"/>
          </w:tcPr>
          <w:p>
            <w:r>
              <w:t>Tracks permit and DGFT license requirements/status per commodity; blocks submission until approved. Standalone bounded context architecturally; co-delivered with Compliance Engine in the same deployable service for India MVP, separable later without redesign.</w:t>
            </w:r>
          </w:p>
        </w:tc>
        <w:tc>
          <w:tcPr>
            <w:tcW w:type="dxa" w:w="1728"/>
          </w:tcPr>
          <w:p>
            <w:r>
              <w:t>Ch.2, 5, 7 (module detail pending)</w:t>
            </w:r>
          </w:p>
        </w:tc>
        <w:tc>
          <w:tcPr>
            <w:tcW w:type="dxa" w:w="1728"/>
          </w:tcPr>
          <w:p>
            <w:r>
              <w:t>V1 — required wherever controlled goods apply</w:t>
            </w:r>
          </w:p>
        </w:tc>
      </w:tr>
      <w:tr>
        <w:tc>
          <w:tcPr>
            <w:tcW w:type="dxa" w:w="1728"/>
          </w:tcPr>
          <w:p>
            <w:r>
              <w:t>8</w:t>
            </w:r>
          </w:p>
        </w:tc>
        <w:tc>
          <w:tcPr>
            <w:tcW w:type="dxa" w:w="1728"/>
          </w:tcPr>
          <w:p>
            <w:r>
              <w:t>Compliance Engine</w:t>
            </w:r>
          </w:p>
        </w:tc>
        <w:tc>
          <w:tcPr>
            <w:tcW w:type="dxa" w:w="1728"/>
          </w:tcPr>
          <w:p>
            <w:r>
              <w:t>Screens restricted/prohibited/sanctioned/controlled goods, customer warnings, end-use restrictions, licensing checks, regulatory holds</w:t>
            </w:r>
          </w:p>
        </w:tc>
        <w:tc>
          <w:tcPr>
            <w:tcW w:type="dxa" w:w="1728"/>
          </w:tcPr>
          <w:p>
            <w:r>
              <w:t>Ch.2, 3 (module detail pending)</w:t>
            </w:r>
          </w:p>
        </w:tc>
        <w:tc>
          <w:tcPr>
            <w:tcW w:type="dxa" w:w="1728"/>
          </w:tcPr>
          <w:p>
            <w:r>
              <w:t>V1 — required for regulatory sign-off; co-deployed with Permit Management for MVP</w:t>
            </w:r>
          </w:p>
        </w:tc>
      </w:tr>
      <w:tr>
        <w:tc>
          <w:tcPr>
            <w:tcW w:type="dxa" w:w="1728"/>
          </w:tcPr>
          <w:p>
            <w:r>
              <w:t>9</w:t>
            </w:r>
          </w:p>
        </w:tc>
        <w:tc>
          <w:tcPr>
            <w:tcW w:type="dxa" w:w="1728"/>
          </w:tcPr>
          <w:p>
            <w:r>
              <w:t>Party / Customer Management</w:t>
            </w:r>
          </w:p>
        </w:tc>
        <w:tc>
          <w:tcPr>
            <w:tcW w:type="dxa" w:w="1728"/>
          </w:tcPr>
          <w:p>
            <w:r>
              <w:t>Owns Customer, Shipper, Consignee, Importer, Exporter, Broker profiles and compliance flags</w:t>
            </w:r>
          </w:p>
        </w:tc>
        <w:tc>
          <w:tcPr>
            <w:tcW w:type="dxa" w:w="1728"/>
          </w:tcPr>
          <w:p>
            <w:r>
              <w:t>Ch.2</w:t>
            </w:r>
          </w:p>
        </w:tc>
        <w:tc>
          <w:tcPr>
            <w:tcW w:type="dxa" w:w="1728"/>
          </w:tcPr>
          <w:p>
            <w:r>
              <w:t>V1 — foundational</w:t>
            </w:r>
          </w:p>
        </w:tc>
      </w:tr>
      <w:tr>
        <w:tc>
          <w:tcPr>
            <w:tcW w:type="dxa" w:w="1728"/>
          </w:tcPr>
          <w:p>
            <w:r>
              <w:t>10</w:t>
            </w:r>
          </w:p>
        </w:tc>
        <w:tc>
          <w:tcPr>
            <w:tcW w:type="dxa" w:w="1728"/>
          </w:tcPr>
          <w:p>
            <w:r>
              <w:t>Workflow Engine</w:t>
            </w:r>
          </w:p>
        </w:tc>
        <w:tc>
          <w:tcPr>
            <w:tcW w:type="dxa" w:w="1728"/>
          </w:tcPr>
          <w:p>
            <w:r>
              <w:t>Controls status transitions (CT, RAT, CUS, MAN), broker task assignment, escalation</w:t>
            </w:r>
          </w:p>
        </w:tc>
        <w:tc>
          <w:tcPr>
            <w:tcW w:type="dxa" w:w="1728"/>
          </w:tcPr>
          <w:p>
            <w:r>
              <w:t>Ch.6.9, module detail pending</w:t>
            </w:r>
          </w:p>
        </w:tc>
        <w:tc>
          <w:tcPr>
            <w:tcW w:type="dxa" w:w="1728"/>
          </w:tcPr>
          <w:p>
            <w:r>
              <w:t>V1 — needed to drive lifecycle transitions</w:t>
            </w:r>
          </w:p>
        </w:tc>
      </w:tr>
      <w:tr>
        <w:tc>
          <w:tcPr>
            <w:tcW w:type="dxa" w:w="1728"/>
          </w:tcPr>
          <w:p>
            <w:r>
              <w:t>11</w:t>
            </w:r>
          </w:p>
        </w:tc>
        <w:tc>
          <w:tcPr>
            <w:tcW w:type="dxa" w:w="1728"/>
          </w:tcPr>
          <w:p>
            <w:r>
              <w:t>Customs Gateway Integration</w:t>
            </w:r>
          </w:p>
        </w:tc>
        <w:tc>
          <w:tcPr>
            <w:tcW w:type="dxa" w:w="1728"/>
          </w:tcPr>
          <w:p>
            <w:r>
              <w:t>Submits declarations to ICEGATE; processes acknowledgements/responses</w:t>
            </w:r>
          </w:p>
        </w:tc>
        <w:tc>
          <w:tcPr>
            <w:tcW w:type="dxa" w:w="1728"/>
          </w:tcPr>
          <w:p>
            <w:r>
              <w:t>Ch.3, 6.13</w:t>
            </w:r>
          </w:p>
        </w:tc>
        <w:tc>
          <w:tcPr>
            <w:tcW w:type="dxa" w:w="1728"/>
          </w:tcPr>
          <w:p>
            <w:r>
              <w:t>V1 for submission; full certification is a later-phase (Phase 8) activity per the phase-wise plan</w:t>
            </w:r>
          </w:p>
        </w:tc>
      </w:tr>
      <w:tr>
        <w:tc>
          <w:tcPr>
            <w:tcW w:type="dxa" w:w="1728"/>
          </w:tcPr>
          <w:p>
            <w:r>
              <w:t>12</w:t>
            </w:r>
          </w:p>
        </w:tc>
        <w:tc>
          <w:tcPr>
            <w:tcW w:type="dxa" w:w="1728"/>
          </w:tcPr>
          <w:p>
            <w:r>
              <w:t>User / Org Administration</w:t>
            </w:r>
          </w:p>
        </w:tc>
        <w:tc>
          <w:tcPr>
            <w:tcW w:type="dxa" w:w="1728"/>
          </w:tcPr>
          <w:p>
            <w:r>
              <w:t>Users, roles, permissions, org structure, notification templates, business/holiday calendars, feature flags, configuration versioning</w:t>
            </w:r>
          </w:p>
        </w:tc>
        <w:tc>
          <w:tcPr>
            <w:tcW w:type="dxa" w:w="1728"/>
          </w:tcPr>
          <w:p>
            <w:r>
              <w:t>Ch.1.7, 4.9</w:t>
            </w:r>
          </w:p>
        </w:tc>
        <w:tc>
          <w:tcPr>
            <w:tcW w:type="dxa" w:w="1728"/>
          </w:tcPr>
          <w:p>
            <w:r>
              <w:t>V1 — foundational, built in Phase 1 Enterprise Core</w:t>
            </w:r>
          </w:p>
        </w:tc>
      </w:tr>
      <w:tr>
        <w:tc>
          <w:tcPr>
            <w:tcW w:type="dxa" w:w="1728"/>
          </w:tcPr>
          <w:p>
            <w:r>
              <w:t>13</w:t>
            </w:r>
          </w:p>
        </w:tc>
        <w:tc>
          <w:tcPr>
            <w:tcW w:type="dxa" w:w="1728"/>
          </w:tcPr>
          <w:p>
            <w:r>
              <w:t>Document Management</w:t>
            </w:r>
          </w:p>
        </w:tc>
        <w:tc>
          <w:tcPr>
            <w:tcW w:type="dxa" w:w="1728"/>
          </w:tcPr>
          <w:p>
            <w:r>
              <w:t>Supporting documents, attachments per shipment/commodity/declaration</w:t>
            </w:r>
          </w:p>
        </w:tc>
        <w:tc>
          <w:tcPr>
            <w:tcW w:type="dxa" w:w="1728"/>
          </w:tcPr>
          <w:p>
            <w:r>
              <w:t>Ch.6.13 (referenced)</w:t>
            </w:r>
          </w:p>
        </w:tc>
        <w:tc>
          <w:tcPr>
            <w:tcW w:type="dxa" w:w="1728"/>
          </w:tcPr>
          <w:p>
            <w:r>
              <w:t>Later — minimal stub in V1, full DMS/OCR in Phase 7</w:t>
            </w:r>
          </w:p>
        </w:tc>
      </w:tr>
      <w:tr>
        <w:tc>
          <w:tcPr>
            <w:tcW w:type="dxa" w:w="1728"/>
          </w:tcPr>
          <w:p>
            <w:r>
              <w:t>14</w:t>
            </w:r>
          </w:p>
        </w:tc>
        <w:tc>
          <w:tcPr>
            <w:tcW w:type="dxa" w:w="1728"/>
          </w:tcPr>
          <w:p>
            <w:r>
              <w:t>Financial / Charges</w:t>
            </w:r>
          </w:p>
        </w:tc>
        <w:tc>
          <w:tcPr>
            <w:tcW w:type="dxa" w:w="1728"/>
          </w:tcPr>
          <w:p>
            <w:r>
              <w:t>Brokerage fees, billing, payment tracking (beyond duty/tax calculation itself)</w:t>
            </w:r>
          </w:p>
        </w:tc>
        <w:tc>
          <w:tcPr>
            <w:tcW w:type="dxa" w:w="1728"/>
          </w:tcPr>
          <w:p>
            <w:r>
              <w:t>Ch.6.7 references Charges; full Financial Platform is Phase 6</w:t>
            </w:r>
          </w:p>
        </w:tc>
        <w:tc>
          <w:tcPr>
            <w:tcW w:type="dxa" w:w="1728"/>
          </w:tcPr>
          <w:p>
            <w:r>
              <w:t>Later — V1 only needs charge calculation, not billing/invoicing</w:t>
            </w:r>
          </w:p>
        </w:tc>
      </w:tr>
      <w:tr>
        <w:tc>
          <w:tcPr>
            <w:tcW w:type="dxa" w:w="1728"/>
          </w:tcPr>
          <w:p>
            <w:r>
              <w:t>15</w:t>
            </w:r>
          </w:p>
        </w:tc>
        <w:tc>
          <w:tcPr>
            <w:tcW w:type="dxa" w:w="1728"/>
          </w:tcPr>
          <w:p>
            <w:r>
              <w:t>Reporting &amp; Analytics</w:t>
            </w:r>
          </w:p>
        </w:tc>
        <w:tc>
          <w:tcPr>
            <w:tcW w:type="dxa" w:w="1728"/>
          </w:tcPr>
          <w:p>
            <w:r>
              <w:t>KPIs, dashboards, classification/audit analytics</w:t>
            </w:r>
          </w:p>
        </w:tc>
        <w:tc>
          <w:tcPr>
            <w:tcW w:type="dxa" w:w="1728"/>
          </w:tcPr>
          <w:p>
            <w:r>
              <w:t>Ch.1.8 (Success Metrics), module detail pending</w:t>
            </w:r>
          </w:p>
        </w:tc>
        <w:tc>
          <w:tcPr>
            <w:tcW w:type="dxa" w:w="1728"/>
          </w:tcPr>
          <w:p>
            <w:r>
              <w:t>Later — Phase 9</w:t>
            </w:r>
          </w:p>
        </w:tc>
      </w:tr>
      <w:tr>
        <w:tc>
          <w:tcPr>
            <w:tcW w:type="dxa" w:w="1728"/>
          </w:tcPr>
          <w:p>
            <w:r>
              <w:t>16</w:t>
            </w:r>
          </w:p>
        </w:tc>
        <w:tc>
          <w:tcPr>
            <w:tcW w:type="dxa" w:w="1728"/>
          </w:tcPr>
          <w:p>
            <w:r>
              <w:t>Courier Shipment Management</w:t>
            </w:r>
          </w:p>
        </w:tc>
        <w:tc>
          <w:tcPr>
            <w:tcW w:type="dxa" w:w="1728"/>
          </w:tcPr>
          <w:p>
            <w:r>
              <w:t>First-class bounded context for courier-channel shipments: simplified/consolidated declaration rules, courier-specific segregation and de minimis treatment distinct from formal cargo import</w:t>
            </w:r>
          </w:p>
        </w:tc>
        <w:tc>
          <w:tcPr>
            <w:tcW w:type="dxa" w:w="1728"/>
          </w:tcPr>
          <w:p>
            <w:r>
              <w:t>Ch.1 (Courier shipments, in-scope) + user decision</w:t>
            </w:r>
          </w:p>
        </w:tc>
        <w:tc>
          <w:tcPr>
            <w:tcW w:type="dxa" w:w="1728"/>
          </w:tcPr>
          <w:p>
            <w:r>
              <w:t>V1 — first-class context per confirmed decision, not a Shipment Management sub-type</w:t>
            </w:r>
          </w:p>
        </w:tc>
      </w:tr>
    </w:tbl>
    <w:p/>
    <w:p>
      <w:pPr>
        <w:pStyle w:val="Heading1"/>
      </w:pPr>
      <w:r>
        <w:t>3. Bounded Context Map (Diagram)</w:t>
      </w:r>
    </w:p>
    <w:p>
      <w:r>
        <w:rPr>
          <w:b w:val="0"/>
          <w:i w:val="0"/>
        </w:rPr>
        <w:t>Text-based diagram (1-page equivalent), revised to include Courier as a first-class context. Arrows indicate primary data/trigger flow, not ownership.</w:t>
      </w:r>
    </w:p>
    <w:p>
      <w:r>
        <w:rPr>
          <w:rFonts w:ascii="Consolas" w:hAnsi="Consolas"/>
          <w:sz w:val="18"/>
        </w:rPr>
        <w:br/>
        <w:t xml:space="preserve">                         +---------------------------+</w:t>
        <w:br/>
        <w:t xml:space="preserve">                         |  User / Org Administration |</w:t>
        <w:br/>
        <w:t xml:space="preserve">                         |  (Users, Roles, Permissions,|</w:t>
        <w:br/>
        <w:t xml:space="preserve">                         |   Calendars, Feature Flags) |</w:t>
        <w:br/>
        <w:t xml:space="preserve">                         +-------------+---------------+</w:t>
        <w:br/>
        <w:t xml:space="preserve">                                       |</w:t>
        <w:br/>
        <w:t xml:space="preserve">                                       v</w:t>
        <w:br/>
        <w:t xml:space="preserve"> +----------------------+     +---------------------+     +------------------------+</w:t>
        <w:br/>
        <w:t xml:space="preserve"> | Party / Customer     |----&gt;|  Shipment Management |----&gt;|   Segregation Engine   |</w:t>
        <w:br/>
        <w:t xml:space="preserve"> | Management           |     |  (Ch.4, mode-agnostic)|     |  (Ch.5 — CT decision;  |</w:t>
        <w:br/>
        <w:t xml:space="preserve"> +----------------------+     +----------+------------+     |  jurisdiction-specific,|</w:t>
        <w:br/>
        <w:t xml:space="preserve">                                          |                  |  effective-dated rules)|</w:t>
        <w:br/>
        <w:t xml:space="preserve">                               +----------+------------+     +-----------+------------+</w:t>
        <w:br/>
        <w:t xml:space="preserve">                               | Courier Shipment       |                 |</w:t>
        <w:br/>
        <w:t xml:space="preserve">                               | Management (first-class|                 |</w:t>
        <w:br/>
        <w:t xml:space="preserve">                               | per confirmed decision) |                 |</w:t>
        <w:br/>
        <w:t xml:space="preserve">                               +----------+------------+                 |</w:t>
        <w:br/>
        <w:t xml:space="preserve">                                          |                              |</w:t>
        <w:br/>
        <w:t xml:space="preserve">                                          v                              v</w:t>
        <w:br/>
        <w:t xml:space="preserve">                               +---------------------+       +---------------------+</w:t>
        <w:br/>
        <w:t xml:space="preserve">                               | Commodity Management |------&gt;|  HS Classification  |</w:t>
        <w:br/>
        <w:t xml:space="preserve">                               | (Ch.7)                |       |  Engine (Ch.8)      |</w:t>
        <w:br/>
        <w:t xml:space="preserve">                               +----------+------------+       +----------+----------+</w:t>
        <w:br/>
        <w:t xml:space="preserve">                                          |                              |</w:t>
        <w:br/>
        <w:t xml:space="preserve">                                          v                              v</w:t>
        <w:br/>
        <w:t xml:space="preserve">                               +---------------------+       +---------------------+</w:t>
        <w:br/>
        <w:t xml:space="preserve">                               |  Duty &amp; Tax Engine    |&lt;-----&gt;|  Permit Management  |</w:t>
        <w:br/>
        <w:t xml:space="preserve">                               |  (India: Duty/GST/Cess)|      |  + DGFT Licensing   |</w:t>
        <w:br/>
        <w:t xml:space="preserve">                               +----------+------------+       |  (co-deployed with  |</w:t>
        <w:br/>
        <w:t xml:space="preserve">                                          |                     |  Compliance for MVP)|</w:t>
        <w:br/>
        <w:t xml:space="preserve">                                          v                     +----------+----------+</w:t>
        <w:br/>
        <w:t xml:space="preserve">                               +--------------------------------------------+</w:t>
        <w:br/>
        <w:t xml:space="preserve">                               |          Compliance Engine (screening,      |</w:t>
        <w:br/>
        <w:t xml:space="preserve">                               |  prohibited goods, end-use, sanctions,      |</w:t>
        <w:br/>
        <w:t xml:space="preserve">                               |  regulatory holds)                          |</w:t>
        <w:br/>
        <w:t xml:space="preserve">                               +---------------------+------------------------+</w:t>
        <w:br/>
        <w:t xml:space="preserve">                                                       |</w:t>
        <w:br/>
        <w:t xml:space="preserve">                                                       v</w:t>
        <w:br/>
        <w:t xml:space="preserve">                               +--------------------------------------------+</w:t>
        <w:br/>
        <w:t xml:space="preserve">                               |          Declaration Management (Ch.6)      |</w:t>
        <w:br/>
        <w:t xml:space="preserve">                               |  draft/version/amend/cancel/resubmit/       |</w:t>
        <w:br/>
        <w:t xml:space="preserve">                               |  assessment tracking                        |</w:t>
        <w:br/>
        <w:t xml:space="preserve">                               +---------------------+------------------------+</w:t>
        <w:br/>
        <w:t xml:space="preserve">                                                       |</w:t>
        <w:br/>
        <w:t xml:space="preserve">                                    +------------------+------------------+</w:t>
        <w:br/>
        <w:t xml:space="preserve">                                    v                                     v</w:t>
        <w:br/>
        <w:t xml:space="preserve">                       +---------------------+                +----------------------+</w:t>
        <w:br/>
        <w:t xml:space="preserve">                       |  Workflow Engine      |                | Customs Gateway       |</w:t>
        <w:br/>
        <w:t xml:space="preserve">                       |  (CT/RAT/CUS/MAN)     |                | Integration (ICEGATE) |</w:t>
        <w:br/>
        <w:t xml:space="preserve">                       +---------------------+                +----------------------+</w:t>
        <w:br/>
        <w:br/>
        <w:t xml:space="preserve">   Peripheral / Later-Phase Contexts (not in critical path for Day-1 scoping):</w:t>
        <w:br/>
        <w:t xml:space="preserve">   Document Management  |  Financial / Charges (billing)  |  Reporting &amp; Analytics</w:t>
        <w:br/>
      </w:r>
    </w:p>
    <w:p>
      <w:pPr>
        <w:pStyle w:val="Heading1"/>
      </w:pPr>
      <w:r>
        <w:t>4. Notes</w:t>
      </w:r>
    </w:p>
    <w:p>
      <w:pPr>
        <w:pStyle w:val="Heading2"/>
      </w:pPr>
      <w:r>
        <w:t>4.1 Ownership Boundaries</w:t>
      </w:r>
    </w:p>
    <w:p>
      <w:pPr>
        <w:pStyle w:val="ListBullet"/>
      </w:pPr>
      <w:r>
        <w:t>Each bounded context owns its own data and validation rules; other contexts consume via events or read models, not direct writes — per the PRD's "event-driven architecture" design principle (Ch.8 summary).</w:t>
      </w:r>
    </w:p>
    <w:p>
      <w:pPr>
        <w:pStyle w:val="ListBullet"/>
      </w:pPr>
      <w:r>
        <w:t>Segregation Engine and Compliance Engine are rule-driven and must both be built against the same configurable rules-engine skeleton (Phase 0, Days 31–35) to avoid duplicating rule infrastructure.</w:t>
      </w:r>
    </w:p>
    <w:p>
      <w:pPr>
        <w:pStyle w:val="ListBullet"/>
      </w:pPr>
      <w:r>
        <w:t>HS Classification Engine has an external hard dependency: the India ITC-HS tariff master must be sourced/licensed (flagged in the Phase-wise Plan v2 as a Phase 1 workstream) before this context can be considered functionally complete — it can be built structurally in Phase 0/1 with placeholder data.</w:t>
      </w:r>
    </w:p>
    <w:p>
      <w:pPr>
        <w:pStyle w:val="Heading2"/>
      </w:pPr>
      <w:r>
        <w:t>4.2 What Changed Going From Generic PRD to India MVP</w:t>
      </w:r>
    </w:p>
    <w:p>
      <w:pPr>
        <w:pStyle w:val="ListBullet"/>
      </w:pPr>
      <w:r>
        <w:t>FTZ and Bonded warehouse contexts are deferred — the PRD treats them as first-class shipment types, but for India MVP they add regulatory complexity (SEZ rules) without being on the critical path for a first working end-to-end flow (Import/Export/Domestic via Air/Ocean/Road).</w:t>
      </w:r>
    </w:p>
    <w:p>
      <w:pPr>
        <w:pStyle w:val="ListBullet"/>
      </w:pPr>
      <w:r>
        <w:t>Duty &amp; Tax Engine is scoped to India's specific charge types (Basic Customs Duty, IGST, Social Welfare Surcharge/Cess) rather than the generic "Duty/Excise/GST" language in the PRD — confirm exact India charge taxonomy before Duty Engine detailed design (later phase).</w:t>
      </w:r>
    </w:p>
    <w:p>
      <w:pPr>
        <w:pStyle w:val="ListBullet"/>
      </w:pPr>
      <w:r>
        <w:t>Customs Gateway Integration context is included in V1 only to the extent of submission/response structure design; actual ICEGATE certification and sandbox access is explicitly a Phase 8 activity per the phase-wise plan, and is gated on the customs-authority confirmation still pending from you.</w:t>
      </w:r>
    </w:p>
    <w:p>
      <w:pPr>
        <w:pStyle w:val="ListBullet"/>
      </w:pPr>
      <w:r>
        <w:t>Courier shipments are elevated to a first-class bounded context rather than a Shipment Management sub-type (confirmed decision, Section 2 #16).</w:t>
      </w:r>
    </w:p>
    <w:p>
      <w:pPr>
        <w:pStyle w:val="ListBullet"/>
      </w:pPr>
      <w:r>
        <w:t>Permit Management retains a standalone bounded context boundary architecturally, but is co-delivered with Compliance Engine as a single deployable service for India MVP, separable later without redesign (confirmed decision).</w:t>
      </w:r>
    </w:p>
    <w:p>
      <w:pPr>
        <w:pStyle w:val="Heading2"/>
      </w:pPr>
      <w:r>
        <w:t>4.3 Design Decisions Carried Forward From v1 Review</w:t>
      </w:r>
    </w:p>
    <w:p>
      <w:r>
        <w:rPr>
          <w:b w:val="0"/>
          <w:i w:val="0"/>
        </w:rPr>
        <w:t>The following were raised as open questions in the original Day 1 draft and are now resolved as binding decisions:</w:t>
      </w:r>
    </w:p>
    <w:p>
      <w:pPr>
        <w:pStyle w:val="ListBullet"/>
      </w:pPr>
      <w:r>
        <w:t>Courier Shipment Management: first-class bounded context, not a Shipment Management sub-type.</w:t>
      </w:r>
    </w:p>
    <w:p>
      <w:pPr>
        <w:pStyle w:val="ListBullet"/>
      </w:pPr>
      <w:r>
        <w:t>Permit Management: standalone context architecturally; same deployable service as Compliance Engine for India MVP; must remain separable without redesign.</w:t>
      </w:r>
    </w:p>
    <w:p>
      <w:pPr>
        <w:pStyle w:val="ListBullet"/>
      </w:pPr>
      <w:r>
        <w:t>De minimis handling: see Section 4.4 — this is now a binding design constraint, not an open question.</w:t>
      </w:r>
    </w:p>
    <w:p>
      <w:pPr>
        <w:pStyle w:val="Heading2"/>
      </w:pPr>
      <w:r>
        <w:t>4.4 Design Constraint: De Minimis Must Not Be Hardcoded</w:t>
      </w:r>
    </w:p>
    <w:p>
      <w:r>
        <w:rPr>
          <w:b w:val="0"/>
          <w:i w:val="0"/>
        </w:rPr>
        <w:t>This is one of the most consequential design decisions for the Indian Customs Brokerage platform, because it affects the Segregation Engine, Declaration Management, Duty &amp; Tax Engine, and Workflow Engine simultaneously.</w:t>
      </w:r>
    </w:p>
    <w:p>
      <w:r>
        <w:rPr>
          <w:b w:val="0"/>
          <w:i w:val="0"/>
        </w:rPr>
        <w:t>Decision: Do not hardcode a de minimis threshold anywhere in the platform. The Segregation Engine must be designed around a jurisdiction-specific, effective-dated regulatory rules engine, because India's de minimis treatment is not a single universal value (unlike, for example, historical U.S. Section 321 treatment) and depends on multiple factors that can change via CBIC notification without a software release:</w:t>
      </w:r>
    </w:p>
    <w:p>
      <w:pPr>
        <w:pStyle w:val="ListBullet"/>
      </w:pPr>
      <w:r>
        <w:t>Import channel: Courier, Cargo (Air/Sea/Land), or Postal.</w:t>
      </w:r>
    </w:p>
    <w:p>
      <w:pPr>
        <w:pStyle w:val="ListBullet"/>
      </w:pPr>
      <w:r>
        <w:t>Import purpose: Commercial, Personal, or Gifts (where applicable).</w:t>
      </w:r>
    </w:p>
    <w:p>
      <w:pPr>
        <w:pStyle w:val="ListBullet"/>
      </w:pPr>
      <w:r>
        <w:t>Nature of importer: Individual or Business.</w:t>
      </w:r>
    </w:p>
    <w:p>
      <w:pPr>
        <w:pStyle w:val="ListBullet"/>
      </w:pPr>
      <w:r>
        <w:t>Commodity.</w:t>
      </w:r>
    </w:p>
    <w:p>
      <w:pPr>
        <w:pStyle w:val="ListBullet"/>
      </w:pPr>
      <w:r>
        <w:t>Applicable exemption notifications under current CBIC regulations.</w:t>
      </w:r>
    </w:p>
    <w:p>
      <w:r>
        <w:rPr>
          <w:b w:val="0"/>
          <w:i/>
        </w:rPr>
        <w:t>Implication: value alone must never determine the processing path. This constraint must be reflected in the Day 19 rules-engine design spike (rule conditions must support channel/purpose/importer-type/commodity/notification-effective-date as first-class inputs, not just shipment value) and in the Days 31–35 rules-engine build (effective-dating must be a core capability of the rule storage model, not an afterthought).</w:t>
      </w:r>
    </w:p>
    <w:p>
      <w:pPr>
        <w:pStyle w:val="Heading2"/>
      </w:pPr>
      <w:r>
        <w:t>4.5 Remaining Open Questions</w:t>
      </w:r>
    </w:p>
    <w:p>
      <w:r>
        <w:rPr>
          <w:b w:val="0"/>
          <w:i w:val="0"/>
        </w:rPr>
        <w:t>All three questions raised in the original draft are now resolved (Section 4.3). No open questions remain blocking Day 2. New questions may surface during Day 2's data modeling and will be logged there.</w:t>
      </w:r>
    </w:p>
    <w:p>
      <w:pPr>
        <w:pStyle w:val="Heading1"/>
      </w:pPr>
      <w:r>
        <w:t>5. Traceability</w:t>
      </w:r>
    </w:p>
    <w:p>
      <w:r>
        <w:rPr>
          <w:b w:val="0"/>
          <w:i/>
        </w:rPr>
        <w:t>This deliverable satisfies Day 1 of the Day-Wise Plan: "Re-confirm MVP scope from PRD for India; list bounded contexts (Shipment, Declaration, Commodity, Party, Permit, Charges, Segregation/Rules); identify which are in v1 vs later." Deliverable produced: Bounded-context map (1-page diagram + notes), above — now incorporating the user's v1 domain decisions.</w:t>
      </w:r>
    </w:p>
    <w:p>
      <w:r>
        <w:rPr>
          <w:b w:val="0"/>
          <w:i/>
        </w:rPr>
        <w:t>Next: Day 2 — Canonical Data Model, Core Entities (Shipment, Declaration, Commodity, Party), building directly on the 16 contexts identified here, including the effective-dated rules constraint from Section 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