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 Deliverable — Canonical Data Model: Core Entities (v0.1)</w:t>
      </w:r>
    </w:p>
    <w:p>
      <w:r>
        <w:rPr>
          <w:b/>
          <w:i w:val="0"/>
        </w:rPr>
        <w:t>Phase: Phase -1 (Architecture &amp; Engineering Preparation)</w:t>
      </w:r>
    </w:p>
    <w:p>
      <w:r>
        <w:rPr>
          <w:b w:val="0"/>
          <w:i w:val="0"/>
        </w:rPr>
        <w:t>Day: 2 of 20</w:t>
      </w:r>
    </w:p>
    <w:p>
      <w:r>
        <w:rPr>
          <w:b w:val="0"/>
          <w:i w:val="0"/>
        </w:rPr>
        <w:t>Jurisdiction: India (MVP)</w:t>
      </w:r>
    </w:p>
    <w:p>
      <w:r>
        <w:rPr>
          <w:b w:val="0"/>
          <w:i w:val="0"/>
        </w:rPr>
        <w:t>Source: CustomsClearance_PRD.docx (Ch.2 Business Domain Model, Ch.4 Shipment, Ch.6 Declaration, Ch.7 Commodity) + Day 1 bounded-context decisions (v2)</w:t>
      </w:r>
    </w:p>
    <w:p>
      <w:r>
        <w:rPr>
          <w:b w:val="0"/>
          <w:i w:val="0"/>
        </w:rPr>
        <w:t>Deliverable per plan: Draft ER diagram v0.1 (Shipment, Declaration, Commodity, Party entities)</w:t>
      </w:r>
    </w:p>
    <w:p>
      <w:pPr>
        <w:pStyle w:val="Heading1"/>
      </w:pPr>
      <w:r>
        <w:t>1. Scope of This Draft</w:t>
      </w:r>
    </w:p>
    <w:p>
      <w:r>
        <w:rPr>
          <w:b w:val="0"/>
          <w:i w:val="0"/>
        </w:rPr>
        <w:t>This is v0.1 — the four core entities only (Shipment, Declaration, Commodity, Party), attributed for India and consistent with the 16 bounded contexts from Day 1. Charges, Permits, Shipment Indicators, and the Rules/Segregation model are intentionally deferred to Day 3 per the plan, and appear here only as forward references (foreign keys / relationship stubs) so the diagram is not misleading about what connects to what.</w:t>
      </w:r>
    </w:p>
    <w:p>
      <w:pPr>
        <w:pStyle w:val="ListBullet"/>
      </w:pPr>
      <w:r>
        <w:t>Day 1 decision carried in: Shipment is transport-mode agnostic (Air/Ocean/Road) — mode lives as an attribute, not a subtype.</w:t>
      </w:r>
    </w:p>
    <w:p>
      <w:pPr>
        <w:pStyle w:val="ListBullet"/>
      </w:pPr>
      <w:r>
        <w:t>Day 1 decision carried in: Courier is a first-class bounded context — modeled as a separate CourierShipment entity sharing a common Party/Commodity/Declaration backbone, not as a Shipment subtype.</w:t>
      </w:r>
    </w:p>
    <w:p>
      <w:pPr>
        <w:pStyle w:val="ListBullet"/>
      </w:pPr>
      <w:r>
        <w:t>Day 1 decision carried in: entities must accommodate India-specific identifiers — IEC (Importer-Exporter Code), GSTIN, ITC-HS (8-digit), and DGFT license references — since these are mandatory for Indian customs filings and were not explicit in the generic PRD field lists.</w:t>
      </w:r>
    </w:p>
    <w:p>
      <w:pPr>
        <w:pStyle w:val="Heading1"/>
      </w:pPr>
      <w:r>
        <w:t>2. Entity: Party</w:t>
      </w:r>
    </w:p>
    <w:p>
      <w:r>
        <w:rPr>
          <w:b w:val="0"/>
          <w:i w:val="0"/>
        </w:rPr>
        <w:t>Represents any legal or organizational actor referenced by a Shipment or Declaration: Shipper, Consignee, Importer, Exporter, Notify Party, Customs Broker, Freight Forwarder (per PRD Ch.2.4). Modeled as a single entity with a role attribute plus a join table, rather than one table per role, so a single organization (e.g. an importer who is also a broker's client) is not duplicated.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Type</w:t>
            </w:r>
          </w:p>
        </w:tc>
        <w:tc>
          <w:tcPr>
            <w:tcW w:type="dxa" w:w="2160"/>
          </w:tcPr>
          <w:p>
            <w:r>
              <w:rPr>
                <w:b/>
              </w:rPr>
              <w:t>Required</w:t>
            </w:r>
          </w:p>
        </w:tc>
        <w:tc>
          <w:tcPr>
            <w:tcW w:type="dxa" w:w="2160"/>
          </w:tcPr>
          <w:p>
            <w:r>
              <w:rPr>
                <w:b/>
              </w:rPr>
              <w:t>India-Specific Note</w:t>
            </w:r>
          </w:p>
        </w:tc>
      </w:tr>
      <w:tr>
        <w:tc>
          <w:tcPr>
            <w:tcW w:type="dxa" w:w="2160"/>
          </w:tcPr>
          <w:p>
            <w:r>
              <w:t>PartyId</w:t>
            </w:r>
          </w:p>
        </w:tc>
        <w:tc>
          <w:tcPr>
            <w:tcW w:type="dxa" w:w="2160"/>
          </w:tcPr>
          <w:p>
            <w:r>
              <w:t>UUID</w:t>
            </w:r>
          </w:p>
        </w:tc>
        <w:tc>
          <w:tcPr>
            <w:tcW w:type="dxa" w:w="2160"/>
          </w:tcPr>
          <w:p>
            <w:r>
              <w:t>Yes</w:t>
            </w:r>
          </w:p>
        </w:tc>
        <w:tc>
          <w:tcPr>
            <w:tcW w:type="dxa" w:w="2160"/>
          </w:tcPr>
          <w:p>
            <w:r>
              <w:t>System identifier</w:t>
            </w:r>
          </w:p>
        </w:tc>
      </w:tr>
      <w:tr>
        <w:tc>
          <w:tcPr>
            <w:tcW w:type="dxa" w:w="2160"/>
          </w:tcPr>
          <w:p>
            <w:r>
              <w:t>PartyName</w:t>
            </w:r>
          </w:p>
        </w:tc>
        <w:tc>
          <w:tcPr>
            <w:tcW w:type="dxa" w:w="2160"/>
          </w:tcPr>
          <w:p>
            <w:r>
              <w:t>String</w:t>
            </w:r>
          </w:p>
        </w:tc>
        <w:tc>
          <w:tcPr>
            <w:tcW w:type="dxa" w:w="2160"/>
          </w:tcPr>
          <w:p>
            <w:r>
              <w:t>Yes</w:t>
            </w:r>
          </w:p>
        </w:tc>
        <w:tc>
          <w:tcPr>
            <w:tcW w:type="dxa" w:w="2160"/>
          </w:tcPr>
          <w:p>
            <w:r/>
          </w:p>
        </w:tc>
      </w:tr>
      <w:tr>
        <w:tc>
          <w:tcPr>
            <w:tcW w:type="dxa" w:w="2160"/>
          </w:tcPr>
          <w:p>
            <w:r>
              <w:t>PartyType</w:t>
            </w:r>
          </w:p>
        </w:tc>
        <w:tc>
          <w:tcPr>
            <w:tcW w:type="dxa" w:w="2160"/>
          </w:tcPr>
          <w:p>
            <w:r>
              <w:t>Enum</w:t>
            </w:r>
          </w:p>
        </w:tc>
        <w:tc>
          <w:tcPr>
            <w:tcW w:type="dxa" w:w="2160"/>
          </w:tcPr>
          <w:p>
            <w:r>
              <w:t>Yes</w:t>
            </w:r>
          </w:p>
        </w:tc>
        <w:tc>
          <w:tcPr>
            <w:tcW w:type="dxa" w:w="2160"/>
          </w:tcPr>
          <w:p>
            <w:r>
              <w:t>Shipper, Consignee, Importer, Exporter, NotifyParty, CustomsBroker, FreightForwarder</w:t>
            </w:r>
          </w:p>
        </w:tc>
      </w:tr>
      <w:tr>
        <w:tc>
          <w:tcPr>
            <w:tcW w:type="dxa" w:w="2160"/>
          </w:tcPr>
          <w:p>
            <w:r>
              <w:t>Country</w:t>
            </w:r>
          </w:p>
        </w:tc>
        <w:tc>
          <w:tcPr>
            <w:tcW w:type="dxa" w:w="2160"/>
          </w:tcPr>
          <w:p>
            <w:r>
              <w:t>Country Code</w:t>
            </w:r>
          </w:p>
        </w:tc>
        <w:tc>
          <w:tcPr>
            <w:tcW w:type="dxa" w:w="2160"/>
          </w:tcPr>
          <w:p>
            <w:r>
              <w:t>Yes</w:t>
            </w:r>
          </w:p>
        </w:tc>
        <w:tc>
          <w:tcPr>
            <w:tcW w:type="dxa" w:w="2160"/>
          </w:tcPr>
          <w:p>
            <w:r/>
          </w:p>
        </w:tc>
      </w:tr>
      <w:tr>
        <w:tc>
          <w:tcPr>
            <w:tcW w:type="dxa" w:w="2160"/>
          </w:tcPr>
          <w:p>
            <w:r>
              <w:t>Address</w:t>
            </w:r>
          </w:p>
        </w:tc>
        <w:tc>
          <w:tcPr>
            <w:tcW w:type="dxa" w:w="2160"/>
          </w:tcPr>
          <w:p>
            <w:r>
              <w:t>Composite (Line1-3, City, State, PIN, Country)</w:t>
            </w:r>
          </w:p>
        </w:tc>
        <w:tc>
          <w:tcPr>
            <w:tcW w:type="dxa" w:w="2160"/>
          </w:tcPr>
          <w:p>
            <w:r>
              <w:t>Yes</w:t>
            </w:r>
          </w:p>
        </w:tc>
        <w:tc>
          <w:tcPr>
            <w:tcW w:type="dxa" w:w="2160"/>
          </w:tcPr>
          <w:p>
            <w:r>
              <w:t>PIN Code mandatory for India-domestic parties</w:t>
            </w:r>
          </w:p>
        </w:tc>
      </w:tr>
      <w:tr>
        <w:tc>
          <w:tcPr>
            <w:tcW w:type="dxa" w:w="2160"/>
          </w:tcPr>
          <w:p>
            <w:r>
              <w:t>GSTIN</w:t>
            </w:r>
          </w:p>
        </w:tc>
        <w:tc>
          <w:tcPr>
            <w:tcW w:type="dxa" w:w="2160"/>
          </w:tcPr>
          <w:p>
            <w:r>
              <w:t>String(15)</w:t>
            </w:r>
          </w:p>
        </w:tc>
        <w:tc>
          <w:tcPr>
            <w:tcW w:type="dxa" w:w="2160"/>
          </w:tcPr>
          <w:p>
            <w:r>
              <w:t>Conditional</w:t>
            </w:r>
          </w:p>
        </w:tc>
        <w:tc>
          <w:tcPr>
            <w:tcW w:type="dxa" w:w="2160"/>
          </w:tcPr>
          <w:p>
            <w:r>
              <w:t>Mandatory for Indian business parties (importer/exporter/broker); format-validated (15-char alphanumeric)</w:t>
            </w:r>
          </w:p>
        </w:tc>
      </w:tr>
      <w:tr>
        <w:tc>
          <w:tcPr>
            <w:tcW w:type="dxa" w:w="2160"/>
          </w:tcPr>
          <w:p>
            <w:r>
              <w:t>IEC</w:t>
            </w:r>
          </w:p>
        </w:tc>
        <w:tc>
          <w:tcPr>
            <w:tcW w:type="dxa" w:w="2160"/>
          </w:tcPr>
          <w:p>
            <w:r>
              <w:t>String(10)</w:t>
            </w:r>
          </w:p>
        </w:tc>
        <w:tc>
          <w:tcPr>
            <w:tcW w:type="dxa" w:w="2160"/>
          </w:tcPr>
          <w:p>
            <w:r>
              <w:t>Conditional</w:t>
            </w:r>
          </w:p>
        </w:tc>
        <w:tc>
          <w:tcPr>
            <w:tcW w:type="dxa" w:w="2160"/>
          </w:tcPr>
          <w:p>
            <w:r>
              <w:t>Importer-Exporter Code — mandatory for Indian Importer/Exporter parties on formal declarations; issued by DGFT</w:t>
            </w:r>
          </w:p>
        </w:tc>
      </w:tr>
      <w:tr>
        <w:tc>
          <w:tcPr>
            <w:tcW w:type="dxa" w:w="2160"/>
          </w:tcPr>
          <w:p>
            <w:r>
              <w:t>PAN</w:t>
            </w:r>
          </w:p>
        </w:tc>
        <w:tc>
          <w:tcPr>
            <w:tcW w:type="dxa" w:w="2160"/>
          </w:tcPr>
          <w:p>
            <w:r>
              <w:t>String(10)</w:t>
            </w:r>
          </w:p>
        </w:tc>
        <w:tc>
          <w:tcPr>
            <w:tcW w:type="dxa" w:w="2160"/>
          </w:tcPr>
          <w:p>
            <w:r>
              <w:t>Conditional</w:t>
            </w:r>
          </w:p>
        </w:tc>
        <w:tc>
          <w:tcPr>
            <w:tcW w:type="dxa" w:w="2160"/>
          </w:tcPr>
          <w:p>
            <w:r>
              <w:t>Income Tax PAN — required where GSTIN is not available (e.g. certain individual importers)</w:t>
            </w:r>
          </w:p>
        </w:tc>
      </w:tr>
      <w:tr>
        <w:tc>
          <w:tcPr>
            <w:tcW w:type="dxa" w:w="2160"/>
          </w:tcPr>
          <w:p>
            <w:r>
              <w:t>TaxRegistration</w:t>
            </w:r>
          </w:p>
        </w:tc>
        <w:tc>
          <w:tcPr>
            <w:tcW w:type="dxa" w:w="2160"/>
          </w:tcPr>
          <w:p>
            <w:r>
              <w:t>String</w:t>
            </w:r>
          </w:p>
        </w:tc>
        <w:tc>
          <w:tcPr>
            <w:tcW w:type="dxa" w:w="2160"/>
          </w:tcPr>
          <w:p>
            <w:r>
              <w:t>No</w:t>
            </w:r>
          </w:p>
        </w:tc>
        <w:tc>
          <w:tcPr>
            <w:tcW w:type="dxa" w:w="2160"/>
          </w:tcPr>
          <w:p>
            <w:r>
              <w:t>Generic tax reg. for non-Indian parties (kept for country-neutral core)</w:t>
            </w:r>
          </w:p>
        </w:tc>
      </w:tr>
      <w:tr>
        <w:tc>
          <w:tcPr>
            <w:tcW w:type="dxa" w:w="2160"/>
          </w:tcPr>
          <w:p>
            <w:r>
              <w:t>CustomsRegistration</w:t>
            </w:r>
          </w:p>
        </w:tc>
        <w:tc>
          <w:tcPr>
            <w:tcW w:type="dxa" w:w="2160"/>
          </w:tcPr>
          <w:p>
            <w:r>
              <w:t>String</w:t>
            </w:r>
          </w:p>
        </w:tc>
        <w:tc>
          <w:tcPr>
            <w:tcW w:type="dxa" w:w="2160"/>
          </w:tcPr>
          <w:p>
            <w:r>
              <w:t>No</w:t>
            </w:r>
          </w:p>
        </w:tc>
        <w:tc>
          <w:tcPr>
            <w:tcW w:type="dxa" w:w="2160"/>
          </w:tcPr>
          <w:p>
            <w:r>
              <w:t>e.g. broker license number</w:t>
            </w:r>
          </w:p>
        </w:tc>
      </w:tr>
      <w:tr>
        <w:tc>
          <w:tcPr>
            <w:tcW w:type="dxa" w:w="2160"/>
          </w:tcPr>
          <w:p>
            <w:r>
              <w:t>ContactInfo</w:t>
            </w:r>
          </w:p>
        </w:tc>
        <w:tc>
          <w:tcPr>
            <w:tcW w:type="dxa" w:w="2160"/>
          </w:tcPr>
          <w:p>
            <w:r>
              <w:t>Composite (Phone, Email)</w:t>
            </w:r>
          </w:p>
        </w:tc>
        <w:tc>
          <w:tcPr>
            <w:tcW w:type="dxa" w:w="2160"/>
          </w:tcPr>
          <w:p>
            <w:r>
              <w:t>No</w:t>
            </w:r>
          </w:p>
        </w:tc>
        <w:tc>
          <w:tcPr>
            <w:tcW w:type="dxa" w:w="2160"/>
          </w:tcPr>
          <w:p>
            <w:r/>
          </w:p>
        </w:tc>
      </w:tr>
      <w:tr>
        <w:tc>
          <w:tcPr>
            <w:tcW w:type="dxa" w:w="2160"/>
          </w:tcPr>
          <w:p>
            <w:r>
              <w:t>ComplianceFlags</w:t>
            </w:r>
          </w:p>
        </w:tc>
        <w:tc>
          <w:tcPr>
            <w:tcW w:type="dxa" w:w="2160"/>
          </w:tcPr>
          <w:p>
            <w:r>
              <w:t>Collection</w:t>
            </w:r>
          </w:p>
        </w:tc>
        <w:tc>
          <w:tcPr>
            <w:tcW w:type="dxa" w:w="2160"/>
          </w:tcPr>
          <w:p>
            <w:r>
              <w:t>No</w:t>
            </w:r>
          </w:p>
        </w:tc>
        <w:tc>
          <w:tcPr>
            <w:tcW w:type="dxa" w:w="2160"/>
          </w:tcPr>
          <w:p>
            <w:r>
              <w:t>Forward reference — populated by Compliance Engine (Day 3+)</w:t>
            </w:r>
          </w:p>
        </w:tc>
      </w:tr>
      <w:tr>
        <w:tc>
          <w:tcPr>
            <w:tcW w:type="dxa" w:w="2160"/>
          </w:tcPr>
          <w:p>
            <w:r>
              <w:t>CustomerWarnings</w:t>
            </w:r>
          </w:p>
        </w:tc>
        <w:tc>
          <w:tcPr>
            <w:tcW w:type="dxa" w:w="2160"/>
          </w:tcPr>
          <w:p>
            <w:r>
              <w:t>Collection</w:t>
            </w:r>
          </w:p>
        </w:tc>
        <w:tc>
          <w:tcPr>
            <w:tcW w:type="dxa" w:w="2160"/>
          </w:tcPr>
          <w:p>
            <w:r>
              <w:t>No</w:t>
            </w:r>
          </w:p>
        </w:tc>
        <w:tc>
          <w:tcPr>
            <w:tcW w:type="dxa" w:w="2160"/>
          </w:tcPr>
          <w:p>
            <w:r>
              <w:t>Forward reference — per PRD Ch.2.10, populated by Compliance Engine</w:t>
            </w:r>
          </w:p>
        </w:tc>
      </w:tr>
      <w:tr>
        <w:tc>
          <w:tcPr>
            <w:tcW w:type="dxa" w:w="2160"/>
          </w:tcPr>
          <w:p>
            <w:r>
              <w:t>CreatedAt / UpdatedAt</w:t>
            </w:r>
          </w:p>
        </w:tc>
        <w:tc>
          <w:tcPr>
            <w:tcW w:type="dxa" w:w="2160"/>
          </w:tcPr>
          <w:p>
            <w:r>
              <w:t>DateTime</w:t>
            </w:r>
          </w:p>
        </w:tc>
        <w:tc>
          <w:tcPr>
            <w:tcW w:type="dxa" w:w="2160"/>
          </w:tcPr>
          <w:p>
            <w:r>
              <w:t>Yes</w:t>
            </w:r>
          </w:p>
        </w:tc>
        <w:tc>
          <w:tcPr>
            <w:tcW w:type="dxa" w:w="2160"/>
          </w:tcPr>
          <w:p>
            <w:r>
              <w:t>Audit timestamps</w:t>
            </w:r>
          </w:p>
        </w:tc>
      </w:tr>
    </w:tbl>
    <w:p/>
    <w:p>
      <w:pPr>
        <w:pStyle w:val="Heading1"/>
      </w:pPr>
      <w:r>
        <w:t>3. Entity: Shipment</w:t>
      </w:r>
    </w:p>
    <w:p>
      <w:r>
        <w:rPr>
          <w:b w:val="0"/>
          <w:i w:val="0"/>
        </w:rPr>
        <w:t>The primary business object for non-courier shipments (Air/Ocean/Road, Import/Export/Domestic/Cross-border). Mode-agnostic per Day 1 decision.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Type</w:t>
            </w:r>
          </w:p>
        </w:tc>
        <w:tc>
          <w:tcPr>
            <w:tcW w:type="dxa" w:w="2160"/>
          </w:tcPr>
          <w:p>
            <w:r>
              <w:rPr>
                <w:b/>
              </w:rPr>
              <w:t>Required</w:t>
            </w:r>
          </w:p>
        </w:tc>
        <w:tc>
          <w:tcPr>
            <w:tcW w:type="dxa" w:w="2160"/>
          </w:tcPr>
          <w:p>
            <w:r>
              <w:rPr>
                <w:b/>
              </w:rPr>
              <w:t>India-Specific Note</w:t>
            </w:r>
          </w:p>
        </w:tc>
      </w:tr>
      <w:tr>
        <w:tc>
          <w:tcPr>
            <w:tcW w:type="dxa" w:w="2160"/>
          </w:tcPr>
          <w:p>
            <w:r>
              <w:t>ShipmentId</w:t>
            </w:r>
          </w:p>
        </w:tc>
        <w:tc>
          <w:tcPr>
            <w:tcW w:type="dxa" w:w="2160"/>
          </w:tcPr>
          <w:p>
            <w:r>
              <w:t>UUID</w:t>
            </w:r>
          </w:p>
        </w:tc>
        <w:tc>
          <w:tcPr>
            <w:tcW w:type="dxa" w:w="2160"/>
          </w:tcPr>
          <w:p>
            <w:r>
              <w:t>Yes</w:t>
            </w:r>
          </w:p>
        </w:tc>
        <w:tc>
          <w:tcPr>
            <w:tcW w:type="dxa" w:w="2160"/>
          </w:tcPr>
          <w:p>
            <w:r>
              <w:t>System identifier</w:t>
            </w:r>
          </w:p>
        </w:tc>
      </w:tr>
      <w:tr>
        <w:tc>
          <w:tcPr>
            <w:tcW w:type="dxa" w:w="2160"/>
          </w:tcPr>
          <w:p>
            <w:r>
              <w:t>ShipmentNumber</w:t>
            </w:r>
          </w:p>
        </w:tc>
        <w:tc>
          <w:tcPr>
            <w:tcW w:type="dxa" w:w="2160"/>
          </w:tcPr>
          <w:p>
            <w:r>
              <w:t>String</w:t>
            </w:r>
          </w:p>
        </w:tc>
        <w:tc>
          <w:tcPr>
            <w:tcW w:type="dxa" w:w="2160"/>
          </w:tcPr>
          <w:p>
            <w:r>
              <w:t>Yes</w:t>
            </w:r>
          </w:p>
        </w:tc>
        <w:tc>
          <w:tcPr>
            <w:tcW w:type="dxa" w:w="2160"/>
          </w:tcPr>
          <w:p>
            <w:r>
              <w:t>Unique, system-generated (BR-SHP-001)</w:t>
            </w:r>
          </w:p>
        </w:tc>
      </w:tr>
      <w:tr>
        <w:tc>
          <w:tcPr>
            <w:tcW w:type="dxa" w:w="2160"/>
          </w:tcPr>
          <w:p>
            <w:r>
              <w:t>ShipmentDirection</w:t>
            </w:r>
          </w:p>
        </w:tc>
        <w:tc>
          <w:tcPr>
            <w:tcW w:type="dxa" w:w="2160"/>
          </w:tcPr>
          <w:p>
            <w:r>
              <w:t>Enum</w:t>
            </w:r>
          </w:p>
        </w:tc>
        <w:tc>
          <w:tcPr>
            <w:tcW w:type="dxa" w:w="2160"/>
          </w:tcPr>
          <w:p>
            <w:r>
              <w:t>Yes</w:t>
            </w:r>
          </w:p>
        </w:tc>
        <w:tc>
          <w:tcPr>
            <w:tcW w:type="dxa" w:w="2160"/>
          </w:tcPr>
          <w:p>
            <w:r>
              <w:t>Import, Export, Domestic, CrossBorder</w:t>
            </w:r>
          </w:p>
        </w:tc>
      </w:tr>
      <w:tr>
        <w:tc>
          <w:tcPr>
            <w:tcW w:type="dxa" w:w="2160"/>
          </w:tcPr>
          <w:p>
            <w:r>
              <w:t>TransportMode</w:t>
            </w:r>
          </w:p>
        </w:tc>
        <w:tc>
          <w:tcPr>
            <w:tcW w:type="dxa" w:w="2160"/>
          </w:tcPr>
          <w:p>
            <w:r>
              <w:t>Enum</w:t>
            </w:r>
          </w:p>
        </w:tc>
        <w:tc>
          <w:tcPr>
            <w:tcW w:type="dxa" w:w="2160"/>
          </w:tcPr>
          <w:p>
            <w:r>
              <w:t>Yes</w:t>
            </w:r>
          </w:p>
        </w:tc>
        <w:tc>
          <w:tcPr>
            <w:tcW w:type="dxa" w:w="2160"/>
          </w:tcPr>
          <w:p>
            <w:r>
              <w:t>Air, Ocean, Road (Rail deferred) — attribute, not subtype, per Day 1</w:t>
            </w:r>
          </w:p>
        </w:tc>
      </w:tr>
      <w:tr>
        <w:tc>
          <w:tcPr>
            <w:tcW w:type="dxa" w:w="2160"/>
          </w:tcPr>
          <w:p>
            <w:r>
              <w:t>MAWB_BL_Number</w:t>
            </w:r>
          </w:p>
        </w:tc>
        <w:tc>
          <w:tcPr>
            <w:tcW w:type="dxa" w:w="2160"/>
          </w:tcPr>
          <w:p>
            <w:r>
              <w:t>String</w:t>
            </w:r>
          </w:p>
        </w:tc>
        <w:tc>
          <w:tcPr>
            <w:tcW w:type="dxa" w:w="2160"/>
          </w:tcPr>
          <w:p>
            <w:r>
              <w:t>Yes</w:t>
            </w:r>
          </w:p>
        </w:tc>
        <w:tc>
          <w:tcPr>
            <w:tcW w:type="dxa" w:w="2160"/>
          </w:tcPr>
          <w:p>
            <w:r>
              <w:t>Master transport document (Master AWB / Bill of Lading)</w:t>
            </w:r>
          </w:p>
        </w:tc>
      </w:tr>
      <w:tr>
        <w:tc>
          <w:tcPr>
            <w:tcW w:type="dxa" w:w="2160"/>
          </w:tcPr>
          <w:p>
            <w:r>
              <w:t>HAWB_HBL_Number</w:t>
            </w:r>
          </w:p>
        </w:tc>
        <w:tc>
          <w:tcPr>
            <w:tcW w:type="dxa" w:w="2160"/>
          </w:tcPr>
          <w:p>
            <w:r>
              <w:t>String</w:t>
            </w:r>
          </w:p>
        </w:tc>
        <w:tc>
          <w:tcPr>
            <w:tcW w:type="dxa" w:w="2160"/>
          </w:tcPr>
          <w:p>
            <w:r>
              <w:t>No</w:t>
            </w:r>
          </w:p>
        </w:tc>
        <w:tc>
          <w:tcPr>
            <w:tcW w:type="dxa" w:w="2160"/>
          </w:tcPr>
          <w:p>
            <w:r>
              <w:t>House transport document</w:t>
            </w:r>
          </w:p>
        </w:tc>
      </w:tr>
      <w:tr>
        <w:tc>
          <w:tcPr>
            <w:tcW w:type="dxa" w:w="2160"/>
          </w:tcPr>
          <w:p>
            <w:r>
              <w:t>Carrier</w:t>
            </w:r>
          </w:p>
        </w:tc>
        <w:tc>
          <w:tcPr>
            <w:tcW w:type="dxa" w:w="2160"/>
          </w:tcPr>
          <w:p>
            <w:r>
              <w:t>String</w:t>
            </w:r>
          </w:p>
        </w:tc>
        <w:tc>
          <w:tcPr>
            <w:tcW w:type="dxa" w:w="2160"/>
          </w:tcPr>
          <w:p>
            <w:r>
              <w:t>Yes</w:t>
            </w:r>
          </w:p>
        </w:tc>
        <w:tc>
          <w:tcPr>
            <w:tcW w:type="dxa" w:w="2160"/>
          </w:tcPr>
          <w:p>
            <w:r/>
          </w:p>
        </w:tc>
      </w:tr>
      <w:tr>
        <w:tc>
          <w:tcPr>
            <w:tcW w:type="dxa" w:w="2160"/>
          </w:tcPr>
          <w:p>
            <w:r>
              <w:t>FlightVoyageNumber</w:t>
            </w:r>
          </w:p>
        </w:tc>
        <w:tc>
          <w:tcPr>
            <w:tcW w:type="dxa" w:w="2160"/>
          </w:tcPr>
          <w:p>
            <w:r>
              <w:t>String</w:t>
            </w:r>
          </w:p>
        </w:tc>
        <w:tc>
          <w:tcPr>
            <w:tcW w:type="dxa" w:w="2160"/>
          </w:tcPr>
          <w:p>
            <w:r>
              <w:t>No</w:t>
            </w:r>
          </w:p>
        </w:tc>
        <w:tc>
          <w:tcPr>
            <w:tcW w:type="dxa" w:w="2160"/>
          </w:tcPr>
          <w:p>
            <w:r/>
          </w:p>
        </w:tc>
      </w:tr>
      <w:tr>
        <w:tc>
          <w:tcPr>
            <w:tcW w:type="dxa" w:w="2160"/>
          </w:tcPr>
          <w:p>
            <w:r>
              <w:t>OriginCountry</w:t>
            </w:r>
          </w:p>
        </w:tc>
        <w:tc>
          <w:tcPr>
            <w:tcW w:type="dxa" w:w="2160"/>
          </w:tcPr>
          <w:p>
            <w:r>
              <w:t>Country Code</w:t>
            </w:r>
          </w:p>
        </w:tc>
        <w:tc>
          <w:tcPr>
            <w:tcW w:type="dxa" w:w="2160"/>
          </w:tcPr>
          <w:p>
            <w:r>
              <w:t>Yes</w:t>
            </w:r>
          </w:p>
        </w:tc>
        <w:tc>
          <w:tcPr>
            <w:tcW w:type="dxa" w:w="2160"/>
          </w:tcPr>
          <w:p>
            <w:r/>
          </w:p>
        </w:tc>
      </w:tr>
      <w:tr>
        <w:tc>
          <w:tcPr>
            <w:tcW w:type="dxa" w:w="2160"/>
          </w:tcPr>
          <w:p>
            <w:r>
              <w:t>DestinationCountry</w:t>
            </w:r>
          </w:p>
        </w:tc>
        <w:tc>
          <w:tcPr>
            <w:tcW w:type="dxa" w:w="2160"/>
          </w:tcPr>
          <w:p>
            <w:r>
              <w:t>Country Code</w:t>
            </w:r>
          </w:p>
        </w:tc>
        <w:tc>
          <w:tcPr>
            <w:tcW w:type="dxa" w:w="2160"/>
          </w:tcPr>
          <w:p>
            <w:r>
              <w:t>Yes</w:t>
            </w:r>
          </w:p>
        </w:tc>
        <w:tc>
          <w:tcPr>
            <w:tcW w:type="dxa" w:w="2160"/>
          </w:tcPr>
          <w:p>
            <w:r>
              <w:t>India for import flows</w:t>
            </w:r>
          </w:p>
        </w:tc>
      </w:tr>
      <w:tr>
        <w:tc>
          <w:tcPr>
            <w:tcW w:type="dxa" w:w="2160"/>
          </w:tcPr>
          <w:p>
            <w:r>
              <w:t>ETA / ATA</w:t>
            </w:r>
          </w:p>
        </w:tc>
        <w:tc>
          <w:tcPr>
            <w:tcW w:type="dxa" w:w="2160"/>
          </w:tcPr>
          <w:p>
            <w:r>
              <w:t>DateTime</w:t>
            </w:r>
          </w:p>
        </w:tc>
        <w:tc>
          <w:tcPr>
            <w:tcW w:type="dxa" w:w="2160"/>
          </w:tcPr>
          <w:p>
            <w:r>
              <w:t>No / No</w:t>
            </w:r>
          </w:p>
        </w:tc>
        <w:tc>
          <w:tcPr>
            <w:tcW w:type="dxa" w:w="2160"/>
          </w:tcPr>
          <w:p>
            <w:r/>
          </w:p>
        </w:tc>
      </w:tr>
      <w:tr>
        <w:tc>
          <w:tcPr>
            <w:tcW w:type="dxa" w:w="2160"/>
          </w:tcPr>
          <w:p>
            <w:r>
              <w:t>ServiceType</w:t>
            </w:r>
          </w:p>
        </w:tc>
        <w:tc>
          <w:tcPr>
            <w:tcW w:type="dxa" w:w="2160"/>
          </w:tcPr>
          <w:p>
            <w:r>
              <w:t>Enum</w:t>
            </w:r>
          </w:p>
        </w:tc>
        <w:tc>
          <w:tcPr>
            <w:tcW w:type="dxa" w:w="2160"/>
          </w:tcPr>
          <w:p>
            <w:r>
              <w:t>Yes</w:t>
            </w:r>
          </w:p>
        </w:tc>
        <w:tc>
          <w:tcPr>
            <w:tcW w:type="dxa" w:w="2160"/>
          </w:tcPr>
          <w:p>
            <w:r>
              <w:t>Express, Economy, Freight</w:t>
            </w:r>
          </w:p>
        </w:tc>
      </w:tr>
      <w:tr>
        <w:tc>
          <w:tcPr>
            <w:tcW w:type="dxa" w:w="2160"/>
          </w:tcPr>
          <w:p>
            <w:r>
              <w:t>CurrentStatus</w:t>
            </w:r>
          </w:p>
        </w:tc>
        <w:tc>
          <w:tcPr>
            <w:tcW w:type="dxa" w:w="2160"/>
          </w:tcPr>
          <w:p>
            <w:r>
              <w:t>Enum</w:t>
            </w:r>
          </w:p>
        </w:tc>
        <w:tc>
          <w:tcPr>
            <w:tcW w:type="dxa" w:w="2160"/>
          </w:tcPr>
          <w:p>
            <w:r>
              <w:t>Yes</w:t>
            </w:r>
          </w:p>
        </w:tc>
        <w:tc>
          <w:tcPr>
            <w:tcW w:type="dxa" w:w="2160"/>
          </w:tcPr>
          <w:p>
            <w:r>
              <w:t>Draft, Downloaded, Validated, BrokerageRequired, DeclarationCreated, CustomsProcessing, Released, Completed, Archived</w:t>
            </w:r>
          </w:p>
        </w:tc>
      </w:tr>
      <w:tr>
        <w:tc>
          <w:tcPr>
            <w:tcW w:type="dxa" w:w="2160"/>
          </w:tcPr>
          <w:p>
            <w:r>
              <w:t>PortOfLoading / PortOfDischarge</w:t>
            </w:r>
          </w:p>
        </w:tc>
        <w:tc>
          <w:tcPr>
            <w:tcW w:type="dxa" w:w="2160"/>
          </w:tcPr>
          <w:p>
            <w:r>
              <w:t>String</w:t>
            </w:r>
          </w:p>
        </w:tc>
        <w:tc>
          <w:tcPr>
            <w:tcW w:type="dxa" w:w="2160"/>
          </w:tcPr>
          <w:p>
            <w:r>
              <w:t>Yes / Yes</w:t>
            </w:r>
          </w:p>
        </w:tc>
        <w:tc>
          <w:tcPr>
            <w:tcW w:type="dxa" w:w="2160"/>
          </w:tcPr>
          <w:p>
            <w:r>
              <w:t>India customs office/port code where destination</w:t>
            </w:r>
          </w:p>
        </w:tc>
      </w:tr>
      <w:tr>
        <w:tc>
          <w:tcPr>
            <w:tcW w:type="dxa" w:w="2160"/>
          </w:tcPr>
          <w:p>
            <w:r>
              <w:t>CreatedAt / Source System</w:t>
            </w:r>
          </w:p>
        </w:tc>
        <w:tc>
          <w:tcPr>
            <w:tcW w:type="dxa" w:w="2160"/>
          </w:tcPr>
          <w:p>
            <w:r>
              <w:t>DateTime / String</w:t>
            </w:r>
          </w:p>
        </w:tc>
        <w:tc>
          <w:tcPr>
            <w:tcW w:type="dxa" w:w="2160"/>
          </w:tcPr>
          <w:p>
            <w:r>
              <w:t>Yes</w:t>
            </w:r>
          </w:p>
        </w:tc>
        <w:tc>
          <w:tcPr>
            <w:tcW w:type="dxa" w:w="2160"/>
          </w:tcPr>
          <w:p>
            <w:r>
              <w:t>Per FR-001</w:t>
            </w:r>
          </w:p>
        </w:tc>
      </w:tr>
    </w:tbl>
    <w:p/>
    <w:p>
      <w:r>
        <w:rPr>
          <w:b w:val="0"/>
          <w:i w:val="0"/>
        </w:rPr>
        <w:t>Related sub-entities (own tables, 1-to-many from Shipment): ShipmentParty (join of Shipment ↔ Party with Role), Address, Package, Document, Event, Note, Reference, ShipmentIndicator (structure only — content populated by Segregation Engine, Day 3+).</w:t>
      </w:r>
    </w:p>
    <w:p>
      <w:pPr>
        <w:pStyle w:val="Heading1"/>
      </w:pPr>
      <w:r>
        <w:t>4. Entity: CourierShipment</w:t>
      </w:r>
    </w:p>
    <w:p>
      <w:r>
        <w:rPr>
          <w:b w:val="0"/>
          <w:i w:val="0"/>
        </w:rPr>
        <w:t>First-class bounded context per Day 1 decision. Shares the same Party and Commodity backbone as Shipment, but is a distinct aggregate root reflecting India's simplified/consolidated courier declaration rules (Courier Imports and Exports (Clearance) Regulations).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Type</w:t>
            </w:r>
          </w:p>
        </w:tc>
        <w:tc>
          <w:tcPr>
            <w:tcW w:type="dxa" w:w="2160"/>
          </w:tcPr>
          <w:p>
            <w:r>
              <w:rPr>
                <w:b/>
              </w:rPr>
              <w:t>Required</w:t>
            </w:r>
          </w:p>
        </w:tc>
        <w:tc>
          <w:tcPr>
            <w:tcW w:type="dxa" w:w="2160"/>
          </w:tcPr>
          <w:p>
            <w:r>
              <w:rPr>
                <w:b/>
              </w:rPr>
              <w:t>India-Specific Note</w:t>
            </w:r>
          </w:p>
        </w:tc>
      </w:tr>
      <w:tr>
        <w:tc>
          <w:tcPr>
            <w:tcW w:type="dxa" w:w="2160"/>
          </w:tcPr>
          <w:p>
            <w:r>
              <w:t>CourierShipmentId</w:t>
            </w:r>
          </w:p>
        </w:tc>
        <w:tc>
          <w:tcPr>
            <w:tcW w:type="dxa" w:w="2160"/>
          </w:tcPr>
          <w:p>
            <w:r>
              <w:t>UUID</w:t>
            </w:r>
          </w:p>
        </w:tc>
        <w:tc>
          <w:tcPr>
            <w:tcW w:type="dxa" w:w="2160"/>
          </w:tcPr>
          <w:p>
            <w:r>
              <w:t>Yes</w:t>
            </w:r>
          </w:p>
        </w:tc>
        <w:tc>
          <w:tcPr>
            <w:tcW w:type="dxa" w:w="2160"/>
          </w:tcPr>
          <w:p>
            <w:r>
              <w:t>System identifier</w:t>
            </w:r>
          </w:p>
        </w:tc>
      </w:tr>
      <w:tr>
        <w:tc>
          <w:tcPr>
            <w:tcW w:type="dxa" w:w="2160"/>
          </w:tcPr>
          <w:p>
            <w:r>
              <w:t>CourierShipmentNumber</w:t>
            </w:r>
          </w:p>
        </w:tc>
        <w:tc>
          <w:tcPr>
            <w:tcW w:type="dxa" w:w="2160"/>
          </w:tcPr>
          <w:p>
            <w:r>
              <w:t>String</w:t>
            </w:r>
          </w:p>
        </w:tc>
        <w:tc>
          <w:tcPr>
            <w:tcW w:type="dxa" w:w="2160"/>
          </w:tcPr>
          <w:p>
            <w:r>
              <w:t>Yes</w:t>
            </w:r>
          </w:p>
        </w:tc>
        <w:tc>
          <w:tcPr>
            <w:tcW w:type="dxa" w:w="2160"/>
          </w:tcPr>
          <w:p>
            <w:r>
              <w:t>Unique, system-generated</w:t>
            </w:r>
          </w:p>
        </w:tc>
      </w:tr>
      <w:tr>
        <w:tc>
          <w:tcPr>
            <w:tcW w:type="dxa" w:w="2160"/>
          </w:tcPr>
          <w:p>
            <w:r>
              <w:t>CourierRegistrationNumber</w:t>
            </w:r>
          </w:p>
        </w:tc>
        <w:tc>
          <w:tcPr>
            <w:tcW w:type="dxa" w:w="2160"/>
          </w:tcPr>
          <w:p>
            <w:r>
              <w:t>String</w:t>
            </w:r>
          </w:p>
        </w:tc>
        <w:tc>
          <w:tcPr>
            <w:tcW w:type="dxa" w:w="2160"/>
          </w:tcPr>
          <w:p>
            <w:r>
              <w:t>Yes</w:t>
            </w:r>
          </w:p>
        </w:tc>
        <w:tc>
          <w:tcPr>
            <w:tcW w:type="dxa" w:w="2160"/>
          </w:tcPr>
          <w:p>
            <w:r>
              <w:t>Authorized Courier registration with Indian Customs</w:t>
            </w:r>
          </w:p>
        </w:tc>
      </w:tr>
      <w:tr>
        <w:tc>
          <w:tcPr>
            <w:tcW w:type="dxa" w:w="2160"/>
          </w:tcPr>
          <w:p>
            <w:r>
              <w:t>ShipmentDirection</w:t>
            </w:r>
          </w:p>
        </w:tc>
        <w:tc>
          <w:tcPr>
            <w:tcW w:type="dxa" w:w="2160"/>
          </w:tcPr>
          <w:p>
            <w:r>
              <w:t>Enum</w:t>
            </w:r>
          </w:p>
        </w:tc>
        <w:tc>
          <w:tcPr>
            <w:tcW w:type="dxa" w:w="2160"/>
          </w:tcPr>
          <w:p>
            <w:r>
              <w:t>Yes</w:t>
            </w:r>
          </w:p>
        </w:tc>
        <w:tc>
          <w:tcPr>
            <w:tcW w:type="dxa" w:w="2160"/>
          </w:tcPr>
          <w:p>
            <w:r>
              <w:t>Import, Export</w:t>
            </w:r>
          </w:p>
        </w:tc>
      </w:tr>
      <w:tr>
        <w:tc>
          <w:tcPr>
            <w:tcW w:type="dxa" w:w="2160"/>
          </w:tcPr>
          <w:p>
            <w:r>
              <w:t>ImportPurpose</w:t>
            </w:r>
          </w:p>
        </w:tc>
        <w:tc>
          <w:tcPr>
            <w:tcW w:type="dxa" w:w="2160"/>
          </w:tcPr>
          <w:p>
            <w:r>
              <w:t>Enum</w:t>
            </w:r>
          </w:p>
        </w:tc>
        <w:tc>
          <w:tcPr>
            <w:tcW w:type="dxa" w:w="2160"/>
          </w:tcPr>
          <w:p>
            <w:r>
              <w:t>Yes</w:t>
            </w:r>
          </w:p>
        </w:tc>
        <w:tc>
          <w:tcPr>
            <w:tcW w:type="dxa" w:w="2160"/>
          </w:tcPr>
          <w:p>
            <w:r>
              <w:t>Commercial, Personal, Gift — required input for de minimis evaluation (Day 1, Section 4.4 constraint)</w:t>
            </w:r>
          </w:p>
        </w:tc>
      </w:tr>
      <w:tr>
        <w:tc>
          <w:tcPr>
            <w:tcW w:type="dxa" w:w="2160"/>
          </w:tcPr>
          <w:p>
            <w:r>
              <w:t>ImporterType</w:t>
            </w:r>
          </w:p>
        </w:tc>
        <w:tc>
          <w:tcPr>
            <w:tcW w:type="dxa" w:w="2160"/>
          </w:tcPr>
          <w:p>
            <w:r>
              <w:t>Enum</w:t>
            </w:r>
          </w:p>
        </w:tc>
        <w:tc>
          <w:tcPr>
            <w:tcW w:type="dxa" w:w="2160"/>
          </w:tcPr>
          <w:p>
            <w:r>
              <w:t>Yes</w:t>
            </w:r>
          </w:p>
        </w:tc>
        <w:tc>
          <w:tcPr>
            <w:tcW w:type="dxa" w:w="2160"/>
          </w:tcPr>
          <w:p>
            <w:r>
              <w:t>Individual, Business — required input for de minimis evaluation</w:t>
            </w:r>
          </w:p>
        </w:tc>
      </w:tr>
      <w:tr>
        <w:tc>
          <w:tcPr>
            <w:tcW w:type="dxa" w:w="2160"/>
          </w:tcPr>
          <w:p>
            <w:r>
              <w:t>ConsolidatedManifestNumber</w:t>
            </w:r>
          </w:p>
        </w:tc>
        <w:tc>
          <w:tcPr>
            <w:tcW w:type="dxa" w:w="2160"/>
          </w:tcPr>
          <w:p>
            <w:r>
              <w:t>String</w:t>
            </w:r>
          </w:p>
        </w:tc>
        <w:tc>
          <w:tcPr>
            <w:tcW w:type="dxa" w:w="2160"/>
          </w:tcPr>
          <w:p>
            <w:r>
              <w:t>No</w:t>
            </w:r>
          </w:p>
        </w:tc>
        <w:tc>
          <w:tcPr>
            <w:tcW w:type="dxa" w:w="2160"/>
          </w:tcPr>
          <w:p>
            <w:r>
              <w:t>Where multiple courier parcels are consolidated</w:t>
            </w:r>
          </w:p>
        </w:tc>
      </w:tr>
      <w:tr>
        <w:tc>
          <w:tcPr>
            <w:tcW w:type="dxa" w:w="2160"/>
          </w:tcPr>
          <w:p>
            <w:r>
              <w:t>DeclaredValue</w:t>
            </w:r>
          </w:p>
        </w:tc>
        <w:tc>
          <w:tcPr>
            <w:tcW w:type="dxa" w:w="2160"/>
          </w:tcPr>
          <w:p>
            <w:r>
              <w:t>Decimal</w:t>
            </w:r>
          </w:p>
        </w:tc>
        <w:tc>
          <w:tcPr>
            <w:tcW w:type="dxa" w:w="2160"/>
          </w:tcPr>
          <w:p>
            <w:r>
              <w:t>Yes</w:t>
            </w:r>
          </w:p>
        </w:tc>
        <w:tc>
          <w:tcPr>
            <w:tcW w:type="dxa" w:w="2160"/>
          </w:tcPr>
          <w:p>
            <w:r>
              <w:t>Never used alone to determine path — see de minimis constraint</w:t>
            </w:r>
          </w:p>
        </w:tc>
      </w:tr>
      <w:tr>
        <w:tc>
          <w:tcPr>
            <w:tcW w:type="dxa" w:w="2160"/>
          </w:tcPr>
          <w:p>
            <w:r>
              <w:t>Currency</w:t>
            </w:r>
          </w:p>
        </w:tc>
        <w:tc>
          <w:tcPr>
            <w:tcW w:type="dxa" w:w="2160"/>
          </w:tcPr>
          <w:p>
            <w:r>
              <w:t>ISO Currency</w:t>
            </w:r>
          </w:p>
        </w:tc>
        <w:tc>
          <w:tcPr>
            <w:tcW w:type="dxa" w:w="2160"/>
          </w:tcPr>
          <w:p>
            <w:r>
              <w:t>Yes</w:t>
            </w:r>
          </w:p>
        </w:tc>
        <w:tc>
          <w:tcPr>
            <w:tcW w:type="dxa" w:w="2160"/>
          </w:tcPr>
          <w:p>
            <w:r/>
          </w:p>
        </w:tc>
      </w:tr>
      <w:tr>
        <w:tc>
          <w:tcPr>
            <w:tcW w:type="dxa" w:w="2160"/>
          </w:tcPr>
          <w:p>
            <w:r>
              <w:t>CurrentStatus</w:t>
            </w:r>
          </w:p>
        </w:tc>
        <w:tc>
          <w:tcPr>
            <w:tcW w:type="dxa" w:w="2160"/>
          </w:tcPr>
          <w:p>
            <w:r>
              <w:t>Enum</w:t>
            </w:r>
          </w:p>
        </w:tc>
        <w:tc>
          <w:tcPr>
            <w:tcW w:type="dxa" w:w="2160"/>
          </w:tcPr>
          <w:p>
            <w:r>
              <w:t>Yes</w:t>
            </w:r>
          </w:p>
        </w:tc>
        <w:tc>
          <w:tcPr>
            <w:tcW w:type="dxa" w:w="2160"/>
          </w:tcPr>
          <w:p>
            <w:r>
              <w:t>Mirrors Shipment status enum for consistency across contexts</w:t>
            </w:r>
          </w:p>
        </w:tc>
      </w:tr>
      <w:tr>
        <w:tc>
          <w:tcPr>
            <w:tcW w:type="dxa" w:w="2160"/>
          </w:tcPr>
          <w:p>
            <w:r>
              <w:t>CreatedAt / Source System</w:t>
            </w:r>
          </w:p>
        </w:tc>
        <w:tc>
          <w:tcPr>
            <w:tcW w:type="dxa" w:w="2160"/>
          </w:tcPr>
          <w:p>
            <w:r>
              <w:t>DateTime / String</w:t>
            </w:r>
          </w:p>
        </w:tc>
        <w:tc>
          <w:tcPr>
            <w:tcW w:type="dxa" w:w="2160"/>
          </w:tcPr>
          <w:p>
            <w:r>
              <w:t>Yes</w:t>
            </w:r>
          </w:p>
        </w:tc>
        <w:tc>
          <w:tcPr>
            <w:tcW w:type="dxa" w:w="2160"/>
          </w:tcPr>
          <w:p>
            <w:r/>
          </w:p>
        </w:tc>
      </w:tr>
    </w:tbl>
    <w:p/>
    <w:p>
      <w:r>
        <w:rPr>
          <w:b w:val="0"/>
          <w:i/>
        </w:rPr>
        <w:t>CourierShipment links to Party (Consignee/Shipper) and Commodity in the same way Shipment does, enabling the Segregation Engine to apply consistent — but channel-aware — rule evaluation across both contexts.</w:t>
      </w:r>
    </w:p>
    <w:p>
      <w:pPr>
        <w:pStyle w:val="Heading1"/>
      </w:pPr>
      <w:r>
        <w:t>5. Entity: Commodity</w:t>
      </w:r>
    </w:p>
    <w:p>
      <w:r>
        <w:rPr>
          <w:b w:val="0"/>
          <w:i w:val="0"/>
        </w:rPr>
        <w:t>Owned by Commodity Management (Day 1, context #3); referenced by both Shipment and CourierShipment, and by Declaration 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Type</w:t>
            </w:r>
          </w:p>
        </w:tc>
        <w:tc>
          <w:tcPr>
            <w:tcW w:type="dxa" w:w="2160"/>
          </w:tcPr>
          <w:p>
            <w:r>
              <w:rPr>
                <w:b/>
              </w:rPr>
              <w:t>Required</w:t>
            </w:r>
          </w:p>
        </w:tc>
        <w:tc>
          <w:tcPr>
            <w:tcW w:type="dxa" w:w="2160"/>
          </w:tcPr>
          <w:p>
            <w:r>
              <w:rPr>
                <w:b/>
              </w:rPr>
              <w:t>India-Specific Note</w:t>
            </w:r>
          </w:p>
        </w:tc>
      </w:tr>
      <w:tr>
        <w:tc>
          <w:tcPr>
            <w:tcW w:type="dxa" w:w="2160"/>
          </w:tcPr>
          <w:p>
            <w:r>
              <w:t>CommodityId</w:t>
            </w:r>
          </w:p>
        </w:tc>
        <w:tc>
          <w:tcPr>
            <w:tcW w:type="dxa" w:w="2160"/>
          </w:tcPr>
          <w:p>
            <w:r>
              <w:t>UUID</w:t>
            </w:r>
          </w:p>
        </w:tc>
        <w:tc>
          <w:tcPr>
            <w:tcW w:type="dxa" w:w="2160"/>
          </w:tcPr>
          <w:p>
            <w:r>
              <w:t>Yes</w:t>
            </w:r>
          </w:p>
        </w:tc>
        <w:tc>
          <w:tcPr>
            <w:tcW w:type="dxa" w:w="2160"/>
          </w:tcPr>
          <w:p>
            <w:r>
              <w:t>System identifier</w:t>
            </w:r>
          </w:p>
        </w:tc>
      </w:tr>
      <w:tr>
        <w:tc>
          <w:tcPr>
            <w:tcW w:type="dxa" w:w="2160"/>
          </w:tcPr>
          <w:p>
            <w:r>
              <w:t>LineNumber</w:t>
            </w:r>
          </w:p>
        </w:tc>
        <w:tc>
          <w:tcPr>
            <w:tcW w:type="dxa" w:w="2160"/>
          </w:tcPr>
          <w:p>
            <w:r>
              <w:t>Integer</w:t>
            </w:r>
          </w:p>
        </w:tc>
        <w:tc>
          <w:tcPr>
            <w:tcW w:type="dxa" w:w="2160"/>
          </w:tcPr>
          <w:p>
            <w:r>
              <w:t>Yes</w:t>
            </w:r>
          </w:p>
        </w:tc>
        <w:tc>
          <w:tcPr>
            <w:tcW w:type="dxa" w:w="2160"/>
          </w:tcPr>
          <w:p>
            <w:r>
              <w:t>Declaration line number</w:t>
            </w:r>
          </w:p>
        </w:tc>
      </w:tr>
      <w:tr>
        <w:tc>
          <w:tcPr>
            <w:tcW w:type="dxa" w:w="2160"/>
          </w:tcPr>
          <w:p>
            <w:r>
              <w:t>CommercialDescription</w:t>
            </w:r>
          </w:p>
        </w:tc>
        <w:tc>
          <w:tcPr>
            <w:tcW w:type="dxa" w:w="2160"/>
          </w:tcPr>
          <w:p>
            <w:r>
              <w:t>String</w:t>
            </w:r>
          </w:p>
        </w:tc>
        <w:tc>
          <w:tcPr>
            <w:tcW w:type="dxa" w:w="2160"/>
          </w:tcPr>
          <w:p>
            <w:r>
              <w:t>Yes</w:t>
            </w:r>
          </w:p>
        </w:tc>
        <w:tc>
          <w:tcPr>
            <w:tcW w:type="dxa" w:w="2160"/>
          </w:tcPr>
          <w:p>
            <w:r>
              <w:t>Invoice description</w:t>
            </w:r>
          </w:p>
        </w:tc>
      </w:tr>
      <w:tr>
        <w:tc>
          <w:tcPr>
            <w:tcW w:type="dxa" w:w="2160"/>
          </w:tcPr>
          <w:p>
            <w:r>
              <w:t>CustomsDescription</w:t>
            </w:r>
          </w:p>
        </w:tc>
        <w:tc>
          <w:tcPr>
            <w:tcW w:type="dxa" w:w="2160"/>
          </w:tcPr>
          <w:p>
            <w:r>
              <w:t>String</w:t>
            </w:r>
          </w:p>
        </w:tc>
        <w:tc>
          <w:tcPr>
            <w:tcW w:type="dxa" w:w="2160"/>
          </w:tcPr>
          <w:p>
            <w:r>
              <w:t>Yes</w:t>
            </w:r>
          </w:p>
        </w:tc>
        <w:tc>
          <w:tcPr>
            <w:tcW w:type="dxa" w:w="2160"/>
          </w:tcPr>
          <w:p>
            <w:r>
              <w:t>Declaration description</w:t>
            </w:r>
          </w:p>
        </w:tc>
      </w:tr>
      <w:tr>
        <w:tc>
          <w:tcPr>
            <w:tcW w:type="dxa" w:w="2160"/>
          </w:tcPr>
          <w:p>
            <w:r>
              <w:t>ITC_HSCode</w:t>
            </w:r>
          </w:p>
        </w:tc>
        <w:tc>
          <w:tcPr>
            <w:tcW w:type="dxa" w:w="2160"/>
          </w:tcPr>
          <w:p>
            <w:r>
              <w:t>String(8)</w:t>
            </w:r>
          </w:p>
        </w:tc>
        <w:tc>
          <w:tcPr>
            <w:tcW w:type="dxa" w:w="2160"/>
          </w:tcPr>
          <w:p>
            <w:r>
              <w:t>Yes</w:t>
            </w:r>
          </w:p>
        </w:tc>
        <w:tc>
          <w:tcPr>
            <w:tcW w:type="dxa" w:w="2160"/>
          </w:tcPr>
          <w:p>
            <w:r>
              <w:t>Indian Trade Classification (Harmonized System) — 8-digit national tariff extension of 6-digit WCO HS</w:t>
            </w:r>
          </w:p>
        </w:tc>
      </w:tr>
      <w:tr>
        <w:tc>
          <w:tcPr>
            <w:tcW w:type="dxa" w:w="2160"/>
          </w:tcPr>
          <w:p>
            <w:r>
              <w:t>TariffVersion</w:t>
            </w:r>
          </w:p>
        </w:tc>
        <w:tc>
          <w:tcPr>
            <w:tcW w:type="dxa" w:w="2160"/>
          </w:tcPr>
          <w:p>
            <w:r>
              <w:t>String</w:t>
            </w:r>
          </w:p>
        </w:tc>
        <w:tc>
          <w:tcPr>
            <w:tcW w:type="dxa" w:w="2160"/>
          </w:tcPr>
          <w:p>
            <w:r>
              <w:t>Yes</w:t>
            </w:r>
          </w:p>
        </w:tc>
        <w:tc>
          <w:tcPr>
            <w:tcW w:type="dxa" w:w="2160"/>
          </w:tcPr>
          <w:p>
            <w:r>
              <w:t>Reference to versioned India tariff master (sourced Phase 1)</w:t>
            </w:r>
          </w:p>
        </w:tc>
      </w:tr>
      <w:tr>
        <w:tc>
          <w:tcPr>
            <w:tcW w:type="dxa" w:w="2160"/>
          </w:tcPr>
          <w:p>
            <w:r>
              <w:t>CountryOfOrigin</w:t>
            </w:r>
          </w:p>
        </w:tc>
        <w:tc>
          <w:tcPr>
            <w:tcW w:type="dxa" w:w="2160"/>
          </w:tcPr>
          <w:p>
            <w:r>
              <w:t>Country Code</w:t>
            </w:r>
          </w:p>
        </w:tc>
        <w:tc>
          <w:tcPr>
            <w:tcW w:type="dxa" w:w="2160"/>
          </w:tcPr>
          <w:p>
            <w:r>
              <w:t>Yes</w:t>
            </w:r>
          </w:p>
        </w:tc>
        <w:tc>
          <w:tcPr>
            <w:tcW w:type="dxa" w:w="2160"/>
          </w:tcPr>
          <w:p>
            <w:r/>
          </w:p>
        </w:tc>
      </w:tr>
      <w:tr>
        <w:tc>
          <w:tcPr>
            <w:tcW w:type="dxa" w:w="2160"/>
          </w:tcPr>
          <w:p>
            <w:r>
              <w:t>Quantity</w:t>
            </w:r>
          </w:p>
        </w:tc>
        <w:tc>
          <w:tcPr>
            <w:tcW w:type="dxa" w:w="2160"/>
          </w:tcPr>
          <w:p>
            <w:r>
              <w:t>Decimal</w:t>
            </w:r>
          </w:p>
        </w:tc>
        <w:tc>
          <w:tcPr>
            <w:tcW w:type="dxa" w:w="2160"/>
          </w:tcPr>
          <w:p>
            <w:r>
              <w:t>Yes</w:t>
            </w:r>
          </w:p>
        </w:tc>
        <w:tc>
          <w:tcPr>
            <w:tcW w:type="dxa" w:w="2160"/>
          </w:tcPr>
          <w:p>
            <w:r/>
          </w:p>
        </w:tc>
      </w:tr>
      <w:tr>
        <w:tc>
          <w:tcPr>
            <w:tcW w:type="dxa" w:w="2160"/>
          </w:tcPr>
          <w:p>
            <w:r>
              <w:t>UnitOfMeasure</w:t>
            </w:r>
          </w:p>
        </w:tc>
        <w:tc>
          <w:tcPr>
            <w:tcW w:type="dxa" w:w="2160"/>
          </w:tcPr>
          <w:p>
            <w:r>
              <w:t>Enum</w:t>
            </w:r>
          </w:p>
        </w:tc>
        <w:tc>
          <w:tcPr>
            <w:tcW w:type="dxa" w:w="2160"/>
          </w:tcPr>
          <w:p>
            <w:r>
              <w:t>Yes</w:t>
            </w:r>
          </w:p>
        </w:tc>
        <w:tc>
          <w:tcPr>
            <w:tcW w:type="dxa" w:w="2160"/>
          </w:tcPr>
          <w:p>
            <w:r>
              <w:t>PCS, KG, LTR, MTR, etc.</w:t>
            </w:r>
          </w:p>
        </w:tc>
      </w:tr>
      <w:tr>
        <w:tc>
          <w:tcPr>
            <w:tcW w:type="dxa" w:w="2160"/>
          </w:tcPr>
          <w:p>
            <w:r>
              <w:t>NetWeight / GrossWeight</w:t>
            </w:r>
          </w:p>
        </w:tc>
        <w:tc>
          <w:tcPr>
            <w:tcW w:type="dxa" w:w="2160"/>
          </w:tcPr>
          <w:p>
            <w:r>
              <w:t>Decimal</w:t>
            </w:r>
          </w:p>
        </w:tc>
        <w:tc>
          <w:tcPr>
            <w:tcW w:type="dxa" w:w="2160"/>
          </w:tcPr>
          <w:p>
            <w:r>
              <w:t>No / No</w:t>
            </w:r>
          </w:p>
        </w:tc>
        <w:tc>
          <w:tcPr>
            <w:tcW w:type="dxa" w:w="2160"/>
          </w:tcPr>
          <w:p>
            <w:r/>
          </w:p>
        </w:tc>
      </w:tr>
      <w:tr>
        <w:tc>
          <w:tcPr>
            <w:tcW w:type="dxa" w:w="2160"/>
          </w:tcPr>
          <w:p>
            <w:r>
              <w:t>CustomsValue</w:t>
            </w:r>
          </w:p>
        </w:tc>
        <w:tc>
          <w:tcPr>
            <w:tcW w:type="dxa" w:w="2160"/>
          </w:tcPr>
          <w:p>
            <w:r>
              <w:t>Decimal</w:t>
            </w:r>
          </w:p>
        </w:tc>
        <w:tc>
          <w:tcPr>
            <w:tcW w:type="dxa" w:w="2160"/>
          </w:tcPr>
          <w:p>
            <w:r>
              <w:t>Yes</w:t>
            </w:r>
          </w:p>
        </w:tc>
        <w:tc>
          <w:tcPr>
            <w:tcW w:type="dxa" w:w="2160"/>
          </w:tcPr>
          <w:p>
            <w:r>
              <w:t>Basis for BCD/IGST/Cess calculation</w:t>
            </w:r>
          </w:p>
        </w:tc>
      </w:tr>
      <w:tr>
        <w:tc>
          <w:tcPr>
            <w:tcW w:type="dxa" w:w="2160"/>
          </w:tcPr>
          <w:p>
            <w:r>
              <w:t>Currency</w:t>
            </w:r>
          </w:p>
        </w:tc>
        <w:tc>
          <w:tcPr>
            <w:tcW w:type="dxa" w:w="2160"/>
          </w:tcPr>
          <w:p>
            <w:r>
              <w:t>ISO Currency</w:t>
            </w:r>
          </w:p>
        </w:tc>
        <w:tc>
          <w:tcPr>
            <w:tcW w:type="dxa" w:w="2160"/>
          </w:tcPr>
          <w:p>
            <w:r>
              <w:t>Yes</w:t>
            </w:r>
          </w:p>
        </w:tc>
        <w:tc>
          <w:tcPr>
            <w:tcW w:type="dxa" w:w="2160"/>
          </w:tcPr>
          <w:p>
            <w:r>
              <w:t>Default INR for domestic; exchange rate applied for import/export</w:t>
            </w:r>
          </w:p>
        </w:tc>
      </w:tr>
      <w:tr>
        <w:tc>
          <w:tcPr>
            <w:tcW w:type="dxa" w:w="2160"/>
          </w:tcPr>
          <w:p>
            <w:r>
              <w:t>StatisticalValue</w:t>
            </w:r>
          </w:p>
        </w:tc>
        <w:tc>
          <w:tcPr>
            <w:tcW w:type="dxa" w:w="2160"/>
          </w:tcPr>
          <w:p>
            <w:r>
              <w:t>Decimal</w:t>
            </w:r>
          </w:p>
        </w:tc>
        <w:tc>
          <w:tcPr>
            <w:tcW w:type="dxa" w:w="2160"/>
          </w:tcPr>
          <w:p>
            <w:r>
              <w:t>No</w:t>
            </w:r>
          </w:p>
        </w:tc>
        <w:tc>
          <w:tcPr>
            <w:tcW w:type="dxa" w:w="2160"/>
          </w:tcPr>
          <w:p>
            <w:r>
              <w:t>Computed — forward reference to Duty &amp; Tax Engine</w:t>
            </w:r>
          </w:p>
        </w:tc>
      </w:tr>
      <w:tr>
        <w:tc>
          <w:tcPr>
            <w:tcW w:type="dxa" w:w="2160"/>
          </w:tcPr>
          <w:p>
            <w:r>
              <w:t>ControlledGoodsFlag</w:t>
            </w:r>
          </w:p>
        </w:tc>
        <w:tc>
          <w:tcPr>
            <w:tcW w:type="dxa" w:w="2160"/>
          </w:tcPr>
          <w:p>
            <w:r>
              <w:t>Boolean</w:t>
            </w:r>
          </w:p>
        </w:tc>
        <w:tc>
          <w:tcPr>
            <w:tcW w:type="dxa" w:w="2160"/>
          </w:tcPr>
          <w:p>
            <w:r>
              <w:t>Yes</w:t>
            </w:r>
          </w:p>
        </w:tc>
        <w:tc>
          <w:tcPr>
            <w:tcW w:type="dxa" w:w="2160"/>
          </w:tcPr>
          <w:p>
            <w:r>
              <w:t>Drives Compliance/Permit evaluation</w:t>
            </w:r>
          </w:p>
        </w:tc>
      </w:tr>
      <w:tr>
        <w:tc>
          <w:tcPr>
            <w:tcW w:type="dxa" w:w="2160"/>
          </w:tcPr>
          <w:p>
            <w:r>
              <w:t>DangerousGoodsFlag</w:t>
            </w:r>
          </w:p>
        </w:tc>
        <w:tc>
          <w:tcPr>
            <w:tcW w:type="dxa" w:w="2160"/>
          </w:tcPr>
          <w:p>
            <w:r>
              <w:t>Boolean</w:t>
            </w:r>
          </w:p>
        </w:tc>
        <w:tc>
          <w:tcPr>
            <w:tcW w:type="dxa" w:w="2160"/>
          </w:tcPr>
          <w:p>
            <w:r>
              <w:t>Yes</w:t>
            </w:r>
          </w:p>
        </w:tc>
        <w:tc>
          <w:tcPr>
            <w:tcW w:type="dxa" w:w="2160"/>
          </w:tcPr>
          <w:p>
            <w:r/>
          </w:p>
        </w:tc>
      </w:tr>
      <w:tr>
        <w:tc>
          <w:tcPr>
            <w:tcW w:type="dxa" w:w="2160"/>
          </w:tcPr>
          <w:p>
            <w:r>
              <w:t>PermitRequired</w:t>
            </w:r>
          </w:p>
        </w:tc>
        <w:tc>
          <w:tcPr>
            <w:tcW w:type="dxa" w:w="2160"/>
          </w:tcPr>
          <w:p>
            <w:r>
              <w:t>Boolean</w:t>
            </w:r>
          </w:p>
        </w:tc>
        <w:tc>
          <w:tcPr>
            <w:tcW w:type="dxa" w:w="2160"/>
          </w:tcPr>
          <w:p>
            <w:r>
              <w:t>No</w:t>
            </w:r>
          </w:p>
        </w:tc>
        <w:tc>
          <w:tcPr>
            <w:tcW w:type="dxa" w:w="2160"/>
          </w:tcPr>
          <w:p>
            <w:r>
              <w:t>Forward reference — set by Permit Management, Day 3+</w:t>
            </w:r>
          </w:p>
        </w:tc>
      </w:tr>
      <w:tr>
        <w:tc>
          <w:tcPr>
            <w:tcW w:type="dxa" w:w="2160"/>
          </w:tcPr>
          <w:p>
            <w:r>
              <w:t>DGFTLicenseRef</w:t>
            </w:r>
          </w:p>
        </w:tc>
        <w:tc>
          <w:tcPr>
            <w:tcW w:type="dxa" w:w="2160"/>
          </w:tcPr>
          <w:p>
            <w:r>
              <w:t>String</w:t>
            </w:r>
          </w:p>
        </w:tc>
        <w:tc>
          <w:tcPr>
            <w:tcW w:type="dxa" w:w="2160"/>
          </w:tcPr>
          <w:p>
            <w:r>
              <w:t>Conditional</w:t>
            </w:r>
          </w:p>
        </w:tc>
        <w:tc>
          <w:tcPr>
            <w:tcW w:type="dxa" w:w="2160"/>
          </w:tcPr>
          <w:p>
            <w:r>
              <w:t>Reference to DGFT license where End-use/Restricted goods apply (Day 1 scope addition)</w:t>
            </w:r>
          </w:p>
        </w:tc>
      </w:tr>
      <w:tr>
        <w:tc>
          <w:tcPr>
            <w:tcW w:type="dxa" w:w="2160"/>
          </w:tcPr>
          <w:p>
            <w:r>
              <w:t>CreatedAt / Version</w:t>
            </w:r>
          </w:p>
        </w:tc>
        <w:tc>
          <w:tcPr>
            <w:tcW w:type="dxa" w:w="2160"/>
          </w:tcPr>
          <w:p>
            <w:r>
              <w:t>DateTime / Integer</w:t>
            </w:r>
          </w:p>
        </w:tc>
        <w:tc>
          <w:tcPr>
            <w:tcW w:type="dxa" w:w="2160"/>
          </w:tcPr>
          <w:p>
            <w:r>
              <w:t>Yes</w:t>
            </w:r>
          </w:p>
        </w:tc>
        <w:tc>
          <w:tcPr>
            <w:tcW w:type="dxa" w:w="2160"/>
          </w:tcPr>
          <w:p>
            <w:r>
              <w:t>Commodity versioning per BR-COM (PRD Ch.7.11)</w:t>
            </w:r>
          </w:p>
        </w:tc>
      </w:tr>
    </w:tbl>
    <w:p/>
    <w:p>
      <w:pPr>
        <w:pStyle w:val="Heading1"/>
      </w:pPr>
      <w:r>
        <w:t>6. Entity: Declaration</w:t>
      </w:r>
    </w:p>
    <w:p>
      <w:r>
        <w:rPr>
          <w:b w:val="0"/>
          <w:i w:val="0"/>
        </w:rPr>
        <w:t>The legal document submitted to Indian Customs (ICEGATE). Owned by Declaration Management (Day 1, context #5).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Type</w:t>
            </w:r>
          </w:p>
        </w:tc>
        <w:tc>
          <w:tcPr>
            <w:tcW w:type="dxa" w:w="2160"/>
          </w:tcPr>
          <w:p>
            <w:r>
              <w:rPr>
                <w:b/>
              </w:rPr>
              <w:t>Required</w:t>
            </w:r>
          </w:p>
        </w:tc>
        <w:tc>
          <w:tcPr>
            <w:tcW w:type="dxa" w:w="2160"/>
          </w:tcPr>
          <w:p>
            <w:r>
              <w:rPr>
                <w:b/>
              </w:rPr>
              <w:t>India-Specific Note</w:t>
            </w:r>
          </w:p>
        </w:tc>
      </w:tr>
      <w:tr>
        <w:tc>
          <w:tcPr>
            <w:tcW w:type="dxa" w:w="2160"/>
          </w:tcPr>
          <w:p>
            <w:r>
              <w:t>DeclarationId</w:t>
            </w:r>
          </w:p>
        </w:tc>
        <w:tc>
          <w:tcPr>
            <w:tcW w:type="dxa" w:w="2160"/>
          </w:tcPr>
          <w:p>
            <w:r>
              <w:t>UUID</w:t>
            </w:r>
          </w:p>
        </w:tc>
        <w:tc>
          <w:tcPr>
            <w:tcW w:type="dxa" w:w="2160"/>
          </w:tcPr>
          <w:p>
            <w:r>
              <w:t>Yes</w:t>
            </w:r>
          </w:p>
        </w:tc>
        <w:tc>
          <w:tcPr>
            <w:tcW w:type="dxa" w:w="2160"/>
          </w:tcPr>
          <w:p>
            <w:r>
              <w:t>System identifier</w:t>
            </w:r>
          </w:p>
        </w:tc>
      </w:tr>
      <w:tr>
        <w:tc>
          <w:tcPr>
            <w:tcW w:type="dxa" w:w="2160"/>
          </w:tcPr>
          <w:p>
            <w:r>
              <w:t>DeclarationNumber</w:t>
            </w:r>
          </w:p>
        </w:tc>
        <w:tc>
          <w:tcPr>
            <w:tcW w:type="dxa" w:w="2160"/>
          </w:tcPr>
          <w:p>
            <w:r>
              <w:t>String</w:t>
            </w:r>
          </w:p>
        </w:tc>
        <w:tc>
          <w:tcPr>
            <w:tcW w:type="dxa" w:w="2160"/>
          </w:tcPr>
          <w:p>
            <w:r>
              <w:t>Yes</w:t>
            </w:r>
          </w:p>
        </w:tc>
        <w:tc>
          <w:tcPr>
            <w:tcW w:type="dxa" w:w="2160"/>
          </w:tcPr>
          <w:p>
            <w:r>
              <w:t>Customs-assigned once submitted; internal number pre-submission</w:t>
            </w:r>
          </w:p>
        </w:tc>
      </w:tr>
      <w:tr>
        <w:tc>
          <w:tcPr>
            <w:tcW w:type="dxa" w:w="2160"/>
          </w:tcPr>
          <w:p>
            <w:r>
              <w:t>DeclarationType</w:t>
            </w:r>
          </w:p>
        </w:tc>
        <w:tc>
          <w:tcPr>
            <w:tcW w:type="dxa" w:w="2160"/>
          </w:tcPr>
          <w:p>
            <w:r>
              <w:t>Enum</w:t>
            </w:r>
          </w:p>
        </w:tc>
        <w:tc>
          <w:tcPr>
            <w:tcW w:type="dxa" w:w="2160"/>
          </w:tcPr>
          <w:p>
            <w:r>
              <w:t>Yes</w:t>
            </w:r>
          </w:p>
        </w:tc>
        <w:tc>
          <w:tcPr>
            <w:tcW w:type="dxa" w:w="2160"/>
          </w:tcPr>
          <w:p>
            <w:r>
              <w:t>Import (Bill of Entry), Export (Shipping Bill), Amendment, Cancellation</w:t>
            </w:r>
          </w:p>
        </w:tc>
      </w:tr>
      <w:tr>
        <w:tc>
          <w:tcPr>
            <w:tcW w:type="dxa" w:w="2160"/>
          </w:tcPr>
          <w:p>
            <w:r>
              <w:t>ClearanceType (CT)</w:t>
            </w:r>
          </w:p>
        </w:tc>
        <w:tc>
          <w:tcPr>
            <w:tcW w:type="dxa" w:w="2160"/>
          </w:tcPr>
          <w:p>
            <w:r>
              <w:t>Enum</w:t>
            </w:r>
          </w:p>
        </w:tc>
        <w:tc>
          <w:tcPr>
            <w:tcW w:type="dxa" w:w="2160"/>
          </w:tcPr>
          <w:p>
            <w:r>
              <w:t>Yes</w:t>
            </w:r>
          </w:p>
        </w:tc>
        <w:tc>
          <w:tcPr>
            <w:tcW w:type="dxa" w:w="2160"/>
          </w:tcPr>
          <w:p>
            <w:r>
              <w:t>Set by Segregation Engine — Formal, Informal, Domestic, De Minimis, Courier, etc. (forward reference, Day 3+)</w:t>
            </w:r>
          </w:p>
        </w:tc>
      </w:tr>
      <w:tr>
        <w:tc>
          <w:tcPr>
            <w:tcW w:type="dxa" w:w="2160"/>
          </w:tcPr>
          <w:p>
            <w:r>
              <w:t>CustomsStatus (CUS)</w:t>
            </w:r>
          </w:p>
        </w:tc>
        <w:tc>
          <w:tcPr>
            <w:tcW w:type="dxa" w:w="2160"/>
          </w:tcPr>
          <w:p>
            <w:r>
              <w:t>Enum</w:t>
            </w:r>
          </w:p>
        </w:tc>
        <w:tc>
          <w:tcPr>
            <w:tcW w:type="dxa" w:w="2160"/>
          </w:tcPr>
          <w:p>
            <w:r>
              <w:t>Yes</w:t>
            </w:r>
          </w:p>
        </w:tc>
        <w:tc>
          <w:tcPr>
            <w:tcW w:type="dxa" w:w="2160"/>
          </w:tcPr>
          <w:p>
            <w:r>
              <w:t>Forward reference — Workflow Engine owns transitions</w:t>
            </w:r>
          </w:p>
        </w:tc>
      </w:tr>
      <w:tr>
        <w:tc>
          <w:tcPr>
            <w:tcW w:type="dxa" w:w="2160"/>
          </w:tcPr>
          <w:p>
            <w:r>
              <w:t>RatingStatus (RAT)</w:t>
            </w:r>
          </w:p>
        </w:tc>
        <w:tc>
          <w:tcPr>
            <w:tcW w:type="dxa" w:w="2160"/>
          </w:tcPr>
          <w:p>
            <w:r>
              <w:t>Enum</w:t>
            </w:r>
          </w:p>
        </w:tc>
        <w:tc>
          <w:tcPr>
            <w:tcW w:type="dxa" w:w="2160"/>
          </w:tcPr>
          <w:p>
            <w:r>
              <w:t>Yes</w:t>
            </w:r>
          </w:p>
        </w:tc>
        <w:tc>
          <w:tcPr>
            <w:tcW w:type="dxa" w:w="2160"/>
          </w:tcPr>
          <w:p>
            <w:r>
              <w:t>Forward reference</w:t>
            </w:r>
          </w:p>
        </w:tc>
      </w:tr>
      <w:tr>
        <w:tc>
          <w:tcPr>
            <w:tcW w:type="dxa" w:w="2160"/>
          </w:tcPr>
          <w:p>
            <w:r>
              <w:t>ManifestStatus (MAN)</w:t>
            </w:r>
          </w:p>
        </w:tc>
        <w:tc>
          <w:tcPr>
            <w:tcW w:type="dxa" w:w="2160"/>
          </w:tcPr>
          <w:p>
            <w:r>
              <w:t>Enum</w:t>
            </w:r>
          </w:p>
        </w:tc>
        <w:tc>
          <w:tcPr>
            <w:tcW w:type="dxa" w:w="2160"/>
          </w:tcPr>
          <w:p>
            <w:r>
              <w:t>Yes</w:t>
            </w:r>
          </w:p>
        </w:tc>
        <w:tc>
          <w:tcPr>
            <w:tcW w:type="dxa" w:w="2160"/>
          </w:tcPr>
          <w:p>
            <w:r>
              <w:t>Forward reference</w:t>
            </w:r>
          </w:p>
        </w:tc>
      </w:tr>
      <w:tr>
        <w:tc>
          <w:tcPr>
            <w:tcW w:type="dxa" w:w="2160"/>
          </w:tcPr>
          <w:p>
            <w:r>
              <w:t>CustomsOffice</w:t>
            </w:r>
          </w:p>
        </w:tc>
        <w:tc>
          <w:tcPr>
            <w:tcW w:type="dxa" w:w="2160"/>
          </w:tcPr>
          <w:p>
            <w:r>
              <w:t>String</w:t>
            </w:r>
          </w:p>
        </w:tc>
        <w:tc>
          <w:tcPr>
            <w:tcW w:type="dxa" w:w="2160"/>
          </w:tcPr>
          <w:p>
            <w:r>
              <w:t>Yes</w:t>
            </w:r>
          </w:p>
        </w:tc>
        <w:tc>
          <w:tcPr>
            <w:tcW w:type="dxa" w:w="2160"/>
          </w:tcPr>
          <w:p>
            <w:r>
              <w:t>India customs house / port code of lodgement</w:t>
            </w:r>
          </w:p>
        </w:tc>
      </w:tr>
      <w:tr>
        <w:tc>
          <w:tcPr>
            <w:tcW w:type="dxa" w:w="2160"/>
          </w:tcPr>
          <w:p>
            <w:r>
              <w:t>Currency</w:t>
            </w:r>
          </w:p>
        </w:tc>
        <w:tc>
          <w:tcPr>
            <w:tcW w:type="dxa" w:w="2160"/>
          </w:tcPr>
          <w:p>
            <w:r>
              <w:t>ISO Currency</w:t>
            </w:r>
          </w:p>
        </w:tc>
        <w:tc>
          <w:tcPr>
            <w:tcW w:type="dxa" w:w="2160"/>
          </w:tcPr>
          <w:p>
            <w:r>
              <w:t>Yes</w:t>
            </w:r>
          </w:p>
        </w:tc>
        <w:tc>
          <w:tcPr>
            <w:tcW w:type="dxa" w:w="2160"/>
          </w:tcPr>
          <w:p>
            <w:r/>
          </w:p>
        </w:tc>
      </w:tr>
      <w:tr>
        <w:tc>
          <w:tcPr>
            <w:tcW w:type="dxa" w:w="2160"/>
          </w:tcPr>
          <w:p>
            <w:r>
              <w:t>ExchangeRate</w:t>
            </w:r>
          </w:p>
        </w:tc>
        <w:tc>
          <w:tcPr>
            <w:tcW w:type="dxa" w:w="2160"/>
          </w:tcPr>
          <w:p>
            <w:r>
              <w:t>Decimal</w:t>
            </w:r>
          </w:p>
        </w:tc>
        <w:tc>
          <w:tcPr>
            <w:tcW w:type="dxa" w:w="2160"/>
          </w:tcPr>
          <w:p>
            <w:r>
              <w:t>Yes</w:t>
            </w:r>
          </w:p>
        </w:tc>
        <w:tc>
          <w:tcPr>
            <w:tcW w:type="dxa" w:w="2160"/>
          </w:tcPr>
          <w:p>
            <w:r>
              <w:t>RBI/CBIC-notified exchange rate on filing date</w:t>
            </w:r>
          </w:p>
        </w:tc>
      </w:tr>
      <w:tr>
        <w:tc>
          <w:tcPr>
            <w:tcW w:type="dxa" w:w="2160"/>
          </w:tcPr>
          <w:p>
            <w:r>
              <w:t>Importer / Exporter (PartyId FK)</w:t>
            </w:r>
          </w:p>
        </w:tc>
        <w:tc>
          <w:tcPr>
            <w:tcW w:type="dxa" w:w="2160"/>
          </w:tcPr>
          <w:p>
            <w:r>
              <w:t>FK</w:t>
            </w:r>
          </w:p>
        </w:tc>
        <w:tc>
          <w:tcPr>
            <w:tcW w:type="dxa" w:w="2160"/>
          </w:tcPr>
          <w:p>
            <w:r>
              <w:t>Yes</w:t>
            </w:r>
          </w:p>
        </w:tc>
        <w:tc>
          <w:tcPr>
            <w:tcW w:type="dxa" w:w="2160"/>
          </w:tcPr>
          <w:p>
            <w:r>
              <w:t>Must carry valid IEC (via linked Party)</w:t>
            </w:r>
          </w:p>
        </w:tc>
      </w:tr>
      <w:tr>
        <w:tc>
          <w:tcPr>
            <w:tcW w:type="dxa" w:w="2160"/>
          </w:tcPr>
          <w:p>
            <w:r>
              <w:t>Broker (PartyId FK)</w:t>
            </w:r>
          </w:p>
        </w:tc>
        <w:tc>
          <w:tcPr>
            <w:tcW w:type="dxa" w:w="2160"/>
          </w:tcPr>
          <w:p>
            <w:r>
              <w:t>FK</w:t>
            </w:r>
          </w:p>
        </w:tc>
        <w:tc>
          <w:tcPr>
            <w:tcW w:type="dxa" w:w="2160"/>
          </w:tcPr>
          <w:p>
            <w:r>
              <w:t>Yes</w:t>
            </w:r>
          </w:p>
        </w:tc>
        <w:tc>
          <w:tcPr>
            <w:tcW w:type="dxa" w:w="2160"/>
          </w:tcPr>
          <w:p>
            <w:r/>
          </w:p>
        </w:tc>
      </w:tr>
      <w:tr>
        <w:tc>
          <w:tcPr>
            <w:tcW w:type="dxa" w:w="2160"/>
          </w:tcPr>
          <w:p>
            <w:r>
              <w:t>FilingDate</w:t>
            </w:r>
          </w:p>
        </w:tc>
        <w:tc>
          <w:tcPr>
            <w:tcW w:type="dxa" w:w="2160"/>
          </w:tcPr>
          <w:p>
            <w:r>
              <w:t>DateTime</w:t>
            </w:r>
          </w:p>
        </w:tc>
        <w:tc>
          <w:tcPr>
            <w:tcW w:type="dxa" w:w="2160"/>
          </w:tcPr>
          <w:p>
            <w:r>
              <w:t>No</w:t>
            </w:r>
          </w:p>
        </w:tc>
        <w:tc>
          <w:tcPr>
            <w:tcW w:type="dxa" w:w="2160"/>
          </w:tcPr>
          <w:p>
            <w:r>
              <w:t>Set on submission</w:t>
            </w:r>
          </w:p>
        </w:tc>
      </w:tr>
      <w:tr>
        <w:tc>
          <w:tcPr>
            <w:tcW w:type="dxa" w:w="2160"/>
          </w:tcPr>
          <w:p>
            <w:r>
              <w:t>Version</w:t>
            </w:r>
          </w:p>
        </w:tc>
        <w:tc>
          <w:tcPr>
            <w:tcW w:type="dxa" w:w="2160"/>
          </w:tcPr>
          <w:p>
            <w:r>
              <w:t>Decimal</w:t>
            </w:r>
          </w:p>
        </w:tc>
        <w:tc>
          <w:tcPr>
            <w:tcW w:type="dxa" w:w="2160"/>
          </w:tcPr>
          <w:p>
            <w:r>
              <w:t>Yes</w:t>
            </w:r>
          </w:p>
        </w:tc>
        <w:tc>
          <w:tcPr>
            <w:tcW w:type="dxa" w:w="2160"/>
          </w:tcPr>
          <w:p>
            <w:r>
              <w:t>Initialized at 1.0 per FR-DEC-001; incremented on amendment</w:t>
            </w:r>
          </w:p>
        </w:tc>
      </w:tr>
      <w:tr>
        <w:tc>
          <w:tcPr>
            <w:tcW w:type="dxa" w:w="2160"/>
          </w:tcPr>
          <w:p>
            <w:r>
              <w:t>AmendmentOfDeclarationId</w:t>
            </w:r>
          </w:p>
        </w:tc>
        <w:tc>
          <w:tcPr>
            <w:tcW w:type="dxa" w:w="2160"/>
          </w:tcPr>
          <w:p>
            <w:r>
              <w:t>FK (self-ref)</w:t>
            </w:r>
          </w:p>
        </w:tc>
        <w:tc>
          <w:tcPr>
            <w:tcW w:type="dxa" w:w="2160"/>
          </w:tcPr>
          <w:p>
            <w:r>
              <w:t>No</w:t>
            </w:r>
          </w:p>
        </w:tc>
        <w:tc>
          <w:tcPr>
            <w:tcW w:type="dxa" w:w="2160"/>
          </w:tcPr>
          <w:p>
            <w:r>
              <w:t>Links amendment declarations to the original, per FR-DEC-007</w:t>
            </w:r>
          </w:p>
        </w:tc>
      </w:tr>
      <w:tr>
        <w:tc>
          <w:tcPr>
            <w:tcW w:type="dxa" w:w="2160"/>
          </w:tcPr>
          <w:p>
            <w:r>
              <w:t>ShipmentId or CourierShipmentId (FK)</w:t>
            </w:r>
          </w:p>
        </w:tc>
        <w:tc>
          <w:tcPr>
            <w:tcW w:type="dxa" w:w="2160"/>
          </w:tcPr>
          <w:p>
            <w:r>
              <w:t>FK (one of)</w:t>
            </w:r>
          </w:p>
        </w:tc>
        <w:tc>
          <w:tcPr>
            <w:tcW w:type="dxa" w:w="2160"/>
          </w:tcPr>
          <w:p>
            <w:r>
              <w:t>Yes</w:t>
            </w:r>
          </w:p>
        </w:tc>
        <w:tc>
          <w:tcPr>
            <w:tcW w:type="dxa" w:w="2160"/>
          </w:tcPr>
          <w:p>
            <w:r>
              <w:t>Declaration belongs to exactly one Shipment or CourierShipment</w:t>
            </w:r>
          </w:p>
        </w:tc>
      </w:tr>
      <w:tr>
        <w:tc>
          <w:tcPr>
            <w:tcW w:type="dxa" w:w="2160"/>
          </w:tcPr>
          <w:p>
            <w:r>
              <w:t>CreatedAt / SubmittedAt</w:t>
            </w:r>
          </w:p>
        </w:tc>
        <w:tc>
          <w:tcPr>
            <w:tcW w:type="dxa" w:w="2160"/>
          </w:tcPr>
          <w:p>
            <w:r>
              <w:t>DateTime</w:t>
            </w:r>
          </w:p>
        </w:tc>
        <w:tc>
          <w:tcPr>
            <w:tcW w:type="dxa" w:w="2160"/>
          </w:tcPr>
          <w:p>
            <w:r>
              <w:t>Yes / No</w:t>
            </w:r>
          </w:p>
        </w:tc>
        <w:tc>
          <w:tcPr>
            <w:tcW w:type="dxa" w:w="2160"/>
          </w:tcPr>
          <w:p>
            <w:r/>
          </w:p>
        </w:tc>
      </w:tr>
    </w:tbl>
    <w:p/>
    <w:p>
      <w:r>
        <w:rPr>
          <w:b w:val="0"/>
          <w:i w:val="0"/>
        </w:rPr>
        <w:t>Related sub-entity (1-to-many from Declaration): DeclarationCommodityLine (join of Declaration ↔ Commodity, since a Commodity can in principle be re-declared across an amendment while the original commodity record stays immutable per versioning rules).</w:t>
      </w:r>
    </w:p>
    <w:p>
      <w:pPr>
        <w:pStyle w:val="Heading1"/>
      </w:pPr>
      <w:r>
        <w:t>7. ER Diagram v0.1 (Draft)</w:t>
      </w:r>
    </w:p>
    <w:p>
      <w:r>
        <w:rPr>
          <w:b w:val="0"/>
          <w:i w:val="0"/>
        </w:rPr>
        <w:t>Text-based diagram. Cardinalities shown as (1) / (N). Forward-referenced entities (Charges, Permits, Rules) shown as dashed placeholders — not detailed until Day 3.</w:t>
      </w:r>
    </w:p>
    <w:p>
      <w:r>
        <w:rPr>
          <w:rFonts w:ascii="Consolas" w:hAnsi="Consolas"/>
          <w:sz w:val="18"/>
        </w:rPr>
        <w:br/>
        <w:t xml:space="preserve">   +----------------+           +---------------------+</w:t>
        <w:br/>
        <w:t xml:space="preserve">   |     Party      |&lt;---(N)----| ShipmentParty (join) |</w:t>
        <w:br/>
        <w:t xml:space="preserve">   |----------------|           |  Role: Shipper/      |</w:t>
        <w:br/>
        <w:t xml:space="preserve">   | PartyId (PK)   |           |  Consignee/Importer/ |</w:t>
        <w:br/>
        <w:t xml:space="preserve">   | PartyType      |           |  Exporter/Broker/... |</w:t>
        <w:br/>
        <w:t xml:space="preserve">   | GSTIN / IEC/PAN|           +----------+------------+</w:t>
        <w:br/>
        <w:t xml:space="preserve">   | Address        |                      |</w:t>
        <w:br/>
        <w:t xml:space="preserve">   +----------------+                     (N)</w:t>
        <w:br/>
        <w:t xml:space="preserve">          ^                                |</w:t>
        <w:br/>
        <w:t xml:space="preserve">          | (N)                            v</w:t>
        <w:br/>
        <w:t xml:space="preserve">          |                       +------------------+</w:t>
        <w:br/>
        <w:t xml:space="preserve">          |                       |    Shipment      |</w:t>
        <w:br/>
        <w:t xml:space="preserve">          +----------------------&gt;|------------------|</w:t>
        <w:br/>
        <w:t xml:space="preserve">                                   | ShipmentId (PK)  |</w:t>
        <w:br/>
        <w:t xml:space="preserve">                                   | ShipmentNumber   |</w:t>
        <w:br/>
        <w:t xml:space="preserve">                                   | TransportMode    |</w:t>
        <w:br/>
        <w:t xml:space="preserve">                                   | Direction        |</w:t>
        <w:br/>
        <w:t xml:space="preserve">                                   | CurrentStatus    |</w:t>
        <w:br/>
        <w:t xml:space="preserve">                                   +---------+--------+</w:t>
        <w:br/>
        <w:t xml:space="preserve">                                             | (1)</w:t>
        <w:br/>
        <w:t xml:space="preserve">                                             |</w:t>
        <w:br/>
        <w:t xml:space="preserve">                                             v (N)</w:t>
        <w:br/>
        <w:t xml:space="preserve">                                   +------------------+</w:t>
        <w:br/>
        <w:t xml:space="preserve">                                   |    Commodity     |</w:t>
        <w:br/>
        <w:t xml:space="preserve">                                   |------------------|</w:t>
        <w:br/>
        <w:t xml:space="preserve">                                   | CommodityId (PK) |</w:t>
        <w:br/>
        <w:t xml:space="preserve">                                   | ITC_HSCode       |</w:t>
        <w:br/>
        <w:t xml:space="preserve">                                   | CustomsValue     |</w:t>
        <w:br/>
        <w:t xml:space="preserve">                                   | ControlledGoods  |</w:t>
        <w:br/>
        <w:t xml:space="preserve">                                   +---------+--------+</w:t>
        <w:br/>
        <w:t xml:space="preserve">                                             | (N)</w:t>
        <w:br/>
        <w:t xml:space="preserve">                                             v</w:t>
        <w:br/>
        <w:t xml:space="preserve">                                   +------------------------+</w:t>
        <w:br/>
        <w:t xml:space="preserve">                                   | DeclarationCommodityLine|</w:t>
        <w:br/>
        <w:t xml:space="preserve">                                   |  (join)                 |</w:t>
        <w:br/>
        <w:t xml:space="preserve">                                   +-----------+--------------+</w:t>
        <w:br/>
        <w:t xml:space="preserve">                                               | (N)</w:t>
        <w:br/>
        <w:t xml:space="preserve">                                               v (1)</w:t>
        <w:br/>
        <w:t xml:space="preserve">                                   +------------------+</w:t>
        <w:br/>
        <w:t xml:space="preserve">                                   |   Declaration    |</w:t>
        <w:br/>
        <w:t xml:space="preserve">                                   |------------------|</w:t>
        <w:br/>
        <w:t xml:space="preserve">                                   | DeclarationId(PK)|</w:t>
        <w:br/>
        <w:t xml:space="preserve">                                   | DeclarationType  |</w:t>
        <w:br/>
        <w:t xml:space="preserve">                                   | CT / CUS / RAT/  |</w:t>
        <w:br/>
        <w:t xml:space="preserve">                                   |   MAN            |</w:t>
        <w:br/>
        <w:t xml:space="preserve">                                   | ShipmentId (FK)  |</w:t>
        <w:br/>
        <w:t xml:space="preserve">                                   | or CourierShip-  |</w:t>
        <w:br/>
        <w:t xml:space="preserve">                                   |   mentId (FK)    |</w:t>
        <w:br/>
        <w:t xml:space="preserve">                                   +---------+--------+</w:t>
        <w:br/>
        <w:t xml:space="preserve">                                             |</w:t>
        <w:br/>
        <w:t xml:space="preserve">                                    (dashed forward refs)</w:t>
        <w:br/>
        <w:t xml:space="preserve">                                             v</w:t>
        <w:br/>
        <w:t xml:space="preserve">                        - - - - - - - - - - - - - - - - - - -</w:t>
        <w:br/>
        <w:t xml:space="preserve">                        : Charges  : Permits : Rules/Segregation :</w:t>
        <w:br/>
        <w:t xml:space="preserve">                        : (Day 3)  : (Day 3) : Decision (Day 3)  :</w:t>
        <w:br/>
        <w:t xml:space="preserve">                        - - - - - - - - - - - - - - - - - - -</w:t>
        <w:br/>
        <w:br/>
        <w:t xml:space="preserve">   +------------------------+</w:t>
        <w:br/>
        <w:t xml:space="preserve">   |   CourierShipment      |</w:t>
        <w:br/>
        <w:t xml:space="preserve">   |------------------------|         Shares Party (N)-(N) and</w:t>
        <w:br/>
        <w:t xml:space="preserve">   | CourierShipmentId (PK) |&lt;------  Commodity (1)-(N) links</w:t>
        <w:br/>
        <w:t xml:space="preserve">   | ImportPurpose          |         identically to Shipment,</w:t>
        <w:br/>
        <w:t xml:space="preserve">   | ImporterType           |         but is a separate aggregate</w:t>
        <w:br/>
        <w:t xml:space="preserve">   | DeclaredValue          |         root (Day 1 decision: Courier</w:t>
        <w:br/>
        <w:t xml:space="preserve">   | CourierRegistrationNo  |         is first-class, not a subtype).</w:t>
        <w:br/>
        <w:t xml:space="preserve">   +------------------------+</w:t>
        <w:br/>
      </w:r>
    </w:p>
    <w:p>
      <w:pPr>
        <w:pStyle w:val="Heading1"/>
      </w:pPr>
      <w:r>
        <w:t>8. Notes &amp; Rationale</w:t>
      </w:r>
    </w:p>
    <w:p>
      <w:pPr>
        <w:pStyle w:val="Heading2"/>
      </w:pPr>
      <w:r>
        <w:t>8.1 Why Party Is Not Split Into Separate Tables</w:t>
      </w:r>
    </w:p>
    <w:p>
      <w:r>
        <w:rPr>
          <w:b w:val="0"/>
          <w:i w:val="0"/>
        </w:rPr>
        <w:t>The PRD (Ch.2.4) lists Shipper, Consignee, Importer, Exporter, Notify Party, Customs Broker, and Freight Forwarder as if they were distinct entities. Modeling them as separate tables would duplicate the same organization's data whenever it plays multiple roles (e.g. a broker who is also a customer's registered importer-of-record). A single Party entity with a role join table avoids this duplication and matches standard DDD practice for this kind of actor model.</w:t>
      </w:r>
    </w:p>
    <w:p>
      <w:pPr>
        <w:pStyle w:val="Heading2"/>
      </w:pPr>
      <w:r>
        <w:t>8.2 Why CourierShipment Is a Separate Aggregate, Not a Shipment Subtype</w:t>
      </w:r>
    </w:p>
    <w:p>
      <w:r>
        <w:rPr>
          <w:b w:val="0"/>
          <w:i w:val="0"/>
        </w:rPr>
        <w:t>This directly implements the Day 1 decision. Courier shipments in India follow the Courier Imports and Exports (Clearance) Regulations, with a different document flow (courier bill of entry/shipping bill) and different de minimis-relevant inputs (ImportPurpose, ImporterType) that don't apply to formal cargo. Forcing this into the Shipment table as a "CourierFlag" would leak courier-specific fields into every Shipment query and complicate the mode-agnostic design principle from Day 1.</w:t>
      </w:r>
    </w:p>
    <w:p>
      <w:pPr>
        <w:pStyle w:val="Heading2"/>
      </w:pPr>
      <w:r>
        <w:t>8.3 India-Specific Fields Not Present in the Generic PRD</w:t>
      </w:r>
    </w:p>
    <w:p>
      <w:pPr>
        <w:pStyle w:val="ListBullet"/>
      </w:pPr>
      <w:r>
        <w:t>IEC (Importer-Exporter Code) on Party — mandatory for Indian import/export declarations; the PRD's generic "Tax Registration" field does not capture this.</w:t>
      </w:r>
    </w:p>
    <w:p>
      <w:pPr>
        <w:pStyle w:val="ListBullet"/>
      </w:pPr>
      <w:r>
        <w:t>GSTIN on Party — required for GST liability determination; not in the PRD's generic model.</w:t>
      </w:r>
    </w:p>
    <w:p>
      <w:pPr>
        <w:pStyle w:val="ListBullet"/>
      </w:pPr>
      <w:r>
        <w:t>ITC_HSCode as an 8-digit field on Commodity, distinct from the PRD's generic 6-10 digit "HS Code" — aligned with India's national tariff structure (per PRD Ch.8.5, "National Extension 8–12 digits," narrowed to India's actual 8-digit standard).</w:t>
      </w:r>
    </w:p>
    <w:p>
      <w:pPr>
        <w:pStyle w:val="ListBullet"/>
      </w:pPr>
      <w:r>
        <w:t>DGFTLicenseRef on Commodity — added per Day 1 scope decision (DGFT License Validation) and not present in the generic PRD commodity model.</w:t>
      </w:r>
    </w:p>
    <w:p>
      <w:pPr>
        <w:pStyle w:val="Heading2"/>
      </w:pPr>
      <w:r>
        <w:t>8.4 What Is Deliberately Not Yet Modeled (Day 3 Scope)</w:t>
      </w:r>
    </w:p>
    <w:p>
      <w:pPr>
        <w:pStyle w:val="ListBullet"/>
      </w:pPr>
      <w:r>
        <w:t>Charges (Duty, GST, Cess amounts) — attached to Commodity/Declaration but not detailed here.</w:t>
      </w:r>
    </w:p>
    <w:p>
      <w:pPr>
        <w:pStyle w:val="ListBullet"/>
      </w:pPr>
      <w:r>
        <w:t>Permits — Permit entity and its link to Commodity/Compliance Engine.</w:t>
      </w:r>
    </w:p>
    <w:p>
      <w:pPr>
        <w:pStyle w:val="ListBullet"/>
      </w:pPr>
      <w:r>
        <w:t>Shipment Indicators — structure exists on Shipment, content/rules deferred.</w:t>
      </w:r>
    </w:p>
    <w:p>
      <w:pPr>
        <w:pStyle w:val="ListBullet"/>
      </w:pPr>
      <w:r>
        <w:t>Rules/Segregation entities — the rule, condition, priority, decision-trace model that the Day 1 Section 4.4 de minimis constraint depends on.</w:t>
      </w:r>
    </w:p>
    <w:p>
      <w:r>
        <w:rPr>
          <w:b w:val="0"/>
          <w:i/>
        </w:rPr>
        <w:t>These are Day 3's explicit deliverable ("Draft entity model for Charges, Permits, Shipment Indicators, and the Rules/Segregation model") and are intentionally left as placeholders here so this document stays accurate about what it does and does not cover.</w:t>
      </w:r>
    </w:p>
    <w:p>
      <w:pPr>
        <w:pStyle w:val="Heading1"/>
      </w:pPr>
      <w:r>
        <w:t>9. Open Questions for Day 4 Review</w:t>
      </w:r>
    </w:p>
    <w:p>
      <w:pPr>
        <w:pStyle w:val="ListBullet"/>
      </w:pPr>
      <w:r>
        <w:t>Confirm whether DeclarationCommodityLine should snapshot Commodity values at declaration time (for immutability of a filed declaration even if the Commodity record later changes) or always reference the live Commodity record with its own version pointer. PRD's versioning language (Ch.7.11, Ch.6.10) suggests snapshot-at-version is likely correct, but this affects schema design (Day 1 of Phase 0, Days 31+) and should be confirmed before Day 4's model sign-off.</w:t>
      </w:r>
    </w:p>
    <w:p>
      <w:pPr>
        <w:pStyle w:val="ListBullet"/>
      </w:pPr>
      <w:r>
        <w:t>Confirm whether CourierShipment needs its own Declaration subtype/simplified schema (India courier bill of entry is a simplified form) or can reuse the same Declaration entity with a DeclarationType discriminator — leaning toward the latter for consistency, pending confirmation.</w:t>
      </w:r>
    </w:p>
    <w:p>
      <w:pPr>
        <w:pStyle w:val="ListBullet"/>
      </w:pPr>
      <w:r>
        <w:t>Confirm PAN vs GSTIN precedence rules for individual importers without GST registration — affects Party validation rules to be defined in Day 4.</w:t>
      </w:r>
    </w:p>
    <w:p>
      <w:pPr>
        <w:pStyle w:val="Heading1"/>
      </w:pPr>
      <w:r>
        <w:t>10. Traceability</w:t>
      </w:r>
    </w:p>
    <w:p>
      <w:r>
        <w:rPr>
          <w:b w:val="0"/>
          <w:i/>
        </w:rPr>
        <w:t>This deliverable satisfies Day 2 of the Day-Wise Plan: "Draft entity attributes for Shipment, Declaration, Commodity, Party (from PRD Ch.2, 4, 6, 7), adapted for India (ITC-HS 8-digit, GST/Cess fields)." Deliverable produced: Draft ER diagram v0.1, above.</w:t>
      </w:r>
    </w:p>
    <w:p>
      <w:r>
        <w:rPr>
          <w:b w:val="0"/>
          <w:i/>
        </w:rPr>
        <w:t>Next: Day 3 — Canonical Data Model, Rules &amp; Charges (Charges, Permits, Shipment Indicators, Rules/Segregation model), producing ER diagram v0.2.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