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Deliverable — Canonical Data Model: Rules &amp; Charges (ER Diagram v0.2)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3 of 20</w:t>
      </w:r>
    </w:p>
    <w:p>
      <w:r>
        <w:rPr>
          <w:b w:val="0"/>
          <w:i w:val="0"/>
        </w:rPr>
        <w:t>Jurisdiction: India (MVP)</w:t>
      </w:r>
    </w:p>
    <w:p>
      <w:r>
        <w:rPr>
          <w:b w:val="0"/>
          <w:i w:val="0"/>
        </w:rPr>
        <w:t>Source: CustomsClearance_PRD.docx (Ch.2.7 Charges, Ch.2.8 Permit, Ch.2.9 Shipment Indicators, Ch.5 Segregation Engine) + Day 1 bounded-context decisions + Day 2 core entity model (v0.1)</w:t>
      </w:r>
    </w:p>
    <w:p>
      <w:r>
        <w:rPr>
          <w:b w:val="0"/>
          <w:i w:val="0"/>
        </w:rPr>
        <w:t>Deliverable per plan: Draft entity model for Charges, Permits, Shipment Indicators, and the Rules/Segregation model — ER diagram v0.2 including rules entities</w:t>
      </w:r>
    </w:p>
    <w:p>
      <w:pPr>
        <w:pStyle w:val="Heading1"/>
      </w:pPr>
      <w:r>
        <w:t>1. Scope of This Draft</w:t>
      </w:r>
    </w:p>
    <w:p>
      <w:r>
        <w:rPr>
          <w:b w:val="0"/>
          <w:i w:val="0"/>
        </w:rPr>
        <w:t>This extends the Day 2 core model (Party, Shipment, CourierShipment, Commodity, Declaration) with four entity groups: Charges, Permits, Shipment Indicators, and the Rules/Segregation model. The Rules model is the most consequential addition — it must directly implement the Day 1 binding constraint (Section 4.4 of the Day 1 deliverable): de minimis and segregation decisions cannot be hardcoded and must support jurisdiction-specific, effective-dated evaluation across channel, purpose, importer type, and commodity.</w:t>
      </w:r>
    </w:p>
    <w:p>
      <w:pPr>
        <w:pStyle w:val="ListBullet"/>
      </w:pPr>
      <w:r>
        <w:t>Day 2 open question carried forward unresolved: whether DeclarationCommodityLine snapshots Commodity values at filing time. This entity model assumes snapshot-at-version (each line stores the CommodityVersion it was filed against) since that is required for Charges to be reproducible for audit — this is now a working assumption, not yet a confirmed decision. Flagged again in Section 7.</w:t>
      </w:r>
    </w:p>
    <w:p>
      <w:pPr>
        <w:pStyle w:val="Heading1"/>
      </w:pPr>
      <w:r>
        <w:t>2. Entity: Charge</w:t>
      </w:r>
    </w:p>
    <w:p>
      <w:r>
        <w:rPr>
          <w:b w:val="0"/>
          <w:i w:val="0"/>
        </w:rPr>
        <w:t>Owned jointly by the Duty &amp; Tax Engine and Declaration Management (Day 1 contexts #6, #5). A Charge can attach to a Commodity (duty/tax, calculated per line) or to a Declaration (brokerage fee, calculated once per filing).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India-Specific Note</w:t>
            </w:r>
          </w:p>
        </w:tc>
      </w:tr>
      <w:tr>
        <w:tc>
          <w:tcPr>
            <w:tcW w:type="dxa" w:w="2160"/>
          </w:tcPr>
          <w:p>
            <w:r>
              <w:t>ChargeId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ChargeCode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BCD, IGST, SocialWelfareCess, AntiDumpingDuty, SafeguardDuty, BrokerageFee, Other</w:t>
            </w:r>
          </w:p>
        </w:tc>
      </w:tr>
      <w:tr>
        <w:tc>
          <w:tcPr>
            <w:tcW w:type="dxa" w:w="2160"/>
          </w:tcPr>
          <w:p>
            <w:r>
              <w:t>ChargeLevel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CommodityLine or DeclarationHeader — determines FK target</w:t>
            </w:r>
          </w:p>
        </w:tc>
      </w:tr>
      <w:tr>
        <w:tc>
          <w:tcPr>
            <w:tcW w:type="dxa" w:w="2160"/>
          </w:tcPr>
          <w:p>
            <w:r>
              <w:t>CommodityId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Set when ChargeLevel = CommodityLine</w:t>
            </w:r>
          </w:p>
        </w:tc>
      </w:tr>
      <w:tr>
        <w:tc>
          <w:tcPr>
            <w:tcW w:type="dxa" w:w="2160"/>
          </w:tcPr>
          <w:p>
            <w:r>
              <w:t>DeclarationId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Always set — every charge belongs to exactly one declaration</w:t>
            </w:r>
          </w:p>
        </w:tc>
      </w:tr>
      <w:tr>
        <w:tc>
          <w:tcPr>
            <w:tcW w:type="dxa" w:w="2160"/>
          </w:tcPr>
          <w:p>
            <w:r>
              <w:t>CalculationMethod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AdValorem (% of value), Specific (per unit), Compound</w:t>
            </w:r>
          </w:p>
        </w:tc>
      </w:tr>
      <w:tr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Sourced from India tariff master (BCD/Cess) or GST rate schedule (IGST)</w:t>
            </w:r>
          </w:p>
        </w:tc>
      </w:tr>
      <w:tr>
        <w:tc>
          <w:tcPr>
            <w:tcW w:type="dxa" w:w="2160"/>
          </w:tcPr>
          <w:p>
            <w:r>
              <w:t>BaseAmount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Assessable value the rate is applied to (CustomsValue, StatisticalValue, or cumulative BCD+Value for IGST cascade)</w:t>
            </w:r>
          </w:p>
        </w:tc>
      </w:tr>
      <w:tr>
        <w:tc>
          <w:tcPr>
            <w:tcW w:type="dxa" w:w="2160"/>
          </w:tcPr>
          <w:p>
            <w:r>
              <w:t>CalculatedAmount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ISO Currency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INR for India-filed declarations</w:t>
            </w:r>
          </w:p>
        </w:tc>
      </w:tr>
      <w:tr>
        <w:tc>
          <w:tcPr>
            <w:tcW w:type="dxa" w:w="2160"/>
          </w:tcPr>
          <w:p>
            <w:r>
              <w:t>TaxableFlag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Whether this charge itself is subject to further tax (relevant for IGST-on-BCD cascade)</w:t>
            </w:r>
          </w:p>
        </w:tc>
      </w:tr>
      <w:tr>
        <w:tc>
          <w:tcPr>
            <w:tcW w:type="dxa" w:w="2160"/>
          </w:tcPr>
          <w:p>
            <w:r>
              <w:t>AutoManualIndicator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Auto (engine-calculated) or Manual (broker override, per BR-DEC/COM audit rules)</w:t>
            </w:r>
          </w:p>
        </w:tc>
      </w:tr>
      <w:tr>
        <w:tc>
          <w:tcPr>
            <w:tcW w:type="dxa" w:w="2160"/>
          </w:tcPr>
          <w:p>
            <w:r>
              <w:t>SourceRuleRef</w:t>
            </w:r>
          </w:p>
        </w:tc>
        <w:tc>
          <w:tcPr>
            <w:tcW w:type="dxa" w:w="2160"/>
          </w:tcPr>
          <w:p>
            <w:r>
              <w:t>FK to Rule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Traceability to the Rule that determined the rate — links to Section 5 Rule entity</w:t>
            </w:r>
          </w:p>
        </w:tc>
      </w:tr>
      <w:tr>
        <w:tc>
          <w:tcPr>
            <w:tcW w:type="dxa" w:w="2160"/>
          </w:tcPr>
          <w:p>
            <w:r>
              <w:t>CreatedAt / Version</w:t>
            </w:r>
          </w:p>
        </w:tc>
        <w:tc>
          <w:tcPr>
            <w:tcW w:type="dxa" w:w="2160"/>
          </w:tcPr>
          <w:p>
            <w:r>
              <w:t>DateTime / 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Recalculation creates a new version, per PRD BR-COM-005/006</w:t>
            </w:r>
          </w:p>
        </w:tc>
      </w:tr>
    </w:tbl>
    <w:p/>
    <w:p>
      <w:pPr>
        <w:pStyle w:val="Heading1"/>
      </w:pPr>
      <w:r>
        <w:t>3. Entity: Permit</w:t>
      </w:r>
    </w:p>
    <w:p>
      <w:r>
        <w:rPr>
          <w:b w:val="0"/>
          <w:i w:val="0"/>
        </w:rPr>
        <w:t>Owned by Permit Management (Day 1 context #7 — standalone bounded context, co-deployed with Compliance Engine for MVP). Includes DGFT license as a permit subtype since India treats DGFT authorizations through the same approval-gate mechanism operationally.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India-Specific Note</w:t>
            </w:r>
          </w:p>
        </w:tc>
      </w:tr>
      <w:tr>
        <w:tc>
          <w:tcPr>
            <w:tcW w:type="dxa" w:w="2160"/>
          </w:tcPr>
          <w:p>
            <w:r>
              <w:t>PermitId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PermitNumber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PermitType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ImportLicense, DGFTAuthorization, EndUseCertificate, HealthCertificate, PlantQuarantine, Other</w:t>
            </w:r>
          </w:p>
        </w:tc>
      </w:tr>
      <w:tr>
        <w:tc>
          <w:tcPr>
            <w:tcW w:type="dxa" w:w="2160"/>
          </w:tcPr>
          <w:p>
            <w:r>
              <w:t>IssuingAgency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e.g. DGFT, FSSAI, Plant Quarantine, WCCB — Indian OGA agencies</w:t>
            </w:r>
          </w:p>
        </w:tc>
      </w:tr>
      <w:tr>
        <w:tc>
          <w:tcPr>
            <w:tcW w:type="dxa" w:w="2160"/>
          </w:tcPr>
          <w:p>
            <w:r>
              <w:t>IssueDate / ExpiryDate</w:t>
            </w:r>
          </w:p>
        </w:tc>
        <w:tc>
          <w:tcPr>
            <w:tcW w:type="dxa" w:w="2160"/>
          </w:tcPr>
          <w:p>
            <w:r>
              <w:t>Date / Date</w:t>
            </w:r>
          </w:p>
        </w:tc>
        <w:tc>
          <w:tcPr>
            <w:tcW w:type="dxa" w:w="2160"/>
          </w:tcPr>
          <w:p>
            <w:r>
              <w:t>Yes / 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Requested, Pending, Approved, Rejected, Expired</w:t>
            </w:r>
          </w:p>
        </w:tc>
      </w:tr>
      <w:tr>
        <w:tc>
          <w:tcPr>
            <w:tcW w:type="dxa" w:w="2160"/>
          </w:tcPr>
          <w:p>
            <w:r>
              <w:t>CommodityId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Linked commodity requiring the permit</w:t>
            </w:r>
          </w:p>
        </w:tc>
      </w:tr>
      <w:tr>
        <w:tc>
          <w:tcPr>
            <w:tcW w:type="dxa" w:w="2160"/>
          </w:tcPr>
          <w:p>
            <w:r>
              <w:t>DGFTLicenseRef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Cross-reference to Commodity.DGFTLicenseRef (Day 2) for consistency</w:t>
            </w:r>
          </w:p>
        </w:tc>
      </w:tr>
      <w:tr>
        <w:tc>
          <w:tcPr>
            <w:tcW w:type="dxa" w:w="2160"/>
          </w:tcPr>
          <w:p>
            <w:r>
              <w:t>ApprovalBlocksSubmission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True for all Indian OGA-controlled goods — declaration cannot reach Submitted status while any linked Permit.Status != Approved</w:t>
            </w:r>
          </w:p>
        </w:tc>
      </w:tr>
      <w:tr>
        <w:tc>
          <w:tcPr>
            <w:tcW w:type="dxa" w:w="2160"/>
          </w:tcPr>
          <w:p>
            <w:r>
              <w:t>CreatedAt / UpdatedAt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Audit timestamps</w:t>
            </w:r>
          </w:p>
        </w:tc>
      </w:tr>
    </w:tbl>
    <w:p/>
    <w:p>
      <w:pPr>
        <w:pStyle w:val="Heading1"/>
      </w:pPr>
      <w:r>
        <w:t>4. Entity: ShipmentIndicator</w:t>
      </w:r>
    </w:p>
    <w:p>
      <w:r>
        <w:rPr>
          <w:b w:val="0"/>
          <w:i w:val="0"/>
        </w:rPr>
        <w:t>Owned by Shipment Management / Segregation Engine (Day 1 contexts #1, #2). A many-valued attribute set on Shipment or CourierShipment, auto-assigned by rules or manually added by authorized users.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India-Specific Note</w:t>
            </w:r>
          </w:p>
        </w:tc>
      </w:tr>
      <w:tr>
        <w:tc>
          <w:tcPr>
            <w:tcW w:type="dxa" w:w="2160"/>
          </w:tcPr>
          <w:p>
            <w:r>
              <w:t>ShipmentIndicatorId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ShipmentId or CourierShipmentId (FK)</w:t>
            </w:r>
          </w:p>
        </w:tc>
        <w:tc>
          <w:tcPr>
            <w:tcW w:type="dxa" w:w="2160"/>
          </w:tcPr>
          <w:p>
            <w:r>
              <w:t>FK (one of)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Mirrors the Declaration FK pattern from Day 2</w:t>
            </w:r>
          </w:p>
        </w:tc>
      </w:tr>
      <w:tr>
        <w:tc>
          <w:tcPr>
            <w:tcW w:type="dxa" w:w="2160"/>
          </w:tcPr>
          <w:p>
            <w:r>
              <w:t>IndicatorCode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DUT, OGA, FTZ, HFC, DDL, IBG, AEO, DGFTHOLD, RESTRICTEDGOODS (India-specific codes added)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Auto (Segregation Engine) or Manual (user)</w:t>
            </w:r>
          </w:p>
        </w:tc>
      </w:tr>
      <w:tr>
        <w:tc>
          <w:tcPr>
            <w:tcW w:type="dxa" w:w="2160"/>
          </w:tcPr>
          <w:p>
            <w:r>
              <w:t>SourceRuleRef</w:t>
            </w:r>
          </w:p>
        </w:tc>
        <w:tc>
          <w:tcPr>
            <w:tcW w:type="dxa" w:w="2160"/>
          </w:tcPr>
          <w:p>
            <w:r>
              <w:t>FK to Rule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Set when Source = Auto — traceability to Section 5 Rule entity</w:t>
            </w:r>
          </w:p>
        </w:tc>
      </w:tr>
      <w:tr>
        <w:tc>
          <w:tcPr>
            <w:tcW w:type="dxa" w:w="2160"/>
          </w:tcPr>
          <w:p>
            <w:r>
              <w:t>AddedBy</w:t>
            </w:r>
          </w:p>
        </w:tc>
        <w:tc>
          <w:tcPr>
            <w:tcW w:type="dxa" w:w="2160"/>
          </w:tcPr>
          <w:p>
            <w:r>
              <w:t>FK to User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Set when Source = Manual</w:t>
            </w:r>
          </w:p>
        </w:tc>
      </w:tr>
      <w:tr>
        <w:tc>
          <w:tcPr>
            <w:tcW w:type="dxa" w:w="2160"/>
          </w:tcPr>
          <w:p>
            <w:r>
              <w:t>AddedAt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Indicators are soft-removed for audit, never hard-deleted</w:t>
            </w:r>
          </w:p>
        </w:tc>
      </w:tr>
    </w:tbl>
    <w:p/>
    <w:p>
      <w:pPr>
        <w:pStyle w:val="Heading1"/>
      </w:pPr>
      <w:r>
        <w:t>5. Rules &amp; Segregation Model</w:t>
      </w:r>
    </w:p>
    <w:p>
      <w:r>
        <w:rPr>
          <w:b w:val="0"/>
          <w:i w:val="0"/>
        </w:rPr>
        <w:t>This is the direct implementation of the Day 1 binding design constraint (Section 4.4): de minimis and segregation decisions must never hardcode a threshold and must be jurisdiction-specific and effective-dated. The model below is deliberately generic (Rule / RuleCondition / RuleVersion) so it serves both the Segregation Engine and the Compliance Engine without duplicating rule infrastructure, per the Day 1 ownership-boundary note (Section 4.1).</w:t>
      </w:r>
    </w:p>
    <w:p>
      <w:pPr>
        <w:pStyle w:val="Heading2"/>
      </w:pPr>
      <w:r>
        <w:t>5.1 Entity: Rule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RuleId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Stable identifier across versions</w:t>
            </w:r>
          </w:p>
        </w:tc>
      </w:tr>
      <w:tr>
        <w:tc>
          <w:tcPr>
            <w:tcW w:type="dxa" w:w="2160"/>
          </w:tcPr>
          <w:p>
            <w:r>
              <w:t>RuleName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e.g. "India De Minimis — Courier Personal Import"</w:t>
            </w:r>
          </w:p>
        </w:tc>
      </w:tr>
      <w:tr>
        <w:tc>
          <w:tcPr>
            <w:tcW w:type="dxa" w:w="2160"/>
          </w:tcPr>
          <w:p>
            <w:r>
              <w:t>RuleCategory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CountryRule, CustomerRule, HSCodeRule, DutyRule, PermitRule, WarningRule, DeMinimisRule (per PRD Ch.5.8 categories, extended)</w:t>
            </w:r>
          </w:p>
        </w:tc>
      </w:tr>
      <w:tr>
        <w:tc>
          <w:tcPr>
            <w:tcW w:type="dxa" w:w="2160"/>
          </w:tcPr>
          <w:p>
            <w:r>
              <w:t>Jurisdiction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India for MVP; field exists for country-neutral core (per PRD design principle)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Lower number = higher priority; conflict resolution per PRD Ch.5.9 (Legal Restrictions=1 ... Default=9)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Enum + Payload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e.g. SetClearanceType=DEM, SetClearanceType=FML, AddIndicator=OGA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Whether this rule is currently enabled</w:t>
            </w:r>
          </w:p>
        </w:tc>
      </w:tr>
    </w:tbl>
    <w:p/>
    <w:p>
      <w:pPr>
        <w:pStyle w:val="Heading2"/>
      </w:pPr>
      <w:r>
        <w:t>5.2 Entity: RuleVersion</w:t>
      </w:r>
    </w:p>
    <w:p>
      <w:r>
        <w:rPr>
          <w:b w:val="0"/>
          <w:i w:val="0"/>
        </w:rPr>
        <w:t>Separates the stable Rule identity from its effective-dated content, so a rule can change (e.g. CBIC notification updates a threshold) without losing history — directly required by the Day 1 constraint.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RuleVersionId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RuleId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Immutable once published, per PRD versioning principle</w:t>
            </w:r>
          </w:p>
        </w:tc>
      </w:tr>
      <w:tr>
        <w:tc>
          <w:tcPr>
            <w:tcW w:type="dxa" w:w="2160"/>
          </w:tcPr>
          <w:p>
            <w:r>
              <w:t>EffectiveFrom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Required — no rule version is date-unbounded</w:t>
            </w:r>
          </w:p>
        </w:tc>
      </w:tr>
      <w:tr>
        <w:tc>
          <w:tcPr>
            <w:tcW w:type="dxa" w:w="2160"/>
          </w:tcPr>
          <w:p>
            <w:r>
              <w:t>EffectiveTo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Null = currently in force</w:t>
            </w:r>
          </w:p>
        </w:tc>
      </w:tr>
      <w:tr>
        <w:tc>
          <w:tcPr>
            <w:tcW w:type="dxa" w:w="2160"/>
          </w:tcPr>
          <w:p>
            <w:r>
              <w:t>RegulatoryReference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e.g. CBIC Notification No./Date, for audit traceability of why the rule changed</w:t>
            </w:r>
          </w:p>
        </w:tc>
      </w:tr>
      <w:tr>
        <w:tc>
          <w:tcPr>
            <w:tcW w:type="dxa" w:w="2160"/>
          </w:tcPr>
          <w:p>
            <w:r>
              <w:t>CreatedBy / CreatedAt</w:t>
            </w:r>
          </w:p>
        </w:tc>
        <w:tc>
          <w:tcPr>
            <w:tcW w:type="dxa" w:w="2160"/>
          </w:tcPr>
          <w:p>
            <w:r>
              <w:t>FK to User / 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5.3 Entity: RuleCondition</w:t>
      </w:r>
    </w:p>
    <w:p>
      <w:r>
        <w:rPr>
          <w:b w:val="0"/>
          <w:i w:val="0"/>
        </w:rPr>
        <w:t>One or more conditions per RuleVersion, evaluated as AND (a separate RuleConditionGroup could support OR in a later iteration — out of scope for v0.2). Fields directly reflect the Day 1 Section 4.4 requirement that channel, purpose, importer type, and commodity — not value alone — drive de minimis and segregation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RuleConditionId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RuleVersionId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FactName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ImportChannel, ImportPurpose, ImporterType, CommodityHSCode, ShipmentValue, OriginCountry, DestinationCountry, ControlledGoodsFlag, PermitRequired, CustomerWarningFlag, FTZDestination (extensible list — matches PRD Ch.5.4 input categories)</w:t>
            </w:r>
          </w:p>
        </w:tc>
      </w:tr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Equals, NotEquals, GreaterThan, LessThan, In, Between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String / JSON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Comparison value(s); for Between, a {min,max} pair</w:t>
            </w:r>
          </w:p>
        </w:tc>
      </w:tr>
    </w:tbl>
    <w:p/>
    <w:p>
      <w:r>
        <w:rPr>
          <w:b w:val="0"/>
          <w:i/>
        </w:rPr>
        <w:t>Design note: ImportChannel, ImportPurpose, and ImporterType map directly to the CourierShipment attributes defined in Day 2 (Section 4), so the Segregation Engine can evaluate courier-specific de minimis rules using those fields as facts without needing a separate courier rules model.</w:t>
      </w:r>
    </w:p>
    <w:p>
      <w:pPr>
        <w:pStyle w:val="Heading2"/>
      </w:pPr>
      <w:r>
        <w:t>5.4 Entity: DecisionTrace</w:t>
      </w:r>
    </w:p>
    <w:p>
      <w:r>
        <w:rPr>
          <w:b w:val="0"/>
          <w:i w:val="0"/>
        </w:rPr>
        <w:t>Captures the explainability requirement from PRD Ch.5.13 — every segregation/compliance decision must be traceable to the rules that produced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DecisionTraceId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ShipmentId or CourierShipmentId or DeclarationId (FK)</w:t>
            </w:r>
          </w:p>
        </w:tc>
        <w:tc>
          <w:tcPr>
            <w:tcW w:type="dxa" w:w="2160"/>
          </w:tcPr>
          <w:p>
            <w:r>
              <w:t>FK (one of)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Subject of the decision</w:t>
            </w:r>
          </w:p>
        </w:tc>
      </w:tr>
      <w:tr>
        <w:tc>
          <w:tcPr>
            <w:tcW w:type="dxa" w:w="2160"/>
          </w:tcPr>
          <w:p>
            <w:r>
              <w:t>EvaluatedAt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RuleVersionId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Which rule version fired</w:t>
            </w:r>
          </w:p>
        </w:tc>
      </w:tr>
      <w:tr>
        <w:tc>
          <w:tcPr>
            <w:tcW w:type="dxa" w:w="2160"/>
          </w:tcPr>
          <w:p>
            <w:r>
              <w:t>StepOrder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Sequence within the evaluation pipeline (per PRD Ch.5.7 pipeline order)</w:t>
            </w:r>
          </w:p>
        </w:tc>
      </w:tr>
      <w:tr>
        <w:tc>
          <w:tcPr>
            <w:tcW w:type="dxa" w:w="2160"/>
          </w:tcPr>
          <w:p>
            <w:r>
              <w:t>FactsSnapshot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input facts as evaluated at that moment (immutable, for audit even if e.g. CustomerWarnings later change)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e.g. "CT = DEM" or "Indicator OGA added"</w:t>
            </w:r>
          </w:p>
        </w:tc>
      </w:tr>
      <w:tr>
        <w:tc>
          <w:tcPr>
            <w:tcW w:type="dxa" w:w="2160"/>
          </w:tcPr>
          <w:p>
            <w:r>
              <w:t>IsOverride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True if a Supervisor manually overrode the engine result (per PRD Ch.5.12)</w:t>
            </w:r>
          </w:p>
        </w:tc>
      </w:tr>
      <w:tr>
        <w:tc>
          <w:tcPr>
            <w:tcW w:type="dxa" w:w="2160"/>
          </w:tcPr>
          <w:p>
            <w:r>
              <w:t>OverrideReason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Mandatory when IsOverride = true</w:t>
            </w:r>
          </w:p>
        </w:tc>
      </w:tr>
      <w:tr>
        <w:tc>
          <w:tcPr>
            <w:tcW w:type="dxa" w:w="2160"/>
          </w:tcPr>
          <w:p>
            <w:r>
              <w:t>OverriddenBy (FK to User)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Mandatory when IsOverride = true</w:t>
            </w:r>
          </w:p>
        </w:tc>
      </w:tr>
    </w:tbl>
    <w:p/>
    <w:p>
      <w:pPr>
        <w:pStyle w:val="Heading1"/>
      </w:pPr>
      <w:r>
        <w:t>6. ER Diagram v0.2 (Draft — Day 2 model + Rules/Charges)</w:t>
      </w:r>
    </w:p>
    <w:p>
      <w:r>
        <w:rPr>
          <w:rFonts w:ascii="Consolas" w:hAnsi="Consolas"/>
          <w:sz w:val="18"/>
        </w:rPr>
        <w:br/>
        <w:t xml:space="preserve">  [ Day 2 core entities: Party, Shipment, CourierShipment, Commodity, Declaration ]</w:t>
        <w:br/>
        <w:t xml:space="preserve">                                    |</w:t>
        <w:br/>
        <w:t xml:space="preserve">        +---------------------------+---------------------------+</w:t>
        <w:br/>
        <w:t xml:space="preserve">        |                           |                           |</w:t>
        <w:br/>
        <w:t xml:space="preserve">        v                           v                           v</w:t>
        <w:br/>
        <w:t xml:space="preserve"> +----------------+       +------------------+       +----------------------+</w:t>
        <w:br/>
        <w:t xml:space="preserve"> |     Charge     |       |      Permit      |       |  ShipmentIndicator   |</w:t>
        <w:br/>
        <w:t xml:space="preserve"> |----------------|       |------------------|       |----------------------|</w:t>
        <w:br/>
        <w:t xml:space="preserve"> | ChargeId (PK)  |       | PermitId (PK)    |       | ShipmentIndicatorId  |</w:t>
        <w:br/>
        <w:t xml:space="preserve"> | ChargeCode     |       | PermitType       |       | IndicatorCode        |</w:t>
        <w:br/>
        <w:t xml:space="preserve"> | ChargeLevel    |       | IssuingAgency    |       | Source (Auto/Manual) |</w:t>
        <w:br/>
        <w:t xml:space="preserve"> | CommodityId FK |------&gt;| CommodityId FK   |       | ShipmentId/Courier   |</w:t>
        <w:br/>
        <w:t xml:space="preserve"> | DeclarationId  |       | Status           |       |   ShipmentId FK      |</w:t>
        <w:br/>
        <w:t xml:space="preserve"> |   FK           |       | DGFTLicenseRef   |       | SourceRuleRef FK     |</w:t>
        <w:br/>
        <w:t xml:space="preserve"> | SourceRuleRef  |----+  +------------------+  +----| SourceRuleRef FK     |</w:t>
        <w:br/>
        <w:t xml:space="preserve"> +----------------+    |                        |    +----------------------+</w:t>
        <w:br/>
        <w:t xml:space="preserve">                        |                        |</w:t>
        <w:br/>
        <w:t xml:space="preserve">                        v                        v</w:t>
        <w:br/>
        <w:t xml:space="preserve">                 +---------------------------------------+</w:t>
        <w:br/>
        <w:t xml:space="preserve">                 |                 Rule                    |</w:t>
        <w:br/>
        <w:t xml:space="preserve">                 |-----------------------------------------|</w:t>
        <w:br/>
        <w:t xml:space="preserve">                 | RuleId (PK)                              |</w:t>
        <w:br/>
        <w:t xml:space="preserve">                 | RuleCategory (CountryRule, DeMinimisRule,|</w:t>
        <w:br/>
        <w:t xml:space="preserve">                 |   HSCodeRule, DutyRule, PermitRule, ...) |</w:t>
        <w:br/>
        <w:t xml:space="preserve">                 | Jurisdiction = India (MVP)                |</w:t>
        <w:br/>
        <w:t xml:space="preserve">                 | Priority                                  |</w:t>
        <w:br/>
        <w:t xml:space="preserve">                 +-----------------+-------------------------+</w:t>
        <w:br/>
        <w:t xml:space="preserve">                                   | (1)</w:t>
        <w:br/>
        <w:t xml:space="preserve">                                   v (N)</w:t>
        <w:br/>
        <w:t xml:space="preserve">                 +---------------------------------------+</w:t>
        <w:br/>
        <w:t xml:space="preserve">                 |              RuleVersion                |</w:t>
        <w:br/>
        <w:t xml:space="preserve">                 |-----------------------------------------|</w:t>
        <w:br/>
        <w:t xml:space="preserve">                 | RuleVersionId (PK)                        |</w:t>
        <w:br/>
        <w:t xml:space="preserve">                 | VersionNumber                             |</w:t>
        <w:br/>
        <w:t xml:space="preserve">                 | EffectiveFrom / EffectiveTo               |</w:t>
        <w:br/>
        <w:t xml:space="preserve">                 | RegulatoryReference (e.g. CBIC Notif. No.)|</w:t>
        <w:br/>
        <w:t xml:space="preserve">                 +-----------------+-------------------------+</w:t>
        <w:br/>
        <w:t xml:space="preserve">                          | (1)                 | (1)</w:t>
        <w:br/>
        <w:t xml:space="preserve">                          v (N)                 v (N)</w:t>
        <w:br/>
        <w:t xml:space="preserve">              +----------------------+   +------------------------+</w:t>
        <w:br/>
        <w:t xml:space="preserve">              |    RuleCondition     |   |     DecisionTrace       |</w:t>
        <w:br/>
        <w:t xml:space="preserve">              |----------------------|   |------------------------|</w:t>
        <w:br/>
        <w:t xml:space="preserve">              | FactName: ImportChan-|   | ShipmentId/CourierShip- |</w:t>
        <w:br/>
        <w:t xml:space="preserve">              |  nel, ImportPurpose, |   |  mentId/DeclarationId FK|</w:t>
        <w:br/>
        <w:t xml:space="preserve">              |  ImporterType,       |   | FactsSnapshot (JSON)    |</w:t>
        <w:br/>
        <w:t xml:space="preserve">              |  CommodityHSCode,    |   | Outcome                 |</w:t>
        <w:br/>
        <w:t xml:space="preserve">              |  ShipmentValue, ...  |   | IsOverride / Reason     |</w:t>
        <w:br/>
        <w:t xml:space="preserve">              | Operator / Value     |   +------------------------+</w:t>
        <w:br/>
        <w:t xml:space="preserve">              +----------------------+</w:t>
        <w:br/>
        <w:br/>
        <w:t xml:space="preserve">  Note: RuleCondition.FactName = ImportChannel/ImportPurpose/ImporterType reads</w:t>
        <w:br/>
        <w:t xml:space="preserve">  directly from CourierShipment attributes (Day 2) — this is how the de minimis</w:t>
        <w:br/>
        <w:t xml:space="preserve">  constraint (Day 1, Section 4.4) is actually implemented in data, not just policy.</w:t>
        <w:br/>
      </w:r>
    </w:p>
    <w:p>
      <w:pPr>
        <w:pStyle w:val="Heading1"/>
      </w:pPr>
      <w:r>
        <w:t>7. Notes &amp; Rationale</w:t>
      </w:r>
    </w:p>
    <w:p>
      <w:pPr>
        <w:pStyle w:val="Heading2"/>
      </w:pPr>
      <w:r>
        <w:t>7.1 Why Rule/RuleVersion Are Separate Entities</w:t>
      </w:r>
    </w:p>
    <w:p>
      <w:r>
        <w:rPr>
          <w:b w:val="0"/>
          <w:i w:val="0"/>
        </w:rPr>
        <w:t>The PRD (Ch.5.11 Re-Segregation, Ch.8.6 Tariff Master) treats both segregation rules and tariff data as things that change over time but must preserve historical evaluation integrity — "historical declarations always reference the tariff version used at submission time" (BR-HSC-003). Splitting Rule (stable identity) from RuleVersion (effective-dated content) is the same pattern applied to segregation/compliance rules, and is what makes the Day 1 "do not hardcode de minimis" constraint actually enforceable in the schema rather than just a policy statement.</w:t>
      </w:r>
    </w:p>
    <w:p>
      <w:pPr>
        <w:pStyle w:val="Heading2"/>
      </w:pPr>
      <w:r>
        <w:t>7.2 Why Charge, Permit, and ShipmentIndicator All Reference Rule</w:t>
      </w:r>
    </w:p>
    <w:p>
      <w:r>
        <w:rPr>
          <w:b w:val="0"/>
          <w:i w:val="0"/>
        </w:rPr>
        <w:t>This gives every automated outcome (a calculated duty rate, a triggered permit requirement, an auto-assigned indicator) a traceable link back to the exact rule version that produced it — satisfying the PRD's explainability requirement (Ch.5.13, Ch.8.10) uniformly across Segregation, Duty, and Permit rather than building separate audit mechanisms per engine.</w:t>
      </w:r>
    </w:p>
    <w:p>
      <w:pPr>
        <w:pStyle w:val="Heading2"/>
      </w:pPr>
      <w:r>
        <w:t>7.3 Scope Still Deferred</w:t>
      </w:r>
    </w:p>
    <w:p>
      <w:pPr>
        <w:pStyle w:val="ListBullet"/>
      </w:pPr>
      <w:r>
        <w:t>Detailed calculation formulas (e.g. IGST-on-BCD cascade sequencing) — belongs to the Duty &amp; Tax Engine's own detailed design, not the entity model.</w:t>
      </w:r>
    </w:p>
    <w:p>
      <w:pPr>
        <w:pStyle w:val="ListBullet"/>
      </w:pPr>
      <w:r>
        <w:t>Workflow Engine state-machine entities (task, escalation, SLA timer) — Day 1 context #10, not yet modeled.</w:t>
      </w:r>
    </w:p>
    <w:p>
      <w:pPr>
        <w:pStyle w:val="ListBullet"/>
      </w:pPr>
      <w:r>
        <w:t>Full RuleCondition boolean logic (AND/OR groups) — v0.2 supports AND-only condition sets per rule version; OR logic deferred to avoid over-engineering before real India rules are authored (Phase 3).</w:t>
      </w:r>
    </w:p>
    <w:p>
      <w:pPr>
        <w:pStyle w:val="Heading1"/>
      </w:pPr>
      <w:r>
        <w:t>8. Open Questions Carried Forward / New</w:t>
      </w:r>
    </w:p>
    <w:p>
      <w:pPr>
        <w:pStyle w:val="ListBullet"/>
      </w:pPr>
      <w:r>
        <w:t>(Carried from Day 2, still unresolved) Snapshot-at-version vs. live-reference for DeclarationCommodityLine — this model assumes snapshot-at-version so that Charge.BaseAmount stays reproducible for audit even if a Commodity is later amended. Needs explicit confirmation by Day 4.</w:t>
      </w:r>
    </w:p>
    <w:p>
      <w:pPr>
        <w:pStyle w:val="ListBullet"/>
      </w:pPr>
      <w:r>
        <w:t>(New) Should RuleCondition support OR logic in v1, given India's de minimis rules already combine channel OR purpose OR importer-type in some CBIC notifications? Current v0.2 model (AND-only per rule version) would require one RuleVersion per OR-branch as a workaround — acceptable for MVP but worth confirming before Day 19's design spike locks the schema.</w:t>
      </w:r>
    </w:p>
    <w:p>
      <w:pPr>
        <w:pStyle w:val="ListBullet"/>
      </w:pPr>
      <w:r>
        <w:t>(New) Confirm whether DecisionTrace should be one row per rule per evaluation (fine-grained, larger volume) or one row per full evaluation pipeline run with an embedded step array (coarser, per PRD Ch.5.13 example table) — affects storage volume at 500,000 shipments/day scale (PRD Ch.1.3 operational goal).</w:t>
      </w:r>
    </w:p>
    <w:p>
      <w:pPr>
        <w:pStyle w:val="Heading1"/>
      </w:pPr>
      <w:r>
        <w:t>9. Traceability</w:t>
      </w:r>
    </w:p>
    <w:p>
      <w:r>
        <w:rPr>
          <w:b w:val="0"/>
          <w:i/>
        </w:rPr>
        <w:t>This deliverable satisfies Day 3 of the Day-Wise Plan: "Draft entity model for Charges, Permits, Shipment Indicators, and the Rules/Segregation model (rule, condition, priority, decision trace)." Deliverable produced: ER diagram v0.2 including rules entities, above.</w:t>
      </w:r>
    </w:p>
    <w:p>
      <w:r>
        <w:rPr>
          <w:b w:val="0"/>
          <w:i/>
        </w:rPr>
        <w:t>Next: Day 4 — Data Model Review &amp; Refinement: walk the full v0.1 + v0.2 model through an end-to-end scenario (e.g. informal courier import from China to India) and resolve the open questions listed in Section 8 and Day 2 Section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