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4 Deliverable — Data Model Review &amp; Refinement (ER Diagram v1.0)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Day: 4 of 20</w:t>
      </w:r>
    </w:p>
    <w:p>
      <w:r>
        <w:rPr>
          <w:b w:val="0"/>
          <w:i w:val="0"/>
        </w:rPr>
        <w:t>Jurisdiction: India (MVP)</w:t>
      </w:r>
    </w:p>
    <w:p>
      <w:r>
        <w:rPr>
          <w:b w:val="0"/>
          <w:i w:val="0"/>
        </w:rPr>
        <w:t>Source: Day 2 ER diagram v0.1, Day 3 ER diagram v0.2, plus new Manifest Management gap identified during review</w:t>
      </w:r>
    </w:p>
    <w:p>
      <w:r>
        <w:rPr>
          <w:b w:val="0"/>
          <w:i w:val="0"/>
        </w:rPr>
        <w:t>Deliverable per plan: ER diagram v1.0 (signed off)</w:t>
      </w:r>
    </w:p>
    <w:p>
      <w:pPr>
        <w:pStyle w:val="Heading1"/>
      </w:pPr>
      <w:r>
        <w:t>1. Purpose of This Review</w:t>
      </w:r>
    </w:p>
    <w:p>
      <w:r>
        <w:rPr>
          <w:b w:val="0"/>
          <w:i w:val="0"/>
        </w:rPr>
        <w:t>Per the Day-Wise Plan, Day 4 walks the model built on Days 2–3 through an end-to-end scenario, resolves open questions, and produces a signed-off v1.0. This review uses two scenarios deliberately chosen to exercise different paths through the model: a formal cargo import (to test Manifest, Permit, and standard Declaration flow) and a courier personal import (to test the de minimis rules/effective-dating constraint from Day 1).</w:t>
      </w:r>
    </w:p>
    <w:p>
      <w:pPr>
        <w:pStyle w:val="Heading1"/>
      </w:pPr>
      <w:r>
        <w:t>2. Scenario Walkthroughs</w:t>
      </w:r>
    </w:p>
    <w:p>
      <w:pPr>
        <w:pStyle w:val="Heading2"/>
      </w:pPr>
      <w:r>
        <w:t>2.1 Scenario A — Formal Air Cargo Import (Controlled Electronics, China to India)</w:t>
      </w:r>
    </w:p>
    <w:p>
      <w:r>
        <w:rPr>
          <w:b w:val="0"/>
          <w:i w:val="0"/>
        </w:rPr>
        <w:t>A business importer brings in electronic components (controlled goods, license-required) by air freight.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Entities Touched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Observation</w:t>
            </w:r>
          </w:p>
        </w:tc>
      </w:tr>
      <w:tr>
        <w:tc>
          <w:tcPr>
            <w:tcW w:type="dxa" w:w="2880"/>
          </w:tcPr>
          <w:p>
            <w:r>
              <w:t>1. Carrier files manifest with ICEGATE</w:t>
            </w:r>
          </w:p>
        </w:tc>
        <w:tc>
          <w:tcPr>
            <w:tcW w:type="dxa" w:w="2880"/>
          </w:tcPr>
          <w:p>
            <w:r>
              <w:t>(GAP — no entity existed before this review)</w:t>
            </w:r>
          </w:p>
        </w:tc>
        <w:tc>
          <w:tcPr>
            <w:tcW w:type="dxa" w:w="2880"/>
          </w:tcPr>
          <w:p>
            <w:r>
              <w:t>A Bill of Entry cannot be created without a valid IGM reference. This step had no home in the v0.2 model. See Section 3.</w:t>
            </w:r>
          </w:p>
        </w:tc>
      </w:tr>
      <w:tr>
        <w:tc>
          <w:tcPr>
            <w:tcW w:type="dxa" w:w="2880"/>
          </w:tcPr>
          <w:p>
            <w:r>
              <w:t>2. Shipment downloaded, linked to Party (Importer, Consignee, Broker)</w:t>
            </w:r>
          </w:p>
        </w:tc>
        <w:tc>
          <w:tcPr>
            <w:tcW w:type="dxa" w:w="2880"/>
          </w:tcPr>
          <w:p>
            <w:r>
              <w:t>Shipment, Party, ShipmentParty</w:t>
            </w:r>
          </w:p>
        </w:tc>
        <w:tc>
          <w:tcPr>
            <w:tcW w:type="dxa" w:w="2880"/>
          </w:tcPr>
          <w:p>
            <w:r>
              <w:t>Works as modeled. Shipment.OriginCountry=CN, DestinationCountry=IN.</w:t>
            </w:r>
          </w:p>
        </w:tc>
      </w:tr>
      <w:tr>
        <w:tc>
          <w:tcPr>
            <w:tcW w:type="dxa" w:w="2880"/>
          </w:tcPr>
          <w:p>
            <w:r>
              <w:t>3. Commodity lines created, ITC-HS assigned</w:t>
            </w:r>
          </w:p>
        </w:tc>
        <w:tc>
          <w:tcPr>
            <w:tcW w:type="dxa" w:w="2880"/>
          </w:tcPr>
          <w:p>
            <w:r>
              <w:t>Commodity</w:t>
            </w:r>
          </w:p>
        </w:tc>
        <w:tc>
          <w:tcPr>
            <w:tcW w:type="dxa" w:w="2880"/>
          </w:tcPr>
          <w:p>
            <w:r>
              <w:t>Works as modeled. ControlledGoodsFlag=true triggers Permit check.</w:t>
            </w:r>
          </w:p>
        </w:tc>
      </w:tr>
      <w:tr>
        <w:tc>
          <w:tcPr>
            <w:tcW w:type="dxa" w:w="2880"/>
          </w:tcPr>
          <w:p>
            <w:r>
              <w:t>4. Segregation Engine evaluates CT</w:t>
            </w:r>
          </w:p>
        </w:tc>
        <w:tc>
          <w:tcPr>
            <w:tcW w:type="dxa" w:w="2880"/>
          </w:tcPr>
          <w:p>
            <w:r>
              <w:t>Rule, RuleVersion, RuleCondition, DecisionTrace</w:t>
            </w:r>
          </w:p>
        </w:tc>
        <w:tc>
          <w:tcPr>
            <w:tcW w:type="dxa" w:w="2880"/>
          </w:tcPr>
          <w:p>
            <w:r>
              <w:t>FactName=ControlledGoodsFlag matches; CT=Formal per PRD Ch.5.10 decision table. Works as modeled.</w:t>
            </w:r>
          </w:p>
        </w:tc>
      </w:tr>
      <w:tr>
        <w:tc>
          <w:tcPr>
            <w:tcW w:type="dxa" w:w="2880"/>
          </w:tcPr>
          <w:p>
            <w:r>
              <w:t>5. Permit/DGFT license required and checked</w:t>
            </w:r>
          </w:p>
        </w:tc>
        <w:tc>
          <w:tcPr>
            <w:tcW w:type="dxa" w:w="2880"/>
          </w:tcPr>
          <w:p>
            <w:r>
              <w:t>Permit</w:t>
            </w:r>
          </w:p>
        </w:tc>
        <w:tc>
          <w:tcPr>
            <w:tcW w:type="dxa" w:w="2880"/>
          </w:tcPr>
          <w:p>
            <w:r>
              <w:t>Works as modeled; ApprovalBlocksSubmission=true holds the declaration.</w:t>
            </w:r>
          </w:p>
        </w:tc>
      </w:tr>
      <w:tr>
        <w:tc>
          <w:tcPr>
            <w:tcW w:type="dxa" w:w="2880"/>
          </w:tcPr>
          <w:p>
            <w:r>
              <w:t>6. Declaration drafted, references Shipment + Manifest</w:t>
            </w:r>
          </w:p>
        </w:tc>
        <w:tc>
          <w:tcPr>
            <w:tcW w:type="dxa" w:w="2880"/>
          </w:tcPr>
          <w:p>
            <w:r>
              <w:t>(GAP) Declaration needs an IGM reference field</w:t>
            </w:r>
          </w:p>
        </w:tc>
        <w:tc>
          <w:tcPr>
            <w:tcW w:type="dxa" w:w="2880"/>
          </w:tcPr>
          <w:p>
            <w:r>
              <w:t>Declaration entity (v0.2) had no field to carry the IGM/EGM reference required for a valid Bill of Entry. See Section 3.</w:t>
            </w:r>
          </w:p>
        </w:tc>
      </w:tr>
      <w:tr>
        <w:tc>
          <w:tcPr>
            <w:tcW w:type="dxa" w:w="2880"/>
          </w:tcPr>
          <w:p>
            <w:r>
              <w:t>7. Charges calculated (BCD, IGST, Cess)</w:t>
            </w:r>
          </w:p>
        </w:tc>
        <w:tc>
          <w:tcPr>
            <w:tcW w:type="dxa" w:w="2880"/>
          </w:tcPr>
          <w:p>
            <w:r>
              <w:t>Charge</w:t>
            </w:r>
          </w:p>
        </w:tc>
        <w:tc>
          <w:tcPr>
            <w:tcW w:type="dxa" w:w="2880"/>
          </w:tcPr>
          <w:p>
            <w:r>
              <w:t>Works as modeled.</w:t>
            </w:r>
          </w:p>
        </w:tc>
      </w:tr>
      <w:tr>
        <w:tc>
          <w:tcPr>
            <w:tcW w:type="dxa" w:w="2880"/>
          </w:tcPr>
          <w:p>
            <w:r>
              <w:t>8. Declaration submitted to ICEGATE</w:t>
            </w:r>
          </w:p>
        </w:tc>
        <w:tc>
          <w:tcPr>
            <w:tcW w:type="dxa" w:w="2880"/>
          </w:tcPr>
          <w:p>
            <w:r>
              <w:t>Declaration, Customs Gateway Integration (context)</w:t>
            </w:r>
          </w:p>
        </w:tc>
        <w:tc>
          <w:tcPr>
            <w:tcW w:type="dxa" w:w="2880"/>
          </w:tcPr>
          <w:p>
            <w:r>
              <w:t>Works as modeled, no gap found.</w:t>
            </w:r>
          </w:p>
        </w:tc>
      </w:tr>
    </w:tbl>
    <w:p/>
    <w:p>
      <w:pPr>
        <w:pStyle w:val="Heading2"/>
      </w:pPr>
      <w:r>
        <w:t>2.2 Scenario B — Courier Personal Import (Gift, Individual Importer, Below-Threshold Value)</w:t>
      </w:r>
    </w:p>
    <w:p>
      <w:r>
        <w:rPr>
          <w:b w:val="0"/>
          <w:i w:val="0"/>
        </w:rPr>
        <w:t>An individual receives a personal gift parcel via courier from the UK.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Entities Touched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Observation</w:t>
            </w:r>
          </w:p>
        </w:tc>
      </w:tr>
      <w:tr>
        <w:tc>
          <w:tcPr>
            <w:tcW w:type="dxa" w:w="2880"/>
          </w:tcPr>
          <w:p>
            <w:r>
              <w:t>1. Courier files consolidated manifest</w:t>
            </w:r>
          </w:p>
        </w:tc>
        <w:tc>
          <w:tcPr>
            <w:tcW w:type="dxa" w:w="2880"/>
          </w:tcPr>
          <w:p>
            <w:r>
              <w:t>(GAP — same Manifest gap as Scenario A, courier-specific variant)</w:t>
            </w:r>
          </w:p>
        </w:tc>
        <w:tc>
          <w:tcPr>
            <w:tcW w:type="dxa" w:w="2880"/>
          </w:tcPr>
          <w:p>
            <w:r>
              <w:t>India courier regulations also require manifest-level filing (courier Import Manifest) distinct from cargo IGM. See Section 3.</w:t>
            </w:r>
          </w:p>
        </w:tc>
      </w:tr>
      <w:tr>
        <w:tc>
          <w:tcPr>
            <w:tcW w:type="dxa" w:w="2880"/>
          </w:tcPr>
          <w:p>
            <w:r>
              <w:t>2. CourierShipment created, ImportPurpose=Gift, ImporterType=Individual</w:t>
            </w:r>
          </w:p>
        </w:tc>
        <w:tc>
          <w:tcPr>
            <w:tcW w:type="dxa" w:w="2880"/>
          </w:tcPr>
          <w:p>
            <w:r>
              <w:t>CourierShipment</w:t>
            </w:r>
          </w:p>
        </w:tc>
        <w:tc>
          <w:tcPr>
            <w:tcW w:type="dxa" w:w="2880"/>
          </w:tcPr>
          <w:p>
            <w:r>
              <w:t>Works as modeled — these fields exist precisely for this case.</w:t>
            </w:r>
          </w:p>
        </w:tc>
      </w:tr>
      <w:tr>
        <w:tc>
          <w:tcPr>
            <w:tcW w:type="dxa" w:w="2880"/>
          </w:tcPr>
          <w:p>
            <w:r>
              <w:t>3. Party created for individual consignee, no GSTIN</w:t>
            </w:r>
          </w:p>
        </w:tc>
        <w:tc>
          <w:tcPr>
            <w:tcW w:type="dxa" w:w="2880"/>
          </w:tcPr>
          <w:p>
            <w:r>
              <w:t>Party</w:t>
            </w:r>
          </w:p>
        </w:tc>
        <w:tc>
          <w:tcPr>
            <w:tcW w:type="dxa" w:w="2880"/>
          </w:tcPr>
          <w:p>
            <w:r>
              <w:t>Confirms Day 2 open question: GSTIN is genuinely absent for this case; PAN may also be absent for low-value personal gifts. See Section 4.3 resolution.</w:t>
            </w:r>
          </w:p>
        </w:tc>
      </w:tr>
      <w:tr>
        <w:tc>
          <w:tcPr>
            <w:tcW w:type="dxa" w:w="2880"/>
          </w:tcPr>
          <w:p>
            <w:r>
              <w:t>4. Segregation Engine evaluates de minimis</w:t>
            </w:r>
          </w:p>
        </w:tc>
        <w:tc>
          <w:tcPr>
            <w:tcW w:type="dxa" w:w="2880"/>
          </w:tcPr>
          <w:p>
            <w:r>
              <w:t>Rule, RuleVersion, RuleCondition</w:t>
            </w:r>
          </w:p>
        </w:tc>
        <w:tc>
          <w:tcPr>
            <w:tcW w:type="dxa" w:w="2880"/>
          </w:tcPr>
          <w:p>
            <w:r>
              <w:t>FactName=ImportChannel(Courier) AND ImportPurpose(Gift) AND ShipmentValue(&lt;threshold) — works as modeled, confirms the Day 1 constraint is implementable exactly as designed.</w:t>
            </w:r>
          </w:p>
        </w:tc>
      </w:tr>
      <w:tr>
        <w:tc>
          <w:tcPr>
            <w:tcW w:type="dxa" w:w="2880"/>
          </w:tcPr>
          <w:p>
            <w:r>
              <w:t>5. CT = DeMinimis, simplified/no formal Bill of Entry</w:t>
            </w:r>
          </w:p>
        </w:tc>
        <w:tc>
          <w:tcPr>
            <w:tcW w:type="dxa" w:w="2880"/>
          </w:tcPr>
          <w:p>
            <w:r>
              <w:t>Declaration (DeclarationType=Courier?)</w:t>
            </w:r>
          </w:p>
        </w:tc>
        <w:tc>
          <w:tcPr>
            <w:tcW w:type="dxa" w:w="2880"/>
          </w:tcPr>
          <w:p>
            <w:r>
              <w:t>Confirms Day 2 open question: does courier need its own Declaration subtype? See Section 4.2 resolution.</w:t>
            </w:r>
          </w:p>
        </w:tc>
      </w:tr>
    </w:tbl>
    <w:p/>
    <w:p>
      <w:pPr>
        <w:pStyle w:val="Heading1"/>
      </w:pPr>
      <w:r>
        <w:t>3. New Finding: Manifest Management Gap</w:t>
      </w:r>
    </w:p>
    <w:p>
      <w:r>
        <w:rPr>
          <w:b w:val="0"/>
          <w:i w:val="0"/>
        </w:rPr>
        <w:t>Neither the PRD nor the v0.1/v0.2 model treats the manifest as anything other than a status flag (Manifest Status / MAN) on Declaration. Both scenario walkthroughs above hit the same wall: in India, a Bill of Entry (formal) or courier declaration cannot be lodged without referencing a carrier-filed or courier-filed manifest record — this is a real upstream entity, not just a readiness flag.</w:t>
      </w:r>
    </w:p>
    <w:p>
      <w:pPr>
        <w:pStyle w:val="Heading2"/>
      </w:pPr>
      <w:r>
        <w:t>3.1 Resolution: Add a Manifest Bounded Context (lightweight, for MVP)</w:t>
      </w:r>
    </w:p>
    <w:p>
      <w:r>
        <w:rPr>
          <w:b w:val="0"/>
          <w:i w:val="0"/>
        </w:rPr>
        <w:t>Decision: add Manifest as its own bounded context (context #17), minimally scoped for MVP — just enough to hold the IGM/EGM (or courier manifest) reference that Declaration must validate against before submission. Full manifest reconciliation (matching every manifest line to a shipment, discrepancy handling) is deferred; MVP only needs the reference number and line to exist and be valid.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Bounded Context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Core Responsibility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MVP Priority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Manifest Management (New)</w:t>
            </w:r>
          </w:p>
        </w:tc>
        <w:tc>
          <w:tcPr>
            <w:tcW w:type="dxa" w:w="2160"/>
          </w:tcPr>
          <w:p>
            <w:r>
              <w:t>Holds carrier-filed IGM/EGM (cargo) or courier manifest references that a Declaration must cite before submission. MVP scope: reference validation only, not full manifest reconciliation.</w:t>
            </w:r>
          </w:p>
        </w:tc>
        <w:tc>
          <w:tcPr>
            <w:tcW w:type="dxa" w:w="2160"/>
          </w:tcPr>
          <w:p>
            <w:r>
              <w:t>V1 — required; without it, no Declaration can legally be submitted to ICEGATE for formal or courier cargo</w:t>
            </w:r>
          </w:p>
        </w:tc>
      </w:tr>
    </w:tbl>
    <w:p/>
    <w:p>
      <w:pPr>
        <w:pStyle w:val="Heading2"/>
      </w:pPr>
      <w:r>
        <w:t>3.2 Entity: Manifest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India-Specific Note</w:t>
            </w:r>
          </w:p>
        </w:tc>
      </w:tr>
      <w:tr>
        <w:tc>
          <w:tcPr>
            <w:tcW w:type="dxa" w:w="2160"/>
          </w:tcPr>
          <w:p>
            <w:r>
              <w:t>ManifestId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System identifier</w:t>
            </w:r>
          </w:p>
        </w:tc>
      </w:tr>
      <w:tr>
        <w:tc>
          <w:tcPr>
            <w:tcW w:type="dxa" w:w="2160"/>
          </w:tcPr>
          <w:p>
            <w:r>
              <w:t>ManifestType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IGM (Import General Manifest), EGM (Export General Manifest), CourierManifest</w:t>
            </w:r>
          </w:p>
        </w:tc>
      </w:tr>
      <w:tr>
        <w:tc>
          <w:tcPr>
            <w:tcW w:type="dxa" w:w="2160"/>
          </w:tcPr>
          <w:p>
            <w:r>
              <w:t>ManifestNumber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Customs-assigned number, carrier/courier-filed via ICEGATE</w:t>
            </w:r>
          </w:p>
        </w:tc>
      </w:tr>
      <w:tr>
        <w:tc>
          <w:tcPr>
            <w:tcW w:type="dxa" w:w="2160"/>
          </w:tcPr>
          <w:p>
            <w:r>
              <w:t>ManifestLineNumber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Specific line within the manifest this Shipment/CourierShipment corresponds to</w:t>
            </w:r>
          </w:p>
        </w:tc>
      </w:tr>
      <w:tr>
        <w:tc>
          <w:tcPr>
            <w:tcW w:type="dxa" w:w="2160"/>
          </w:tcPr>
          <w:p>
            <w:r>
              <w:t>FilingParty (FK to Party)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Carrier or Authorized Courier who filed the manifest</w:t>
            </w:r>
          </w:p>
        </w:tc>
      </w:tr>
      <w:tr>
        <w:tc>
          <w:tcPr>
            <w:tcW w:type="dxa" w:w="2160"/>
          </w:tcPr>
          <w:p>
            <w:r>
              <w:t>FiledAt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Filed, Amended, Closed</w:t>
            </w:r>
          </w:p>
        </w:tc>
      </w:tr>
      <w:tr>
        <w:tc>
          <w:tcPr>
            <w:tcW w:type="dxa" w:w="2160"/>
          </w:tcPr>
          <w:p>
            <w:r>
              <w:t>ShipmentId or CourierShipmentId (FK)</w:t>
            </w:r>
          </w:p>
        </w:tc>
        <w:tc>
          <w:tcPr>
            <w:tcW w:type="dxa" w:w="2160"/>
          </w:tcPr>
          <w:p>
            <w:r>
              <w:t>FK (one of)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shipment this manifest line covers</w:t>
            </w:r>
          </w:p>
        </w:tc>
      </w:tr>
    </w:tbl>
    <w:p/>
    <w:p>
      <w:r>
        <w:rPr>
          <w:b w:val="0"/>
          <w:i/>
        </w:rPr>
        <w:t>Declaration is updated (v1.0 change): add ManifestId (FK) and ManifestLineNumber to the Declaration entity from Day 2, replacing the bare ManifestStatus(MAN) enum with a real reference — the MAN status now derives from Manifest.Status plus match/no-match validation, rather than being an independent free-standing field.</w:t>
      </w:r>
    </w:p>
    <w:p>
      <w:pPr>
        <w:pStyle w:val="Heading1"/>
      </w:pPr>
      <w:r>
        <w:t>4. Resolution of Open Questions (Day 2 &amp; Day 3)</w:t>
      </w:r>
    </w:p>
    <w:p>
      <w:pPr>
        <w:pStyle w:val="Heading2"/>
      </w:pPr>
      <w:r>
        <w:t>4.1 Snapshot-at-Version vs Live-Reference for DeclarationCommodityLine</w:t>
      </w:r>
    </w:p>
    <w:p>
      <w:r>
        <w:rPr>
          <w:b w:val="0"/>
          <w:i w:val="0"/>
        </w:rPr>
        <w:t>Decision: Snapshot-at-version, confirmed. DeclarationCommodityLine stores the CommodityId together with the specific CommodityVersion it was filed against. Rationale confirmed by Scenario A, Step 7: Charges must remain reproducible for audit even if the Commodity record is later amended — this only works if the declaration line is pinned to an immutable version.</w:t>
      </w:r>
    </w:p>
    <w:p>
      <w:pPr>
        <w:pStyle w:val="Heading2"/>
      </w:pPr>
      <w:r>
        <w:t>4.2 Does Courier Need Its Own Declaration Subtype?</w:t>
      </w:r>
    </w:p>
    <w:p>
      <w:r>
        <w:rPr>
          <w:b w:val="0"/>
          <w:i w:val="0"/>
        </w:rPr>
        <w:t>Decision: Reuse the same Declaration entity with a DeclarationType discriminator (DeclarationType=CourierBillOfEntry / CourierShippingBill), rather than a separate entity. Scenario B confirmed this works: Declaration already supports a ShipmentId-or-CourierShipmentId FK pattern (Day 2), so the only addition needed is including the courier-specific declaration types in the existing DeclarationType enum. No new entity required.</w:t>
      </w:r>
    </w:p>
    <w:p>
      <w:pPr>
        <w:pStyle w:val="Heading2"/>
      </w:pPr>
      <w:r>
        <w:t>4.3 PAN vs GSTIN Precedence for Individual Importers</w:t>
      </w:r>
    </w:p>
    <w:p>
      <w:r>
        <w:rPr>
          <w:b w:val="0"/>
          <w:i w:val="0"/>
        </w:rPr>
        <w:t>Decision: Party validation rule — at least one of {GSTIN, PAN} is mandatory for Import/Export/Broker party roles, except where ImportPurpose=Gift and DeclaredValue is below the applicable threshold (per the Day 1 de minimis constraint), in which case both may be absent and the Party is validated on name/address/ID-document reference alone. Scenario B confirms this case is real and not an edge case to special-case away — personal gift imports genuinely may have no PAN/GSTIN.</w:t>
      </w:r>
    </w:p>
    <w:p>
      <w:pPr>
        <w:pStyle w:val="Heading2"/>
      </w:pPr>
      <w:r>
        <w:t>4.4 RuleCondition OR Logic</w:t>
      </w:r>
    </w:p>
    <w:p>
      <w:r>
        <w:rPr>
          <w:b w:val="0"/>
          <w:i w:val="0"/>
        </w:rPr>
        <w:t>Decision: keep AND-only conditions per RuleVersion for MVP (no schema change). OR scenarios (e.g. "Courier OR Postal channel qualifies for X treatment") are handled by authoring multiple Rules at the same Priority within the same RuleCategory — the Segregation Engine already evaluates all matching rules at a given priority level per PRD Ch.5.9, so OR-across-rules is a modeling technique, not a schema gap. Revisit only if Phase 3 rule authoring proves this insufficient.</w:t>
      </w:r>
    </w:p>
    <w:p>
      <w:pPr>
        <w:pStyle w:val="Heading2"/>
      </w:pPr>
      <w:r>
        <w:t>4.5 DecisionTrace Granularity</w:t>
      </w:r>
    </w:p>
    <w:p>
      <w:r>
        <w:rPr>
          <w:b w:val="0"/>
          <w:i w:val="0"/>
        </w:rPr>
        <w:t>Decision: one DecisionTrace row per full evaluation pipeline run, with an embedded JSON array of steps (rule fired, order, outcome) rather than one row per individual rule. Rationale: at the PRD's stated target of 500,000 shipments/day (Ch.1.3), per-rule row granularity would multiply write volume by the average rules-per-shipment factor unnecessarily; the embedded-steps approach still satisfies the explainability requirement (Ch.5.13) while keeping write volume proportional to shipment volume.</w:t>
      </w:r>
    </w:p>
    <w:p>
      <w:pPr>
        <w:pStyle w:val="Heading1"/>
      </w:pPr>
      <w:r>
        <w:t>5. ER Diagram v1.0 (Signed Off)</w:t>
      </w:r>
    </w:p>
    <w:p>
      <w:r>
        <w:rPr>
          <w:b w:val="0"/>
          <w:i w:val="0"/>
        </w:rPr>
        <w:t>Consolidated diagram: Day 2 core entities + Day 3 rules/charges entities + Day 4 Manifest addition. This supersedes v0.1 and v0.2 as the baseline for Day 5 (Bounded Context Interfaces / domain events).</w:t>
      </w:r>
    </w:p>
    <w:p>
      <w:r>
        <w:rPr>
          <w:rFonts w:ascii="Consolas" w:hAnsi="Consolas"/>
          <w:sz w:val="18"/>
        </w:rPr>
        <w:br/>
        <w:t xml:space="preserve">                      +----------------------+</w:t>
        <w:br/>
        <w:t xml:space="preserve">                      |     Manifest (NEW)    |</w:t>
        <w:br/>
        <w:t xml:space="preserve">                      |----------------------|</w:t>
        <w:br/>
        <w:t xml:space="preserve">                      | ManifestId (PK)       |</w:t>
        <w:br/>
        <w:t xml:space="preserve">                      | ManifestType (IGM/    |</w:t>
        <w:br/>
        <w:t xml:space="preserve">                      |   EGM/CourierManifest)|</w:t>
        <w:br/>
        <w:t xml:space="preserve">                      | ManifestNumber        |</w:t>
        <w:br/>
        <w:t xml:space="preserve">                      | ShipmentId/CourierShip|</w:t>
        <w:br/>
        <w:t xml:space="preserve">                      |   mentId (FK)         |</w:t>
        <w:br/>
        <w:t xml:space="preserve">                      +----------+-----------+</w:t>
        <w:br/>
        <w:t xml:space="preserve">                                 | (1)</w:t>
        <w:br/>
        <w:t xml:space="preserve">                                 v (1)</w:t>
        <w:br/>
        <w:t xml:space="preserve">   +----------------+     +------------------+</w:t>
        <w:br/>
        <w:t xml:space="preserve">   |     Party      |&lt;---&gt;|    Shipment /    |</w:t>
        <w:br/>
        <w:t xml:space="preserve">   |----------------|     |  CourierShipment |</w:t>
        <w:br/>
        <w:t xml:space="preserve">   | GSTIN / IEC/PAN|     |------------------|</w:t>
        <w:br/>
        <w:t xml:space="preserve">   | (&gt;=1 required, |     | TransportMode /  |</w:t>
        <w:br/>
        <w:t xml:space="preserve">   |  waived for    |     | ImportPurpose /  |</w:t>
        <w:br/>
        <w:t xml:space="preserve">   |  gift+below-    |     | ImporterType     |</w:t>
        <w:br/>
        <w:t xml:space="preserve">   |  threshold)     |     +--------+---------+</w:t>
        <w:br/>
        <w:t xml:space="preserve">   +----------------+              | (1)</w:t>
        <w:br/>
        <w:t xml:space="preserve">                                    v (N)</w:t>
        <w:br/>
        <w:t xml:space="preserve">                          +------------------+</w:t>
        <w:br/>
        <w:t xml:space="preserve">                          |    Commodity     |</w:t>
        <w:br/>
        <w:t xml:space="preserve">                          +--------+---------+</w:t>
        <w:br/>
        <w:t xml:space="preserve">                                   | (N)</w:t>
        <w:br/>
        <w:t xml:space="preserve">                                   v</w:t>
        <w:br/>
        <w:t xml:space="preserve">                     +--------------------------+</w:t>
        <w:br/>
        <w:t xml:space="preserve">                     | DeclarationCommodityLine  |</w:t>
        <w:br/>
        <w:t xml:space="preserve">                     |  (snapshot-at-version:     |</w:t>
        <w:br/>
        <w:t xml:space="preserve">                     |   pins CommodityVersion)   |</w:t>
        <w:br/>
        <w:t xml:space="preserve">                     +-------------+--------------+</w:t>
        <w:br/>
        <w:t xml:space="preserve">                                   | (N)</w:t>
        <w:br/>
        <w:t xml:space="preserve">                                   v (1)</w:t>
        <w:br/>
        <w:t xml:space="preserve">                     +--------------------------------+</w:t>
        <w:br/>
        <w:t xml:space="preserve">                     |          Declaration            |</w:t>
        <w:br/>
        <w:t xml:space="preserve">                     |----------------------------------|</w:t>
        <w:br/>
        <w:t xml:space="preserve">                     | DeclarationType (incl. Courier   |</w:t>
        <w:br/>
        <w:t xml:space="preserve">                     |   BillOfEntry / ShippingBill)     |</w:t>
        <w:br/>
        <w:t xml:space="preserve">                     | ManifestId + ManifestLineNumber  |</w:t>
        <w:br/>
        <w:t xml:space="preserve">                     |   (NEW — replaces bare MAN flag) |</w:t>
        <w:br/>
        <w:t xml:space="preserve">                     | CT / CUS / RAT / MAN (derived)   |</w:t>
        <w:br/>
        <w:t xml:space="preserve">                     +-------------------+----------------+</w:t>
        <w:br/>
        <w:t xml:space="preserve">                                          |</w:t>
        <w:br/>
        <w:t xml:space="preserve">                    +---------------------+---------------------+</w:t>
        <w:br/>
        <w:t xml:space="preserve">                    v                     v                     v</w:t>
        <w:br/>
        <w:t xml:space="preserve">           +----------------+   +------------------+   +------------------+</w:t>
        <w:br/>
        <w:t xml:space="preserve">           |    Charge      |   |     Permit       |   | ShipmentIndicator|</w:t>
        <w:br/>
        <w:t xml:space="preserve">           +--------+-------+   +---------+--------+   +--------+---------+</w:t>
        <w:br/>
        <w:t xml:space="preserve">                    |                     |                      |</w:t>
        <w:br/>
        <w:t xml:space="preserve">                    +----------+----------+----------+-----------+</w:t>
        <w:br/>
        <w:t xml:space="preserve">                               v</w:t>
        <w:br/>
        <w:t xml:space="preserve">                     +---------------------------+</w:t>
        <w:br/>
        <w:t xml:space="preserve">                     |           Rule             |</w:t>
        <w:br/>
        <w:t xml:space="preserve">                     +-------------+---------------+</w:t>
        <w:br/>
        <w:t xml:space="preserve">                                   v</w:t>
        <w:br/>
        <w:t xml:space="preserve">                     +---------------------------+</w:t>
        <w:br/>
        <w:t xml:space="preserve">                     |        RuleVersion         |</w:t>
        <w:br/>
        <w:t xml:space="preserve">                     |  (EffectiveFrom/To;        |</w:t>
        <w:br/>
        <w:t xml:space="preserve">                     |   AND-only conditions)     |</w:t>
        <w:br/>
        <w:t xml:space="preserve">                     +------+---------------+------+</w:t>
        <w:br/>
        <w:t xml:space="preserve">                            v               v</w:t>
        <w:br/>
        <w:t xml:space="preserve">                +------------------+  +---------------------------+</w:t>
        <w:br/>
        <w:t xml:space="preserve">                |  RuleCondition   |  |      DecisionTrace          |</w:t>
        <w:br/>
        <w:t xml:space="preserve">                |  (ImportChannel, |  |  1 row per pipeline run,    |</w:t>
        <w:br/>
        <w:t xml:space="preserve">                |   ImportPurpose, |  |  embedded JSON step array   |</w:t>
        <w:br/>
        <w:t xml:space="preserve">                |   ImporterType,  |  |  (not 1 row per rule)       |</w:t>
        <w:br/>
        <w:t xml:space="preserve">                |   CommodityHS,   |  +---------------------------+</w:t>
        <w:br/>
        <w:t xml:space="preserve">                |   ShipmentValue) |</w:t>
        <w:br/>
        <w:t xml:space="preserve">                +------------------+</w:t>
        <w:br/>
      </w:r>
    </w:p>
    <w:p>
      <w:pPr>
        <w:pStyle w:val="Heading1"/>
      </w:pPr>
      <w:r>
        <w:t>6. Sign-Off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All Day 2 entities re-validated against a real scenario</w:t>
            </w:r>
          </w:p>
        </w:tc>
        <w:tc>
          <w:tcPr>
            <w:tcW w:type="dxa" w:w="4320"/>
          </w:tcPr>
          <w:p>
            <w:r>
              <w:t>Pass — Scenario A</w:t>
            </w:r>
          </w:p>
        </w:tc>
      </w:tr>
      <w:tr>
        <w:tc>
          <w:tcPr>
            <w:tcW w:type="dxa" w:w="4320"/>
          </w:tcPr>
          <w:p>
            <w:r>
              <w:t>All Day 3 rules/charges entities re-validated against a real scenario</w:t>
            </w:r>
          </w:p>
        </w:tc>
        <w:tc>
          <w:tcPr>
            <w:tcW w:type="dxa" w:w="4320"/>
          </w:tcPr>
          <w:p>
            <w:r>
              <w:t>Pass — Scenario A and B</w:t>
            </w:r>
          </w:p>
        </w:tc>
      </w:tr>
      <w:tr>
        <w:tc>
          <w:tcPr>
            <w:tcW w:type="dxa" w:w="4320"/>
          </w:tcPr>
          <w:p>
            <w:r>
              <w:t>De minimis constraint (Day 1, Section 4.4) confirmed implementable in schema as designed</w:t>
            </w:r>
          </w:p>
        </w:tc>
        <w:tc>
          <w:tcPr>
            <w:tcW w:type="dxa" w:w="4320"/>
          </w:tcPr>
          <w:p>
            <w:r>
              <w:t>Pass — Scenario B, Section 2.2 Step 4</w:t>
            </w:r>
          </w:p>
        </w:tc>
      </w:tr>
      <w:tr>
        <w:tc>
          <w:tcPr>
            <w:tcW w:type="dxa" w:w="4320"/>
          </w:tcPr>
          <w:p>
            <w:r>
              <w:t>All Day 2 open questions resolved</w:t>
            </w:r>
          </w:p>
        </w:tc>
        <w:tc>
          <w:tcPr>
            <w:tcW w:type="dxa" w:w="4320"/>
          </w:tcPr>
          <w:p>
            <w:r>
              <w:t>Pass — Section 4.1, 4.2, 4.3</w:t>
            </w:r>
          </w:p>
        </w:tc>
      </w:tr>
      <w:tr>
        <w:tc>
          <w:tcPr>
            <w:tcW w:type="dxa" w:w="4320"/>
          </w:tcPr>
          <w:p>
            <w:r>
              <w:t>All Day 3 open questions resolved</w:t>
            </w:r>
          </w:p>
        </w:tc>
        <w:tc>
          <w:tcPr>
            <w:tcW w:type="dxa" w:w="4320"/>
          </w:tcPr>
          <w:p>
            <w:r>
              <w:t>Pass — Section 4.4, 4.5</w:t>
            </w:r>
          </w:p>
        </w:tc>
      </w:tr>
      <w:tr>
        <w:tc>
          <w:tcPr>
            <w:tcW w:type="dxa" w:w="4320"/>
          </w:tcPr>
          <w:p>
            <w:r>
              <w:t>New gap found during review (Manifest) resolved and folded into model</w:t>
            </w:r>
          </w:p>
        </w:tc>
        <w:tc>
          <w:tcPr>
            <w:tcW w:type="dxa" w:w="4320"/>
          </w:tcPr>
          <w:p>
            <w:r>
              <w:t>Pass — Section 3</w:t>
            </w:r>
          </w:p>
        </w:tc>
      </w:tr>
      <w:tr>
        <w:tc>
          <w:tcPr>
            <w:tcW w:type="dxa" w:w="4320"/>
          </w:tcPr>
          <w:p>
            <w:r>
              <w:t>Bounded context count updated (Day 1 v2 had 16; now 17 with Manifest)</w:t>
            </w:r>
          </w:p>
        </w:tc>
        <w:tc>
          <w:tcPr>
            <w:tcW w:type="dxa" w:w="4320"/>
          </w:tcPr>
          <w:p>
            <w:r>
              <w:t>Pass — Section 3.1</w:t>
            </w:r>
          </w:p>
        </w:tc>
      </w:tr>
    </w:tbl>
    <w:p/>
    <w:p>
      <w:r>
        <w:rPr>
          <w:b/>
          <w:i w:val="0"/>
        </w:rPr>
        <w:t>Status: ER Diagram v1.0 signed off, pending your final confirmation.</w:t>
      </w:r>
    </w:p>
    <w:p>
      <w:pPr>
        <w:pStyle w:val="Heading1"/>
      </w:pPr>
      <w:r>
        <w:t>7. Traceability</w:t>
      </w:r>
    </w:p>
    <w:p>
      <w:r>
        <w:rPr>
          <w:b w:val="0"/>
          <w:i/>
        </w:rPr>
        <w:t>This deliverable satisfies Day 4 of the Day-Wise Plan: "Walk through end-to-end scenario(s) against the model; fix gaps." Deliverable produced: ER diagram v1.0 (signed off), above — including the Manifest Management gap you flagged, now folded in as bounded context #17.</w:t>
      </w:r>
    </w:p>
    <w:p>
      <w:r>
        <w:rPr>
          <w:b w:val="0"/>
          <w:i/>
        </w:rPr>
        <w:t>Next: Day 5 — Bounded Context Interfaces: define how contexts (now 17, including Manifest) communicate — events vs. direct calls — and produce the domain event catalog v1.0.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