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Re-Validation — Day 4 Scenarios Against ER Diagram v1.1</w:t>
      </w:r>
    </w:p>
    <w:p>
      <w:r>
        <w:rPr>
          <w:b/>
          <w:i w:val="0"/>
        </w:rPr>
        <w:t>Phase: Phase -1 (Architecture &amp; Engineering Preparation)</w:t>
      </w:r>
    </w:p>
    <w:p>
      <w:r>
        <w:rPr>
          <w:b w:val="0"/>
          <w:i w:val="0"/>
        </w:rPr>
        <w:t>Trigger: Action item from Multimodal_Shipment_Journey_Integration_ER_v1.1, Section 8</w:t>
      </w:r>
    </w:p>
    <w:p>
      <w:r>
        <w:rPr>
          <w:b w:val="0"/>
          <w:i w:val="0"/>
        </w:rPr>
        <w:t>Purpose: confirm leg-level Manifest and Declaration linkage works end-to-end for both Day 4 scenarios under the new Journey/Transport Leg model</w:t>
      </w:r>
    </w:p>
    <w:p>
      <w:pPr>
        <w:pStyle w:val="Heading1"/>
      </w:pPr>
      <w:r>
        <w:t>1. Scenario A — Formal Air Cargo Import, Re-walked (Ocean + Road multimodal variant)</w:t>
      </w:r>
    </w:p>
    <w:p>
      <w:r>
        <w:rPr>
          <w:b w:val="0"/>
          <w:i w:val="0"/>
        </w:rPr>
        <w:t>Original Day 4 Scenario A assumed a single-leg air movement. To genuinely test the multimodal model (not just re-confirm a single-leg case), this re-walk uses the exact multimodal example from the supplied analysis: Hamburg (Ocean) to Nhava Sheva, then Road to Bangalore ICD — controlled electronics, business importer.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v1.1 Entities Touched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1. Shipment created (commercial object)</w:t>
            </w:r>
          </w:p>
        </w:tc>
        <w:tc>
          <w:tcPr>
            <w:tcW w:type="dxa" w:w="2880"/>
          </w:tcPr>
          <w:p>
            <w:r>
              <w:t>Shipment (JourneyId assigned)</w:t>
            </w:r>
          </w:p>
        </w:tc>
        <w:tc>
          <w:tcPr>
            <w:tcW w:type="dxa" w:w="2880"/>
          </w:tcPr>
          <w:p>
            <w:r>
              <w:t>Pass. Shipment carries no transport mode — correct per v1.1.</w:t>
            </w:r>
          </w:p>
        </w:tc>
      </w:tr>
      <w:tr>
        <w:tc>
          <w:tcPr>
            <w:tcW w:type="dxa" w:w="2880"/>
          </w:tcPr>
          <w:p>
            <w:r>
              <w:t>2. Journey created with 2 legs</w:t>
            </w:r>
          </w:p>
        </w:tc>
        <w:tc>
          <w:tcPr>
            <w:tcW w:type="dxa" w:w="2880"/>
          </w:tcPr>
          <w:p>
            <w:r>
              <w:t>ShipmentJourney (LegCount=2), TransportLeg x2</w:t>
            </w:r>
          </w:p>
        </w:tc>
        <w:tc>
          <w:tcPr>
            <w:tcW w:type="dxa" w:w="2880"/>
          </w:tcPr>
          <w:p>
            <w:r>
              <w:t>Pass. Leg 1: Mode=Ocean, Origin=Hamburg, Destination=Nhava Sheva, CustomsClearanceRequired=true. Leg 2: Mode=Road, Origin=Nhava Sheva, Destination=Bangalore ICD, CustomsClearanceRequired=false.</w:t>
            </w:r>
          </w:p>
        </w:tc>
      </w:tr>
      <w:tr>
        <w:tc>
          <w:tcPr>
            <w:tcW w:type="dxa" w:w="2880"/>
          </w:tcPr>
          <w:p>
            <w:r>
              <w:t>3. Carrier files Ocean manifest for Leg 1</w:t>
            </w:r>
          </w:p>
        </w:tc>
        <w:tc>
          <w:tcPr>
            <w:tcW w:type="dxa" w:w="2880"/>
          </w:tcPr>
          <w:p>
            <w:r>
              <w:t>Manifest (TransportLegId=Leg1, ManifestType=IGM)</w:t>
            </w:r>
          </w:p>
        </w:tc>
        <w:tc>
          <w:tcPr>
            <w:tcW w:type="dxa" w:w="2880"/>
          </w:tcPr>
          <w:p>
            <w:r>
              <w:t>Pass. This is the exact case the analysis called out: "Ocean Leg -&gt; Ocean Manifest." Manifest correctly attaches to Leg 1, not to the Shipment as a whole.</w:t>
            </w:r>
          </w:p>
        </w:tc>
      </w:tr>
      <w:tr>
        <w:tc>
          <w:tcPr>
            <w:tcW w:type="dxa" w:w="2880"/>
          </w:tcPr>
          <w:p>
            <w:r>
              <w:t>4. Commodity lines created, ITC-HS assigned, ControlledGoodsFlag=true</w:t>
            </w:r>
          </w:p>
        </w:tc>
        <w:tc>
          <w:tcPr>
            <w:tcW w:type="dxa" w:w="2880"/>
          </w:tcPr>
          <w:p>
            <w:r>
              <w:t>Commodity</w:t>
            </w:r>
          </w:p>
        </w:tc>
        <w:tc>
          <w:tcPr>
            <w:tcW w:type="dxa" w:w="2880"/>
          </w:tcPr>
          <w:p>
            <w:r>
              <w:t>Pass. Unaffected by journey model, as expected (Day 4 Section 6 confirmed this).</w:t>
            </w:r>
          </w:p>
        </w:tc>
      </w:tr>
      <w:tr>
        <w:tc>
          <w:tcPr>
            <w:tcW w:type="dxa" w:w="2880"/>
          </w:tcPr>
          <w:p>
            <w:r>
              <w:t>5. Segregation Engine evaluates CT using Leg 1 Mode as a fact</w:t>
            </w:r>
          </w:p>
        </w:tc>
        <w:tc>
          <w:tcPr>
            <w:tcW w:type="dxa" w:w="2880"/>
          </w:tcPr>
          <w:p>
            <w:r>
              <w:t>Rule, RuleVersion, RuleCondition (FactName=TransportLeg.Mode now sourced from Leg 1, not Shipment), DecisionTrace</w:t>
            </w:r>
          </w:p>
        </w:tc>
        <w:tc>
          <w:tcPr>
            <w:tcW w:type="dxa" w:w="2880"/>
          </w:tcPr>
          <w:p>
            <w:r>
              <w:t>Pass. Confirms Section 7 of the integration note: FactName is abstracted, so pointing it at TransportLeg.Mode instead of the old Shipment.TransportMode required no schema change, only a data-source change.</w:t>
            </w:r>
          </w:p>
        </w:tc>
      </w:tr>
      <w:tr>
        <w:tc>
          <w:tcPr>
            <w:tcW w:type="dxa" w:w="2880"/>
          </w:tcPr>
          <w:p>
            <w:r>
              <w:t>6. Permit / DGFT license checked against Commodity</w:t>
            </w:r>
          </w:p>
        </w:tc>
        <w:tc>
          <w:tcPr>
            <w:tcW w:type="dxa" w:w="2880"/>
          </w:tcPr>
          <w:p>
            <w:r>
              <w:t>Permit</w:t>
            </w:r>
          </w:p>
        </w:tc>
        <w:tc>
          <w:tcPr>
            <w:tcW w:type="dxa" w:w="2880"/>
          </w:tcPr>
          <w:p>
            <w:r>
              <w:t>Pass. Unaffected by journey model.</w:t>
            </w:r>
          </w:p>
        </w:tc>
      </w:tr>
      <w:tr>
        <w:tc>
          <w:tcPr>
            <w:tcW w:type="dxa" w:w="2880"/>
          </w:tcPr>
          <w:p>
            <w:r>
              <w:t>7. Declaration drafted for the Ocean leg specifically</w:t>
            </w:r>
          </w:p>
        </w:tc>
        <w:tc>
          <w:tcPr>
            <w:tcW w:type="dxa" w:w="2880"/>
          </w:tcPr>
          <w:p>
            <w:r>
              <w:t>Declaration (TransportLegId=Leg1, ManifestId=Leg1 Ocean Manifest, ManifestLineNumber)</w:t>
            </w:r>
          </w:p>
        </w:tc>
        <w:tc>
          <w:tcPr>
            <w:tcW w:type="dxa" w:w="2880"/>
          </w:tcPr>
          <w:p>
            <w:r>
              <w:t>Pass. This directly confirms the analysis's customs-implications point: "the customs declaration applies at Leg 1 Destination, not the whole journey." Declaration.TransportLegId correctly isolates clearance to the leg where the customs boundary is actually crossed.</w:t>
            </w:r>
          </w:p>
        </w:tc>
      </w:tr>
      <w:tr>
        <w:tc>
          <w:tcPr>
            <w:tcW w:type="dxa" w:w="2880"/>
          </w:tcPr>
          <w:p>
            <w:r>
              <w:t>8. Charges calculated (BCD, IGST, Cess) against the Declaration</w:t>
            </w:r>
          </w:p>
        </w:tc>
        <w:tc>
          <w:tcPr>
            <w:tcW w:type="dxa" w:w="2880"/>
          </w:tcPr>
          <w:p>
            <w:r>
              <w:t>Charge</w:t>
            </w:r>
          </w:p>
        </w:tc>
        <w:tc>
          <w:tcPr>
            <w:tcW w:type="dxa" w:w="2880"/>
          </w:tcPr>
          <w:p>
            <w:r>
              <w:t>Pass. Unaffected — Charges attach to Declaration/Commodity as before.</w:t>
            </w:r>
          </w:p>
        </w:tc>
      </w:tr>
      <w:tr>
        <w:tc>
          <w:tcPr>
            <w:tcW w:type="dxa" w:w="2880"/>
          </w:tcPr>
          <w:p>
            <w:r>
              <w:t>9. Leg 1 clearance completes; Leg 1.LegStatus=Completed; Leg 2 (Road) begins</w:t>
            </w:r>
          </w:p>
        </w:tc>
        <w:tc>
          <w:tcPr>
            <w:tcW w:type="dxa" w:w="2880"/>
          </w:tcPr>
          <w:p>
            <w:r>
              <w:t>TransportLeg (Leg2.LegStatus=InTransit), Shipment.CurrentLegId updated to Leg 2</w:t>
            </w:r>
          </w:p>
        </w:tc>
        <w:tc>
          <w:tcPr>
            <w:tcW w:type="dxa" w:w="2880"/>
          </w:tcPr>
          <w:p>
            <w:r>
              <w:t>Pass. Matches the analysis's workflow example exactly: "Ocean Leg Arrived -&gt; Create Customs Declaration -&gt; Clearance Complete -&gt; Road Leg Starts." No customs re-declaration needed for Leg 2 since CustomsClearanceRequired=false there.</w:t>
            </w:r>
          </w:p>
        </w:tc>
      </w:tr>
      <w:tr>
        <w:tc>
          <w:tcPr>
            <w:tcW w:type="dxa" w:w="2880"/>
          </w:tcPr>
          <w:p>
            <w:r>
              <w:t>10. Road leg has its own trip document (not a customs manifest)</w:t>
            </w:r>
          </w:p>
        </w:tc>
        <w:tc>
          <w:tcPr>
            <w:tcW w:type="dxa" w:w="2880"/>
          </w:tcPr>
          <w:p>
            <w:r>
              <w:t>TransportLeg.MAWB_HAWB_or_BL_Number on Leg 2 (domestic road consignment note, not an IGM)</w:t>
            </w:r>
          </w:p>
        </w:tc>
        <w:tc>
          <w:tcPr>
            <w:tcW w:type="dxa" w:w="2880"/>
          </w:tcPr>
          <w:p>
            <w:r>
              <w:t>Pass. Confirms "Later: Road Leg -&gt; Road Trip. Different documents." No Manifest record is created for Leg 2 since it is domestic and not customs-relevant — Manifest.TransportLegId is only populated for legs where a customs-facing manifest is actually filed.</w:t>
            </w:r>
          </w:p>
        </w:tc>
      </w:tr>
    </w:tbl>
    <w:p/>
    <w:p>
      <w:r>
        <w:rPr>
          <w:b/>
          <w:i w:val="0"/>
        </w:rPr>
        <w:t>Result: Scenario A passes cleanly under v1.1, and additionally validates the multimodal case that the single-leg Day 4 version could not have tested.</w:t>
      </w:r>
    </w:p>
    <w:p>
      <w:pPr>
        <w:pStyle w:val="Heading1"/>
      </w:pPr>
      <w:r>
        <w:t>2. Scenario B — Courier Personal Import, Re-walked (Air + Road multimodal variant)</w:t>
      </w:r>
    </w:p>
    <w:p>
      <w:r>
        <w:rPr>
          <w:b w:val="0"/>
          <w:i w:val="0"/>
        </w:rPr>
        <w:t>Original Day 4 Scenario B assumed a single-leg courier movement. Re-walked here using the analysis's own courier example: Hong Kong (Air) to Delhi Hub, then Road to the customer — personal gift, individual importer, below de minimis threshold.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v1.1 Entities Touched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1. CourierShipment created</w:t>
            </w:r>
          </w:p>
        </w:tc>
        <w:tc>
          <w:tcPr>
            <w:tcW w:type="dxa" w:w="2880"/>
          </w:tcPr>
          <w:p>
            <w:r>
              <w:t>CourierShipment (JourneyId assigned, ImportPurpose=Gift, ImporterType=Individual)</w:t>
            </w:r>
          </w:p>
        </w:tc>
        <w:tc>
          <w:tcPr>
            <w:tcW w:type="dxa" w:w="2880"/>
          </w:tcPr>
          <w:p>
            <w:r>
              <w:t>Pass. Confirms Section 4.6 of the integration note: CourierShipment gained JourneyId/CurrentLegId identically to Shipment, with commercial attributes (ImportPurpose, ImporterType) untouched.</w:t>
            </w:r>
          </w:p>
        </w:tc>
      </w:tr>
      <w:tr>
        <w:tc>
          <w:tcPr>
            <w:tcW w:type="dxa" w:w="2880"/>
          </w:tcPr>
          <w:p>
            <w:r>
              <w:t>2. Journey created with 2 legs</w:t>
            </w:r>
          </w:p>
        </w:tc>
        <w:tc>
          <w:tcPr>
            <w:tcW w:type="dxa" w:w="2880"/>
          </w:tcPr>
          <w:p>
            <w:r>
              <w:t>ShipmentJourney, TransportLeg x2</w:t>
            </w:r>
          </w:p>
        </w:tc>
        <w:tc>
          <w:tcPr>
            <w:tcW w:type="dxa" w:w="2880"/>
          </w:tcPr>
          <w:p>
            <w:r>
              <w:t>Pass. Leg 1: Mode=Air, Origin=Hong Kong, Destination=Delhi Hub, CustomsClearanceRequired=true. Leg 2: Mode=Road, Origin=Delhi Hub, Destination=Customer address, CustomsClearanceRequired=false.</w:t>
            </w:r>
          </w:p>
        </w:tc>
      </w:tr>
      <w:tr>
        <w:tc>
          <w:tcPr>
            <w:tcW w:type="dxa" w:w="2880"/>
          </w:tcPr>
          <w:p>
            <w:r>
              <w:t>3. Courier files consolidated manifest for Leg 1</w:t>
            </w:r>
          </w:p>
        </w:tc>
        <w:tc>
          <w:tcPr>
            <w:tcW w:type="dxa" w:w="2880"/>
          </w:tcPr>
          <w:p>
            <w:r>
              <w:t>Manifest (TransportLegId=Leg1, ManifestType=CourierManifest)</w:t>
            </w:r>
          </w:p>
        </w:tc>
        <w:tc>
          <w:tcPr>
            <w:tcW w:type="dxa" w:w="2880"/>
          </w:tcPr>
          <w:p>
            <w:r>
              <w:t>Pass. Courier manifest correctly attaches to the Air leg (Leg 1), the only leg where a customs boundary is crossed — consistent with Scenario A's pattern.</w:t>
            </w:r>
          </w:p>
        </w:tc>
      </w:tr>
      <w:tr>
        <w:tc>
          <w:tcPr>
            <w:tcW w:type="dxa" w:w="2880"/>
          </w:tcPr>
          <w:p>
            <w:r>
              <w:t>4. Party created for individual consignee, no GSTIN/PAN</w:t>
            </w:r>
          </w:p>
        </w:tc>
        <w:tc>
          <w:tcPr>
            <w:tcW w:type="dxa" w:w="2880"/>
          </w:tcPr>
          <w:p>
            <w:r>
              <w:t>Party</w:t>
            </w:r>
          </w:p>
        </w:tc>
        <w:tc>
          <w:tcPr>
            <w:tcW w:type="dxa" w:w="2880"/>
          </w:tcPr>
          <w:p>
            <w:r>
              <w:t>Pass. Unaffected by journey model — Day 4's resolution (at least one of GSTIN/PAN required, waived for gift+below-threshold) still holds; the journey change is orthogonal to Party validation.</w:t>
            </w:r>
          </w:p>
        </w:tc>
      </w:tr>
      <w:tr>
        <w:tc>
          <w:tcPr>
            <w:tcW w:type="dxa" w:w="2880"/>
          </w:tcPr>
          <w:p>
            <w:r>
              <w:t>5. Segregation Engine evaluates de minimis using Leg 1 facts + CourierShipment facts</w:t>
            </w:r>
          </w:p>
        </w:tc>
        <w:tc>
          <w:tcPr>
            <w:tcW w:type="dxa" w:w="2880"/>
          </w:tcPr>
          <w:p>
            <w:r>
              <w:t>Rule, RuleVersion, RuleCondition (FactName=ImportChannel reads TransportLeg.Mode=Air + CourierShipment context; FactName=ImportPurpose, ImporterType, ShipmentValue read from CourierShipment as before)</w:t>
            </w:r>
          </w:p>
        </w:tc>
        <w:tc>
          <w:tcPr>
            <w:tcW w:type="dxa" w:w="2880"/>
          </w:tcPr>
          <w:p>
            <w:r>
              <w:t>Pass. Confirms the Day 1 binding constraint (Section 4.4) is still fully implementable: none of the de minimis-relevant facts were transport-mode fields to begin with (they came from CourierShipment), so this constraint is entirely unaffected by the journey model change. No conflict between the two design decisions.</w:t>
            </w:r>
          </w:p>
        </w:tc>
      </w:tr>
      <w:tr>
        <w:tc>
          <w:tcPr>
            <w:tcW w:type="dxa" w:w="2880"/>
          </w:tcPr>
          <w:p>
            <w:r>
              <w:t>6. CT = DeMinimis; Declaration drafted for Leg 1 (Air, DeclarationType=CourierBillOfEntry)</w:t>
            </w:r>
          </w:p>
        </w:tc>
        <w:tc>
          <w:tcPr>
            <w:tcW w:type="dxa" w:w="2880"/>
          </w:tcPr>
          <w:p>
            <w:r>
              <w:t>Declaration (TransportLegId=Leg1, ManifestId=Leg1 CourierManifest)</w:t>
            </w:r>
          </w:p>
        </w:tc>
        <w:tc>
          <w:tcPr>
            <w:tcW w:type="dxa" w:w="2880"/>
          </w:tcPr>
          <w:p>
            <w:r>
              <w:t>Pass. Confirms Day 4's resolution that courier reuses Declaration with a DeclarationType discriminator still holds; only addition is the new TransportLegId FK, populated the same way as Scenario A.</w:t>
            </w:r>
          </w:p>
        </w:tc>
      </w:tr>
      <w:tr>
        <w:tc>
          <w:tcPr>
            <w:tcW w:type="dxa" w:w="2880"/>
          </w:tcPr>
          <w:p>
            <w:r>
              <w:t>7. Leg 2 (Road, last-mile delivery to customer) requires no further customs action</w:t>
            </w:r>
          </w:p>
        </w:tc>
        <w:tc>
          <w:tcPr>
            <w:tcW w:type="dxa" w:w="2880"/>
          </w:tcPr>
          <w:p>
            <w:r>
              <w:t>TransportLeg (Leg2.CustomsClearanceRequired=false)</w:t>
            </w:r>
          </w:p>
        </w:tc>
        <w:tc>
          <w:tcPr>
            <w:tcW w:type="dxa" w:w="2880"/>
          </w:tcPr>
          <w:p>
            <w:r>
              <w:t>Pass. Matches the analysis's courier example exactly — no gap found.</w:t>
            </w:r>
          </w:p>
        </w:tc>
      </w:tr>
    </w:tbl>
    <w:p/>
    <w:p>
      <w:r>
        <w:rPr>
          <w:b/>
          <w:i w:val="0"/>
        </w:rPr>
        <w:t>Result: Scenario B passes cleanly under v1.1. The de minimis constraint from Day 1 and the journey/leg model from this integration are confirmed to be fully independent and non-conflicting.</w:t>
      </w:r>
    </w:p>
    <w:p>
      <w:pPr>
        <w:pStyle w:val="Heading1"/>
      </w:pPr>
      <w:r>
        <w:t>3. Findings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Finding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Manifest correctly attaches to the specific customs-relevant leg in both scenarios, not to the whole shipment</w:t>
            </w:r>
          </w:p>
        </w:tc>
        <w:tc>
          <w:tcPr>
            <w:tcW w:type="dxa" w:w="4320"/>
          </w:tcPr>
          <w:p>
            <w:r>
              <w:t>Confirmed — no gap</w:t>
            </w:r>
          </w:p>
        </w:tc>
      </w:tr>
      <w:tr>
        <w:tc>
          <w:tcPr>
            <w:tcW w:type="dxa" w:w="4320"/>
          </w:tcPr>
          <w:p>
            <w:r>
              <w:t>Declaration correctly isolates clearance to one TransportLeg, matching the analysis's customs-implications point</w:t>
            </w:r>
          </w:p>
        </w:tc>
        <w:tc>
          <w:tcPr>
            <w:tcW w:type="dxa" w:w="4320"/>
          </w:tcPr>
          <w:p>
            <w:r>
              <w:t>Confirmed — no gap</w:t>
            </w:r>
          </w:p>
        </w:tc>
      </w:tr>
      <w:tr>
        <w:tc>
          <w:tcPr>
            <w:tcW w:type="dxa" w:w="4320"/>
          </w:tcPr>
          <w:p>
            <w:r>
              <w:t>Segregation Engine facts remain sourceable without any schema change to Rule/RuleVersion/RuleCondition</w:t>
            </w:r>
          </w:p>
        </w:tc>
        <w:tc>
          <w:tcPr>
            <w:tcW w:type="dxa" w:w="4320"/>
          </w:tcPr>
          <w:p>
            <w:r>
              <w:t>Confirmed — no gap</w:t>
            </w:r>
          </w:p>
        </w:tc>
      </w:tr>
      <w:tr>
        <w:tc>
          <w:tcPr>
            <w:tcW w:type="dxa" w:w="4320"/>
          </w:tcPr>
          <w:p>
            <w:r>
              <w:t>De minimis constraint (Day 1) and Journey/Leg model (this integration) are independent, non-conflicting design decisions</w:t>
            </w:r>
          </w:p>
        </w:tc>
        <w:tc>
          <w:tcPr>
            <w:tcW w:type="dxa" w:w="4320"/>
          </w:tcPr>
          <w:p>
            <w:r>
              <w:t>Confirmed — no gap</w:t>
            </w:r>
          </w:p>
        </w:tc>
      </w:tr>
      <w:tr>
        <w:tc>
          <w:tcPr>
            <w:tcW w:type="dxa" w:w="4320"/>
          </w:tcPr>
          <w:p>
            <w:r>
              <w:t>Domestic-only legs (e.g. final-mile Road) correctly do not require a Manifest record</w:t>
            </w:r>
          </w:p>
        </w:tc>
        <w:tc>
          <w:tcPr>
            <w:tcW w:type="dxa" w:w="4320"/>
          </w:tcPr>
          <w:p>
            <w:r>
              <w:t>Confirmed — no gap; this was implicit in v1.1 but is now explicitly demonstrated</w:t>
            </w:r>
          </w:p>
        </w:tc>
      </w:tr>
      <w:tr>
        <w:tc>
          <w:tcPr>
            <w:tcW w:type="dxa" w:w="4320"/>
          </w:tcPr>
          <w:p>
            <w:r>
              <w:t>No new entities or FK changes required beyond what v1.1 already specified</w:t>
            </w:r>
          </w:p>
        </w:tc>
        <w:tc>
          <w:tcPr>
            <w:tcW w:type="dxa" w:w="4320"/>
          </w:tcPr>
          <w:p>
            <w:r>
              <w:t>Confirmed</w:t>
            </w:r>
          </w:p>
        </w:tc>
      </w:tr>
    </w:tbl>
    <w:p/>
    <w:p>
      <w:r>
        <w:rPr>
          <w:b/>
          <w:i w:val="0"/>
        </w:rPr>
        <w:t>No new gaps were found. ER Diagram v1.1 is confirmed workable end-to-end for both the formal-cargo and courier scenarios, including genuinely multimodal (2-leg) journeys.</w:t>
      </w:r>
    </w:p>
    <w:p>
      <w:pPr>
        <w:pStyle w:val="Heading1"/>
      </w:pPr>
      <w:r>
        <w:t>4. Remaining Action Items Before Day 5 (from the Integration Note, Section 8)</w:t>
      </w:r>
    </w:p>
    <w:p>
      <w:pPr>
        <w:pStyle w:val="ListBullet"/>
      </w:pPr>
      <w:r>
        <w:t>1:1 Shipment-to-Journey MVP simplification: confirmed workable in both re-walks above (no re-planning/re-routing exercised) — still recommend an explicit confirmation from you that this scope limitation is intentional for V1, since a real shipment can occasionally get re-routed mid-journey and that is out of scope here.</w:t>
      </w:r>
    </w:p>
    <w:p>
      <w:pPr>
        <w:pStyle w:val="ListBullet"/>
      </w:pPr>
      <w:r>
        <w:t>Container entity: not touched by either scenario re-walk (no Ocean container-level detail was required for either narrative) — recommend confirming it stays fully deferred, consistent with the original recommendation.</w:t>
      </w:r>
    </w:p>
    <w:p>
      <w:pPr>
        <w:pStyle w:val="Heading1"/>
      </w:pPr>
      <w:r>
        <w:t>5. Traceability</w:t>
      </w:r>
    </w:p>
    <w:p>
      <w:r>
        <w:rPr>
          <w:b w:val="0"/>
          <w:i/>
        </w:rPr>
        <w:t>This deliverable completes the action item from Multimodal_Shipment_Journey_Integration_ER_v1.1 (Section 8): "Re-walk Scenario A and Scenario B from Day 4 against the v1.1 model to confirm leg-level Manifest and Declaration linkage." Result: both scenarios pass with no new gaps found, and the multimodal (2-leg) case is now explicitly validated, which the original single-leg Day 4 walkthroughs could not test.</w:t>
      </w:r>
    </w:p>
    <w:p>
      <w:r>
        <w:rPr>
          <w:b w:val="0"/>
          <w:i/>
        </w:rPr>
        <w:t>Next: Day 5 — Bounded Context Interfaces / domain event catalog v1.0, now built against a fully re-validated v1.1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