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5 Deliverable — Bounded Context Interfaces &amp; Domain Event Catalog v1.0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5 of 20</w:t>
      </w:r>
    </w:p>
    <w:p>
      <w:r>
        <w:rPr>
          <w:b w:val="0"/>
          <w:i w:val="0"/>
        </w:rPr>
        <w:t>Jurisdiction: India (MVP)</w:t>
      </w:r>
    </w:p>
    <w:p>
      <w:r>
        <w:rPr>
          <w:b w:val="0"/>
          <w:i w:val="0"/>
        </w:rPr>
        <w:t>Source: ER Diagram v1.1 (Days 2-4 + multimodal integration), 17 bounded contexts + Shipment Management sub-contexts</w:t>
      </w:r>
    </w:p>
    <w:p>
      <w:r>
        <w:rPr>
          <w:b w:val="0"/>
          <w:i w:val="0"/>
        </w:rPr>
        <w:t>Deliverable per plan: Context map + domain event catalog v1.0</w:t>
      </w:r>
    </w:p>
    <w:p>
      <w:pPr>
        <w:pStyle w:val="Heading1"/>
      </w:pPr>
      <w:r>
        <w:t>0. Assumptions Carried Forward Without Objection</w:t>
      </w:r>
    </w:p>
    <w:p>
      <w:r>
        <w:rPr>
          <w:b w:val="0"/>
          <w:i w:val="0"/>
        </w:rPr>
        <w:t>Two open items from the multimodal re-validation were not specifically answered; proceeding on the recommended defaults, flagged explicitly so they remain visible decisions rather than silent ones:</w:t>
      </w:r>
    </w:p>
    <w:p>
      <w:pPr>
        <w:pStyle w:val="ListBullet"/>
      </w:pPr>
      <w:r>
        <w:t>1:1 Shipment-to-Journey for MVP confirmed (no mid-journey re-routing/re-planning support in V1).</w:t>
      </w:r>
    </w:p>
    <w:p>
      <w:pPr>
        <w:pStyle w:val="ListBullet"/>
      </w:pPr>
      <w:r>
        <w:t>Container entity confirmed fully deferred beyond MVP (ContainerRef string field on TransportLeg is sufficient for now).</w:t>
      </w:r>
    </w:p>
    <w:p>
      <w:pPr>
        <w:pStyle w:val="Heading1"/>
      </w:pPr>
      <w:r>
        <w:t>1. Interaction Style Decision: Events vs Direct Calls</w:t>
      </w:r>
    </w:p>
    <w:p>
      <w:r>
        <w:rPr>
          <w:b w:val="0"/>
          <w:i w:val="0"/>
        </w:rPr>
        <w:t>Per the Day 1 ownership-boundary note (Section 4.1): "other contexts consume via events or read models, not direct writes." Day 5 makes this concrete by classifying every cross-context interaction as either an Event (asynchronous, published to the Phase 0 event bus) or a Direct Call (synchronous, request/response, used only where the caller genuinely cannot proceed without an immediate answer).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Interaction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Event (async)</w:t>
            </w:r>
          </w:p>
        </w:tc>
        <w:tc>
          <w:tcPr>
            <w:tcW w:type="dxa" w:w="2880"/>
          </w:tcPr>
          <w:p>
            <w:r>
              <w:t>One context's state change should trigger work in another, but the originating context does not need to wait for or know the outcome</w:t>
            </w:r>
          </w:p>
        </w:tc>
        <w:tc>
          <w:tcPr>
            <w:tcW w:type="dxa" w:w="2880"/>
          </w:tcPr>
          <w:p>
            <w:r>
              <w:t>ShipmentValidated triggers Segregation Engine evaluation</w:t>
            </w:r>
          </w:p>
        </w:tc>
      </w:tr>
      <w:tr>
        <w:tc>
          <w:tcPr>
            <w:tcW w:type="dxa" w:w="2880"/>
          </w:tcPr>
          <w:p>
            <w:r>
              <w:t>Direct Call (sync)</w:t>
            </w:r>
          </w:p>
        </w:tc>
        <w:tc>
          <w:tcPr>
            <w:tcW w:type="dxa" w:w="2880"/>
          </w:tcPr>
          <w:p>
            <w:r>
              <w:t>The caller needs an immediate answer to proceed with its own current operation, and the data is not naturally eventually-consistent</w:t>
            </w:r>
          </w:p>
        </w:tc>
        <w:tc>
          <w:tcPr>
            <w:tcW w:type="dxa" w:w="2880"/>
          </w:tcPr>
          <w:p>
            <w:r>
              <w:t>Declaration Management calling HS Classification Engine to validate an HS Code before allowing a broker to save a commodity line</w:t>
            </w:r>
          </w:p>
        </w:tc>
      </w:tr>
    </w:tbl>
    <w:p/>
    <w:p>
      <w:r>
        <w:rPr>
          <w:b w:val="0"/>
          <w:i/>
        </w:rPr>
        <w:t>Default bias: Event, per the PRD's own "event-driven architecture" design principle (established at the end of Ch.8). Direct Calls are the exception and must be justified case by case below.</w:t>
      </w:r>
    </w:p>
    <w:p>
      <w:pPr>
        <w:pStyle w:val="Heading1"/>
      </w:pPr>
      <w:r>
        <w:t>2. Context Interaction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From Context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 Context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Interaction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User / Org Administration</w:t>
            </w:r>
          </w:p>
        </w:tc>
        <w:tc>
          <w:tcPr>
            <w:tcW w:type="dxa" w:w="2160"/>
          </w:tcPr>
          <w:p>
            <w:r>
              <w:t>All contexts</w:t>
            </w:r>
          </w:p>
        </w:tc>
        <w:tc>
          <w:tcPr>
            <w:tcW w:type="dxa" w:w="2160"/>
          </w:tcPr>
          <w:p>
            <w:r>
              <w:t>Direct Call (auth check only)</w:t>
            </w:r>
          </w:p>
        </w:tc>
        <w:tc>
          <w:tcPr>
            <w:tcW w:type="dxa" w:w="2160"/>
          </w:tcPr>
          <w:p>
            <w:r>
              <w:t>Every request needs synchronous auth/permission validation; not a business event</w:t>
            </w:r>
          </w:p>
        </w:tc>
      </w:tr>
      <w:tr>
        <w:tc>
          <w:tcPr>
            <w:tcW w:type="dxa" w:w="2160"/>
          </w:tcPr>
          <w:p>
            <w:r>
              <w:t>Party / Customer Management</w:t>
            </w:r>
          </w:p>
        </w:tc>
        <w:tc>
          <w:tcPr>
            <w:tcW w:type="dxa" w:w="2160"/>
          </w:tcPr>
          <w:p>
            <w:r>
              <w:t>Shipment Management</w:t>
            </w:r>
          </w:p>
        </w:tc>
        <w:tc>
          <w:tcPr>
            <w:tcW w:type="dxa" w:w="2160"/>
          </w:tcPr>
          <w:p>
            <w:r>
              <w:t>Event (PartyUpdated)</w:t>
            </w:r>
          </w:p>
        </w:tc>
        <w:tc>
          <w:tcPr>
            <w:tcW w:type="dxa" w:w="2160"/>
          </w:tcPr>
          <w:p>
            <w:r>
              <w:t>Shipment does not need to block on party changes; eventual consistency acceptable</w:t>
            </w:r>
          </w:p>
        </w:tc>
      </w:tr>
      <w:tr>
        <w:tc>
          <w:tcPr>
            <w:tcW w:type="dxa" w:w="2160"/>
          </w:tcPr>
          <w:p>
            <w:r>
              <w:t>Shipment Management</w:t>
            </w:r>
          </w:p>
        </w:tc>
        <w:tc>
          <w:tcPr>
            <w:tcW w:type="dxa" w:w="2160"/>
          </w:tcPr>
          <w:p>
            <w:r>
              <w:t>Journey/Leg (sub-context)</w:t>
            </w:r>
          </w:p>
        </w:tc>
        <w:tc>
          <w:tcPr>
            <w:tcW w:type="dxa" w:w="2160"/>
          </w:tcPr>
          <w:p>
            <w:r>
              <w:t>Direct Call</w:t>
            </w:r>
          </w:p>
        </w:tc>
        <w:tc>
          <w:tcPr>
            <w:tcW w:type="dxa" w:w="2160"/>
          </w:tcPr>
          <w:p>
            <w:r>
              <w:t>Same bounded context (Day 5 note: Journey/Leg are sub-contexts of #1, not separate services for MVP — internal method calls, not events, per the co-deployment pattern already used for Permit+Compliance</w:t>
            </w:r>
          </w:p>
        </w:tc>
      </w:tr>
      <w:tr>
        <w:tc>
          <w:tcPr>
            <w:tcW w:type="dxa" w:w="2160"/>
          </w:tcPr>
          <w:p>
            <w:r>
              <w:t>Shipment Management</w:t>
            </w:r>
          </w:p>
        </w:tc>
        <w:tc>
          <w:tcPr>
            <w:tcW w:type="dxa" w:w="2160"/>
          </w:tcPr>
          <w:p>
            <w:r>
              <w:t>Segregation Engine</w:t>
            </w:r>
          </w:p>
        </w:tc>
        <w:tc>
          <w:tcPr>
            <w:tcW w:type="dxa" w:w="2160"/>
          </w:tcPr>
          <w:p>
            <w:r>
              <w:t>Event (ShipmentValidated, LegArrived)</w:t>
            </w:r>
          </w:p>
        </w:tc>
        <w:tc>
          <w:tcPr>
            <w:tcW w:type="dxa" w:w="2160"/>
          </w:tcPr>
          <w:p>
            <w:r>
              <w:t>Segregation must not block shipment ingestion; re-evaluates asynchronously per PRD Ch.5.3 trigger points</w:t>
            </w:r>
          </w:p>
        </w:tc>
      </w:tr>
      <w:tr>
        <w:tc>
          <w:tcPr>
            <w:tcW w:type="dxa" w:w="2160"/>
          </w:tcPr>
          <w:p>
            <w:r>
              <w:t>Segregation Engine</w:t>
            </w:r>
          </w:p>
        </w:tc>
        <w:tc>
          <w:tcPr>
            <w:tcW w:type="dxa" w:w="2160"/>
          </w:tcPr>
          <w:p>
            <w:r>
              <w:t>Declaration Management</w:t>
            </w:r>
          </w:p>
        </w:tc>
        <w:tc>
          <w:tcPr>
            <w:tcW w:type="dxa" w:w="2160"/>
          </w:tcPr>
          <w:p>
            <w:r>
              <w:t>Event (ClearanceTypeAssigned)</w:t>
            </w:r>
          </w:p>
        </w:tc>
        <w:tc>
          <w:tcPr>
            <w:tcW w:type="dxa" w:w="2160"/>
          </w:tcPr>
          <w:p>
            <w:r>
              <w:t>Declaration creation is triggered, not requested synchronously, per PRD Ch.6 FR-DEC-001 ("upon successful shipment validation and segregation")</w:t>
            </w:r>
          </w:p>
        </w:tc>
      </w:tr>
      <w:tr>
        <w:tc>
          <w:tcPr>
            <w:tcW w:type="dxa" w:w="2160"/>
          </w:tcPr>
          <w:p>
            <w:r>
              <w:t>Commodity Management</w:t>
            </w:r>
          </w:p>
        </w:tc>
        <w:tc>
          <w:tcPr>
            <w:tcW w:type="dxa" w:w="2160"/>
          </w:tcPr>
          <w:p>
            <w:r>
              <w:t>HS Classification Engine</w:t>
            </w:r>
          </w:p>
        </w:tc>
        <w:tc>
          <w:tcPr>
            <w:tcW w:type="dxa" w:w="2160"/>
          </w:tcPr>
          <w:p>
            <w:r>
              <w:t>Direct Call (interactive) + Event (for re-evaluation)</w:t>
            </w:r>
          </w:p>
        </w:tc>
        <w:tc>
          <w:tcPr>
            <w:tcW w:type="dxa" w:w="2160"/>
          </w:tcPr>
          <w:p>
            <w:r>
              <w:t>Broker needs an immediate candidate HS code while editing a commodity line (sync); but re-classification triggered by tariff updates is async (event)</w:t>
            </w:r>
          </w:p>
        </w:tc>
      </w:tr>
      <w:tr>
        <w:tc>
          <w:tcPr>
            <w:tcW w:type="dxa" w:w="2160"/>
          </w:tcPr>
          <w:p>
            <w:r>
              <w:t>HS Classification Engine</w:t>
            </w:r>
          </w:p>
        </w:tc>
        <w:tc>
          <w:tcPr>
            <w:tcW w:type="dxa" w:w="2160"/>
          </w:tcPr>
          <w:p>
            <w:r>
              <w:t>Duty &amp; Tax Engine</w:t>
            </w:r>
          </w:p>
        </w:tc>
        <w:tc>
          <w:tcPr>
            <w:tcW w:type="dxa" w:w="2160"/>
          </w:tcPr>
          <w:p>
            <w:r>
              <w:t>Event (CommodityClassified)</w:t>
            </w:r>
          </w:p>
        </w:tc>
        <w:tc>
          <w:tcPr>
            <w:tcW w:type="dxa" w:w="2160"/>
          </w:tcPr>
          <w:p>
            <w:r>
              <w:t>Duty calculation is a downstream reaction, not a blocking dependency of classification</w:t>
            </w:r>
          </w:p>
        </w:tc>
      </w:tr>
      <w:tr>
        <w:tc>
          <w:tcPr>
            <w:tcW w:type="dxa" w:w="2160"/>
          </w:tcPr>
          <w:p>
            <w:r>
              <w:t>HS Classification Engine</w:t>
            </w:r>
          </w:p>
        </w:tc>
        <w:tc>
          <w:tcPr>
            <w:tcW w:type="dxa" w:w="2160"/>
          </w:tcPr>
          <w:p>
            <w:r>
              <w:t>Permit Management</w:t>
            </w:r>
          </w:p>
        </w:tc>
        <w:tc>
          <w:tcPr>
            <w:tcW w:type="dxa" w:w="2160"/>
          </w:tcPr>
          <w:p>
            <w:r>
              <w:t>Event (CommodityClassified)</w:t>
            </w:r>
          </w:p>
        </w:tc>
        <w:tc>
          <w:tcPr>
            <w:tcW w:type="dxa" w:w="2160"/>
          </w:tcPr>
          <w:p>
            <w:r>
              <w:t>Permit requirement determination reacts to classification asynchronously</w:t>
            </w:r>
          </w:p>
        </w:tc>
      </w:tr>
      <w:tr>
        <w:tc>
          <w:tcPr>
            <w:tcW w:type="dxa" w:w="2160"/>
          </w:tcPr>
          <w:p>
            <w:r>
              <w:t>Duty &amp; Tax Engine</w:t>
            </w:r>
          </w:p>
        </w:tc>
        <w:tc>
          <w:tcPr>
            <w:tcW w:type="dxa" w:w="2160"/>
          </w:tcPr>
          <w:p>
            <w:r>
              <w:t>Declaration Management</w:t>
            </w:r>
          </w:p>
        </w:tc>
        <w:tc>
          <w:tcPr>
            <w:tcW w:type="dxa" w:w="2160"/>
          </w:tcPr>
          <w:p>
            <w:r>
              <w:t>Event (ChargesCalculated)</w:t>
            </w:r>
          </w:p>
        </w:tc>
        <w:tc>
          <w:tcPr>
            <w:tcW w:type="dxa" w:w="2160"/>
          </w:tcPr>
          <w:p>
            <w:r>
              <w:t>Declaration is updated once charges are ready, matching the async design</w:t>
            </w:r>
          </w:p>
        </w:tc>
      </w:tr>
      <w:tr>
        <w:tc>
          <w:tcPr>
            <w:tcW w:type="dxa" w:w="2160"/>
          </w:tcPr>
          <w:p>
            <w:r>
              <w:t>Permit Management</w:t>
            </w:r>
          </w:p>
        </w:tc>
        <w:tc>
          <w:tcPr>
            <w:tcW w:type="dxa" w:w="2160"/>
          </w:tcPr>
          <w:p>
            <w:r>
              <w:t>Declaration Management</w:t>
            </w:r>
          </w:p>
        </w:tc>
        <w:tc>
          <w:tcPr>
            <w:tcW w:type="dxa" w:w="2160"/>
          </w:tcPr>
          <w:p>
            <w:r>
              <w:t>Direct Call (submission-time gate) + Event (PermitStatusChanged)</w:t>
            </w:r>
          </w:p>
        </w:tc>
        <w:tc>
          <w:tcPr>
            <w:tcW w:type="dxa" w:w="2160"/>
          </w:tcPr>
          <w:p>
            <w:r>
              <w:t>Declaration submission must synchronously verify all required permits are Approved (cannot allow submission on stale/eventually-consistent permit data, per BR-DEC-004); status changes otherwise propagate as events</w:t>
            </w:r>
          </w:p>
        </w:tc>
      </w:tr>
      <w:tr>
        <w:tc>
          <w:tcPr>
            <w:tcW w:type="dxa" w:w="2160"/>
          </w:tcPr>
          <w:p>
            <w:r>
              <w:t>Compliance Engine</w:t>
            </w:r>
          </w:p>
        </w:tc>
        <w:tc>
          <w:tcPr>
            <w:tcW w:type="dxa" w:w="2160"/>
          </w:tcPr>
          <w:p>
            <w:r>
              <w:t>Declaration Management</w:t>
            </w:r>
          </w:p>
        </w:tc>
        <w:tc>
          <w:tcPr>
            <w:tcW w:type="dxa" w:w="2160"/>
          </w:tcPr>
          <w:p>
            <w:r>
              <w:t>Direct Call (submission-time gate) + Event (ComplianceFlagRaised)</w:t>
            </w:r>
          </w:p>
        </w:tc>
        <w:tc>
          <w:tcPr>
            <w:tcW w:type="dxa" w:w="2160"/>
          </w:tcPr>
          <w:p>
            <w:r>
              <w:t>Same reasoning as Permit — final compliance check before submission must be synchronous and current</w:t>
            </w:r>
          </w:p>
        </w:tc>
      </w:tr>
      <w:tr>
        <w:tc>
          <w:tcPr>
            <w:tcW w:type="dxa" w:w="2160"/>
          </w:tcPr>
          <w:p>
            <w:r>
              <w:t>Manifest Management (assoc. sub-context)</w:t>
            </w:r>
          </w:p>
        </w:tc>
        <w:tc>
          <w:tcPr>
            <w:tcW w:type="dxa" w:w="2160"/>
          </w:tcPr>
          <w:p>
            <w:r>
              <w:t>Declaration Management</w:t>
            </w:r>
          </w:p>
        </w:tc>
        <w:tc>
          <w:tcPr>
            <w:tcW w:type="dxa" w:w="2160"/>
          </w:tcPr>
          <w:p>
            <w:r>
              <w:t>Direct Call (validation) + Event (ManifestFiled)</w:t>
            </w:r>
          </w:p>
        </w:tc>
        <w:tc>
          <w:tcPr>
            <w:tcW w:type="dxa" w:w="2160"/>
          </w:tcPr>
          <w:p>
            <w:r>
              <w:t>Declaration submission must synchronously confirm a valid Manifest/leg reference exists (India customs requirement); manifest filing itself is announced as an event</w:t>
            </w:r>
          </w:p>
        </w:tc>
      </w:tr>
      <w:tr>
        <w:tc>
          <w:tcPr>
            <w:tcW w:type="dxa" w:w="2160"/>
          </w:tcPr>
          <w:p>
            <w:r>
              <w:t>Declaration Management</w:t>
            </w:r>
          </w:p>
        </w:tc>
        <w:tc>
          <w:tcPr>
            <w:tcW w:type="dxa" w:w="2160"/>
          </w:tcPr>
          <w:p>
            <w:r>
              <w:t>Customs Gateway Integration</w:t>
            </w:r>
          </w:p>
        </w:tc>
        <w:tc>
          <w:tcPr>
            <w:tcW w:type="dxa" w:w="2160"/>
          </w:tcPr>
          <w:p>
            <w:r>
              <w:t>Event (DeclarationReadyForSubmission) + Direct Call (submission itself)</w:t>
            </w:r>
          </w:p>
        </w:tc>
        <w:tc>
          <w:tcPr>
            <w:tcW w:type="dxa" w:w="2160"/>
          </w:tcPr>
          <w:p>
            <w:r>
              <w:t>Preparing to submit is event-driven; the actual ICEGATE transmission is a synchronous call since the system needs the immediate transmission acknowledgement</w:t>
            </w:r>
          </w:p>
        </w:tc>
      </w:tr>
      <w:tr>
        <w:tc>
          <w:tcPr>
            <w:tcW w:type="dxa" w:w="2160"/>
          </w:tcPr>
          <w:p>
            <w:r>
              <w:t>Customs Gateway Integration</w:t>
            </w:r>
          </w:p>
        </w:tc>
        <w:tc>
          <w:tcPr>
            <w:tcW w:type="dxa" w:w="2160"/>
          </w:tcPr>
          <w:p>
            <w:r>
              <w:t>Declaration Management, Workflow Engine</w:t>
            </w:r>
          </w:p>
        </w:tc>
        <w:tc>
          <w:tcPr>
            <w:tcW w:type="dxa" w:w="2160"/>
          </w:tcPr>
          <w:p>
            <w:r>
              <w:t>Event (CustomsResponseReceived)</w:t>
            </w:r>
          </w:p>
        </w:tc>
        <w:tc>
          <w:tcPr>
            <w:tcW w:type="dxa" w:w="2160"/>
          </w:tcPr>
          <w:p>
            <w:r>
              <w:t>Government responses arrive asynchronously by nature (per PRD Ch.3 Stage 11)</w:t>
            </w:r>
          </w:p>
        </w:tc>
      </w:tr>
      <w:tr>
        <w:tc>
          <w:tcPr>
            <w:tcW w:type="dxa" w:w="2160"/>
          </w:tcPr>
          <w:p>
            <w:r>
              <w:t>Workflow Engine</w:t>
            </w:r>
          </w:p>
        </w:tc>
        <w:tc>
          <w:tcPr>
            <w:tcW w:type="dxa" w:w="2160"/>
          </w:tcPr>
          <w:p>
            <w:r>
              <w:t>All contexts (task/escalation)</w:t>
            </w:r>
          </w:p>
        </w:tc>
        <w:tc>
          <w:tcPr>
            <w:tcW w:type="dxa" w:w="2160"/>
          </w:tcPr>
          <w:p>
            <w:r>
              <w:t>Event (subscribes broadly)</w:t>
            </w:r>
          </w:p>
        </w:tc>
        <w:tc>
          <w:tcPr>
            <w:tcW w:type="dxa" w:w="2160"/>
          </w:tcPr>
          <w:p>
            <w:r>
              <w:t>Workflow reacts to status-changing events across contexts to drive task assignment/escalation, per PRD Ch.6.9</w:t>
            </w:r>
          </w:p>
        </w:tc>
      </w:tr>
      <w:tr>
        <w:tc>
          <w:tcPr>
            <w:tcW w:type="dxa" w:w="2160"/>
          </w:tcPr>
          <w:p>
            <w:r>
              <w:t>Document Management</w:t>
            </w:r>
          </w:p>
        </w:tc>
        <w:tc>
          <w:tcPr>
            <w:tcW w:type="dxa" w:w="2160"/>
          </w:tcPr>
          <w:p>
            <w:r>
              <w:t>Shipment / Commodity / Declaration</w:t>
            </w:r>
          </w:p>
        </w:tc>
        <w:tc>
          <w:tcPr>
            <w:tcW w:type="dxa" w:w="2160"/>
          </w:tcPr>
          <w:p>
            <w:r>
              <w:t>Event (DocumentAttached)</w:t>
            </w:r>
          </w:p>
        </w:tc>
        <w:tc>
          <w:tcPr>
            <w:tcW w:type="dxa" w:w="2160"/>
          </w:tcPr>
          <w:p>
            <w:r>
              <w:t>Non-blocking; no context needs to wait on document upload to proceed</w:t>
            </w:r>
          </w:p>
        </w:tc>
      </w:tr>
      <w:tr>
        <w:tc>
          <w:tcPr>
            <w:tcW w:type="dxa" w:w="2160"/>
          </w:tcPr>
          <w:p>
            <w:r>
              <w:t>Financial / Charges</w:t>
            </w:r>
          </w:p>
        </w:tc>
        <w:tc>
          <w:tcPr>
            <w:tcW w:type="dxa" w:w="2160"/>
          </w:tcPr>
          <w:p>
            <w:r>
              <w:t>Duty &amp; Tax Engine, Declaration Management</w:t>
            </w:r>
          </w:p>
        </w:tc>
        <w:tc>
          <w:tcPr>
            <w:tcW w:type="dxa" w:w="2160"/>
          </w:tcPr>
          <w:p>
            <w:r>
              <w:t>Event (subscribes to ChargesCalculated, DeclarationReleased)</w:t>
            </w:r>
          </w:p>
        </w:tc>
        <w:tc>
          <w:tcPr>
            <w:tcW w:type="dxa" w:w="2160"/>
          </w:tcPr>
          <w:p>
            <w:r>
              <w:t>Later-phase context; consumes events only for MVP, no MVP write-back dependency</w:t>
            </w:r>
          </w:p>
        </w:tc>
      </w:tr>
      <w:tr>
        <w:tc>
          <w:tcPr>
            <w:tcW w:type="dxa" w:w="2160"/>
          </w:tcPr>
          <w:p>
            <w:r>
              <w:t>Reporting &amp; Analytics</w:t>
            </w:r>
          </w:p>
        </w:tc>
        <w:tc>
          <w:tcPr>
            <w:tcW w:type="dxa" w:w="2160"/>
          </w:tcPr>
          <w:p>
            <w:r>
              <w:t>All contexts</w:t>
            </w:r>
          </w:p>
        </w:tc>
        <w:tc>
          <w:tcPr>
            <w:tcW w:type="dxa" w:w="2160"/>
          </w:tcPr>
          <w:p>
            <w:r>
              <w:t>Event (subscribes broadly, read-only)</w:t>
            </w:r>
          </w:p>
        </w:tc>
        <w:tc>
          <w:tcPr>
            <w:tcW w:type="dxa" w:w="2160"/>
          </w:tcPr>
          <w:p>
            <w:r>
              <w:t>Pure consumer; never a dependency for any other context</w:t>
            </w:r>
          </w:p>
        </w:tc>
      </w:tr>
    </w:tbl>
    <w:p/>
    <w:p>
      <w:pPr>
        <w:pStyle w:val="Heading1"/>
      </w:pPr>
      <w:r>
        <w:t>3. Domain Event Catalog v1.0</w:t>
      </w:r>
    </w:p>
    <w:p>
      <w:r>
        <w:rPr>
          <w:b w:val="0"/>
          <w:i w:val="0"/>
        </w:rPr>
        <w:t>Events are grouped by originating context. Each entry: event name, trigger, and key payload fields (not exhaustive — full schemas belong to Phase 0 API contract work, not this catalog).</w:t>
      </w:r>
    </w:p>
    <w:p>
      <w:pPr>
        <w:pStyle w:val="Heading2"/>
      </w:pPr>
      <w:r>
        <w:t>3.1 Shipment Management (incl. Journey/Leg/Tracking sub-contexts)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ShipmentCreated</w:t>
            </w:r>
          </w:p>
        </w:tc>
        <w:tc>
          <w:tcPr>
            <w:tcW w:type="dxa" w:w="2880"/>
          </w:tcPr>
          <w:p>
            <w:r>
              <w:t>Shipment downloaded/created (FR-001)</w:t>
            </w:r>
          </w:p>
        </w:tc>
        <w:tc>
          <w:tcPr>
            <w:tcW w:type="dxa" w:w="2880"/>
          </w:tcPr>
          <w:p>
            <w:r>
              <w:t>ShipmentId, ShipmentNumber, Direction, SourceSystem</w:t>
            </w:r>
          </w:p>
        </w:tc>
      </w:tr>
      <w:tr>
        <w:tc>
          <w:tcPr>
            <w:tcW w:type="dxa" w:w="2880"/>
          </w:tcPr>
          <w:p>
            <w:r>
              <w:t>ShipmentValidated</w:t>
            </w:r>
          </w:p>
        </w:tc>
        <w:tc>
          <w:tcPr>
            <w:tcW w:type="dxa" w:w="2880"/>
          </w:tcPr>
          <w:p>
            <w:r>
              <w:t>Mandatory validation passes (FR-002)</w:t>
            </w:r>
          </w:p>
        </w:tc>
        <w:tc>
          <w:tcPr>
            <w:tcW w:type="dxa" w:w="2880"/>
          </w:tcPr>
          <w:p>
            <w:r>
              <w:t>ShipmentId, ValidationResult</w:t>
            </w:r>
          </w:p>
        </w:tc>
      </w:tr>
      <w:tr>
        <w:tc>
          <w:tcPr>
            <w:tcW w:type="dxa" w:w="2880"/>
          </w:tcPr>
          <w:p>
            <w:r>
              <w:t>ShipmentValidationFailed</w:t>
            </w:r>
          </w:p>
        </w:tc>
        <w:tc>
          <w:tcPr>
            <w:tcW w:type="dxa" w:w="2880"/>
          </w:tcPr>
          <w:p>
            <w:r>
              <w:t>Mandatory validation fails</w:t>
            </w:r>
          </w:p>
        </w:tc>
        <w:tc>
          <w:tcPr>
            <w:tcW w:type="dxa" w:w="2880"/>
          </w:tcPr>
          <w:p>
            <w:r>
              <w:t>ShipmentId, ValidationErrors[]</w:t>
            </w:r>
          </w:p>
        </w:tc>
      </w:tr>
      <w:tr>
        <w:tc>
          <w:tcPr>
            <w:tcW w:type="dxa" w:w="2880"/>
          </w:tcPr>
          <w:p>
            <w:r>
              <w:t>JourneyCreated</w:t>
            </w:r>
          </w:p>
        </w:tc>
        <w:tc>
          <w:tcPr>
            <w:tcW w:type="dxa" w:w="2880"/>
          </w:tcPr>
          <w:p>
            <w:r>
              <w:t>ShipmentJourney created with its legs</w:t>
            </w:r>
          </w:p>
        </w:tc>
        <w:tc>
          <w:tcPr>
            <w:tcW w:type="dxa" w:w="2880"/>
          </w:tcPr>
          <w:p>
            <w:r>
              <w:t>JourneyId, ShipmentId, LegCount</w:t>
            </w:r>
          </w:p>
        </w:tc>
      </w:tr>
      <w:tr>
        <w:tc>
          <w:tcPr>
            <w:tcW w:type="dxa" w:w="2880"/>
          </w:tcPr>
          <w:p>
            <w:r>
              <w:t>LegDeparted / LegArrived</w:t>
            </w:r>
          </w:p>
        </w:tc>
        <w:tc>
          <w:tcPr>
            <w:tcW w:type="dxa" w:w="2880"/>
          </w:tcPr>
          <w:p>
            <w:r>
              <w:t>TransportLeg.Status transitions</w:t>
            </w:r>
          </w:p>
        </w:tc>
        <w:tc>
          <w:tcPr>
            <w:tcW w:type="dxa" w:w="2880"/>
          </w:tcPr>
          <w:p>
            <w:r>
              <w:t>TransportLegId, JourneyId, Mode, Timestamp</w:t>
            </w:r>
          </w:p>
        </w:tc>
      </w:tr>
      <w:tr>
        <w:tc>
          <w:tcPr>
            <w:tcW w:type="dxa" w:w="2880"/>
          </w:tcPr>
          <w:p>
            <w:r>
              <w:t>CurrentLegChanged</w:t>
            </w:r>
          </w:p>
        </w:tc>
        <w:tc>
          <w:tcPr>
            <w:tcW w:type="dxa" w:w="2880"/>
          </w:tcPr>
          <w:p>
            <w:r>
              <w:t>Shipment.CurrentLegId updated</w:t>
            </w:r>
          </w:p>
        </w:tc>
        <w:tc>
          <w:tcPr>
            <w:tcW w:type="dxa" w:w="2880"/>
          </w:tcPr>
          <w:p>
            <w:r>
              <w:t>ShipmentId, PreviousLegId, NewLegId</w:t>
            </w:r>
          </w:p>
        </w:tc>
      </w:tr>
      <w:tr>
        <w:tc>
          <w:tcPr>
            <w:tcW w:type="dxa" w:w="2880"/>
          </w:tcPr>
          <w:p>
            <w:r>
              <w:t>ShipmentIndicatorAdded</w:t>
            </w:r>
          </w:p>
        </w:tc>
        <w:tc>
          <w:tcPr>
            <w:tcW w:type="dxa" w:w="2880"/>
          </w:tcPr>
          <w:p>
            <w:r>
              <w:t>Auto or manual indicator assignment</w:t>
            </w:r>
          </w:p>
        </w:tc>
        <w:tc>
          <w:tcPr>
            <w:tcW w:type="dxa" w:w="2880"/>
          </w:tcPr>
          <w:p>
            <w:r>
              <w:t>ShipmentId, IndicatorCode, Source</w:t>
            </w:r>
          </w:p>
        </w:tc>
      </w:tr>
    </w:tbl>
    <w:p/>
    <w:p>
      <w:pPr>
        <w:pStyle w:val="Heading2"/>
      </w:pPr>
      <w:r>
        <w:t>3.2 Segregation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ClearanceTypeAssigned</w:t>
            </w:r>
          </w:p>
        </w:tc>
        <w:tc>
          <w:tcPr>
            <w:tcW w:type="dxa" w:w="2880"/>
          </w:tcPr>
          <w:p>
            <w:r>
              <w:t>Segregation Engine completes evaluation</w:t>
            </w:r>
          </w:p>
        </w:tc>
        <w:tc>
          <w:tcPr>
            <w:tcW w:type="dxa" w:w="2880"/>
          </w:tcPr>
          <w:p>
            <w:r>
              <w:t>ShipmentId or CourierShipmentId, ClearanceType, DecisionTraceId</w:t>
            </w:r>
          </w:p>
        </w:tc>
      </w:tr>
      <w:tr>
        <w:tc>
          <w:tcPr>
            <w:tcW w:type="dxa" w:w="2880"/>
          </w:tcPr>
          <w:p>
            <w:r>
              <w:t>ReSegregationTriggered</w:t>
            </w:r>
          </w:p>
        </w:tc>
        <w:tc>
          <w:tcPr>
            <w:tcW w:type="dxa" w:w="2880"/>
          </w:tcPr>
          <w:p>
            <w:r>
              <w:t>Any Day-1-listed trigger point fires (HS Code updated, commodity added, etc.)</w:t>
            </w:r>
          </w:p>
        </w:tc>
        <w:tc>
          <w:tcPr>
            <w:tcW w:type="dxa" w:w="2880"/>
          </w:tcPr>
          <w:p>
            <w:r>
              <w:t>ShipmentId, TriggerReason</w:t>
            </w:r>
          </w:p>
        </w:tc>
      </w:tr>
      <w:tr>
        <w:tc>
          <w:tcPr>
            <w:tcW w:type="dxa" w:w="2880"/>
          </w:tcPr>
          <w:p>
            <w:r>
              <w:t>ManualOverrideApplied</w:t>
            </w:r>
          </w:p>
        </w:tc>
        <w:tc>
          <w:tcPr>
            <w:tcW w:type="dxa" w:w="2880"/>
          </w:tcPr>
          <w:p>
            <w:r>
              <w:t>Supervisor overrides CT (PRD Ch.5.12)</w:t>
            </w:r>
          </w:p>
        </w:tc>
        <w:tc>
          <w:tcPr>
            <w:tcW w:type="dxa" w:w="2880"/>
          </w:tcPr>
          <w:p>
            <w:r>
              <w:t>ShipmentId, OriginalCT, OverrideCT, OverrideReason, OverriddenBy</w:t>
            </w:r>
          </w:p>
        </w:tc>
      </w:tr>
    </w:tbl>
    <w:p/>
    <w:p>
      <w:pPr>
        <w:pStyle w:val="Heading2"/>
      </w:pPr>
      <w:r>
        <w:t>3.3 Commodity Management / HS Classification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CommodityCreated</w:t>
            </w:r>
          </w:p>
        </w:tc>
        <w:tc>
          <w:tcPr>
            <w:tcW w:type="dxa" w:w="2880"/>
          </w:tcPr>
          <w:p>
            <w:r>
              <w:t>Commodity line added</w:t>
            </w:r>
          </w:p>
        </w:tc>
        <w:tc>
          <w:tcPr>
            <w:tcW w:type="dxa" w:w="2880"/>
          </w:tcPr>
          <w:p>
            <w:r>
              <w:t>CommodityId, ShipmentId/CourierShipmentId, LineNumber</w:t>
            </w:r>
          </w:p>
        </w:tc>
      </w:tr>
      <w:tr>
        <w:tc>
          <w:tcPr>
            <w:tcW w:type="dxa" w:w="2880"/>
          </w:tcPr>
          <w:p>
            <w:r>
              <w:t>CommodityClassified</w:t>
            </w:r>
          </w:p>
        </w:tc>
        <w:tc>
          <w:tcPr>
            <w:tcW w:type="dxa" w:w="2880"/>
          </w:tcPr>
          <w:p>
            <w:r>
              <w:t>HS Classification Engine assigns/confirms ITC-HS code</w:t>
            </w:r>
          </w:p>
        </w:tc>
        <w:tc>
          <w:tcPr>
            <w:tcW w:type="dxa" w:w="2880"/>
          </w:tcPr>
          <w:p>
            <w:r>
              <w:t>CommodityId, ITC_HSCode, ClassificationSource, ConfidenceScore</w:t>
            </w:r>
          </w:p>
        </w:tc>
      </w:tr>
      <w:tr>
        <w:tc>
          <w:tcPr>
            <w:tcW w:type="dxa" w:w="2880"/>
          </w:tcPr>
          <w:p>
            <w:r>
              <w:t>CommoditySplit / CommodityMerged</w:t>
            </w:r>
          </w:p>
        </w:tc>
        <w:tc>
          <w:tcPr>
            <w:tcW w:type="dxa" w:w="2880"/>
          </w:tcPr>
          <w:p>
            <w:r>
              <w:t>Broker splits/merges lines (FR-COM-004/005)</w:t>
            </w:r>
          </w:p>
        </w:tc>
        <w:tc>
          <w:tcPr>
            <w:tcW w:type="dxa" w:w="2880"/>
          </w:tcPr>
          <w:p>
            <w:r>
              <w:t>OriginalCommodityId, ResultingCommodityIds[]</w:t>
            </w:r>
          </w:p>
        </w:tc>
      </w:tr>
      <w:tr>
        <w:tc>
          <w:tcPr>
            <w:tcW w:type="dxa" w:w="2880"/>
          </w:tcPr>
          <w:p>
            <w:r>
              <w:t>CommodityVersionCreated</w:t>
            </w:r>
          </w:p>
        </w:tc>
        <w:tc>
          <w:tcPr>
            <w:tcW w:type="dxa" w:w="2880"/>
          </w:tcPr>
          <w:p>
            <w:r>
              <w:t>Any modification (FR-COM-006)</w:t>
            </w:r>
          </w:p>
        </w:tc>
        <w:tc>
          <w:tcPr>
            <w:tcW w:type="dxa" w:w="2880"/>
          </w:tcPr>
          <w:p>
            <w:r>
              <w:t>CommodityId, VersionNumber, ChangedFields</w:t>
            </w:r>
          </w:p>
        </w:tc>
      </w:tr>
    </w:tbl>
    <w:p/>
    <w:p>
      <w:pPr>
        <w:pStyle w:val="Heading2"/>
      </w:pPr>
      <w:r>
        <w:t>3.4 Duty &amp; Tax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ChargesCalculated</w:t>
            </w:r>
          </w:p>
        </w:tc>
        <w:tc>
          <w:tcPr>
            <w:tcW w:type="dxa" w:w="2880"/>
          </w:tcPr>
          <w:p>
            <w:r>
              <w:t>Duty/GST/Cess calculation completes for a Commodity or Declaration</w:t>
            </w:r>
          </w:p>
        </w:tc>
        <w:tc>
          <w:tcPr>
            <w:tcW w:type="dxa" w:w="2880"/>
          </w:tcPr>
          <w:p>
            <w:r>
              <w:t>DeclarationId or CommodityId, ChargeIds[], TotalAmount</w:t>
            </w:r>
          </w:p>
        </w:tc>
      </w:tr>
      <w:tr>
        <w:tc>
          <w:tcPr>
            <w:tcW w:type="dxa" w:w="2880"/>
          </w:tcPr>
          <w:p>
            <w:r>
              <w:t>ChargesRecalculated</w:t>
            </w:r>
          </w:p>
        </w:tc>
        <w:tc>
          <w:tcPr>
            <w:tcW w:type="dxa" w:w="2880"/>
          </w:tcPr>
          <w:p>
            <w:r>
              <w:t>Triggered by valuation/HS/exchange-rate change (BR-COM-006)</w:t>
            </w:r>
          </w:p>
        </w:tc>
        <w:tc>
          <w:tcPr>
            <w:tcW w:type="dxa" w:w="2880"/>
          </w:tcPr>
          <w:p>
            <w:r>
              <w:t>CommodityId, PreviousTotal, NewTotal, Reason</w:t>
            </w:r>
          </w:p>
        </w:tc>
      </w:tr>
    </w:tbl>
    <w:p/>
    <w:p>
      <w:pPr>
        <w:pStyle w:val="Heading2"/>
      </w:pPr>
      <w:r>
        <w:t>3.5 Permit Management / Compliance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PermitRequired</w:t>
            </w:r>
          </w:p>
        </w:tc>
        <w:tc>
          <w:tcPr>
            <w:tcW w:type="dxa" w:w="2880"/>
          </w:tcPr>
          <w:p>
            <w:r>
              <w:t>Commodity flagged as requiring a permit</w:t>
            </w:r>
          </w:p>
        </w:tc>
        <w:tc>
          <w:tcPr>
            <w:tcW w:type="dxa" w:w="2880"/>
          </w:tcPr>
          <w:p>
            <w:r>
              <w:t>CommodityId, PermitType, IssuingAgency</w:t>
            </w:r>
          </w:p>
        </w:tc>
      </w:tr>
      <w:tr>
        <w:tc>
          <w:tcPr>
            <w:tcW w:type="dxa" w:w="2880"/>
          </w:tcPr>
          <w:p>
            <w:r>
              <w:t>PermitStatusChanged</w:t>
            </w:r>
          </w:p>
        </w:tc>
        <w:tc>
          <w:tcPr>
            <w:tcW w:type="dxa" w:w="2880"/>
          </w:tcPr>
          <w:p>
            <w:r>
              <w:t>Permit moves through Requested/Pending/Approved/Rejected</w:t>
            </w:r>
          </w:p>
        </w:tc>
        <w:tc>
          <w:tcPr>
            <w:tcW w:type="dxa" w:w="2880"/>
          </w:tcPr>
          <w:p>
            <w:r>
              <w:t>PermitId, PreviousStatus, NewStatus</w:t>
            </w:r>
          </w:p>
        </w:tc>
      </w:tr>
      <w:tr>
        <w:tc>
          <w:tcPr>
            <w:tcW w:type="dxa" w:w="2880"/>
          </w:tcPr>
          <w:p>
            <w:r>
              <w:t>ComplianceFlagRaised</w:t>
            </w:r>
          </w:p>
        </w:tc>
        <w:tc>
          <w:tcPr>
            <w:tcW w:type="dxa" w:w="2880"/>
          </w:tcPr>
          <w:p>
            <w:r>
              <w:t>Compliance Engine identifies a restriction/sanction/hold</w:t>
            </w:r>
          </w:p>
        </w:tc>
        <w:tc>
          <w:tcPr>
            <w:tcW w:type="dxa" w:w="2880"/>
          </w:tcPr>
          <w:p>
            <w:r>
              <w:t>PartyId or CommodityId, FlagType, Severity</w:t>
            </w:r>
          </w:p>
        </w:tc>
      </w:tr>
      <w:tr>
        <w:tc>
          <w:tcPr>
            <w:tcW w:type="dxa" w:w="2880"/>
          </w:tcPr>
          <w:p>
            <w:r>
              <w:t>ComplianceClearedForSubmission</w:t>
            </w:r>
          </w:p>
        </w:tc>
        <w:tc>
          <w:tcPr>
            <w:tcW w:type="dxa" w:w="2880"/>
          </w:tcPr>
          <w:p>
            <w:r>
              <w:t>All compliance checks pass for a Declaration</w:t>
            </w:r>
          </w:p>
        </w:tc>
        <w:tc>
          <w:tcPr>
            <w:tcW w:type="dxa" w:w="2880"/>
          </w:tcPr>
          <w:p>
            <w:r>
              <w:t>DeclarationId</w:t>
            </w:r>
          </w:p>
        </w:tc>
      </w:tr>
    </w:tbl>
    <w:p/>
    <w:p>
      <w:pPr>
        <w:pStyle w:val="Heading2"/>
      </w:pPr>
      <w:r>
        <w:t>3.6 Manifest Management (Shipment Management sub-context)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ManifestFiled</w:t>
            </w:r>
          </w:p>
        </w:tc>
        <w:tc>
          <w:tcPr>
            <w:tcW w:type="dxa" w:w="2880"/>
          </w:tcPr>
          <w:p>
            <w:r>
              <w:t>Carrier/courier files IGM/EGM/CourierManifest</w:t>
            </w:r>
          </w:p>
        </w:tc>
        <w:tc>
          <w:tcPr>
            <w:tcW w:type="dxa" w:w="2880"/>
          </w:tcPr>
          <w:p>
            <w:r>
              <w:t>ManifestId, ManifestType, TransportLegId, ManifestNumber</w:t>
            </w:r>
          </w:p>
        </w:tc>
      </w:tr>
      <w:tr>
        <w:tc>
          <w:tcPr>
            <w:tcW w:type="dxa" w:w="2880"/>
          </w:tcPr>
          <w:p>
            <w:r>
              <w:t>ManifestAmended</w:t>
            </w:r>
          </w:p>
        </w:tc>
        <w:tc>
          <w:tcPr>
            <w:tcW w:type="dxa" w:w="2880"/>
          </w:tcPr>
          <w:p>
            <w:r>
              <w:t>Manifest correction filed</w:t>
            </w:r>
          </w:p>
        </w:tc>
        <w:tc>
          <w:tcPr>
            <w:tcW w:type="dxa" w:w="2880"/>
          </w:tcPr>
          <w:p>
            <w:r>
              <w:t>ManifestId, PreviousNumber, NewNumber</w:t>
            </w:r>
          </w:p>
        </w:tc>
      </w:tr>
    </w:tbl>
    <w:p/>
    <w:p>
      <w:pPr>
        <w:pStyle w:val="Heading2"/>
      </w:pPr>
      <w:r>
        <w:t>3.7 Declaration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DeclarationCreated</w:t>
            </w:r>
          </w:p>
        </w:tc>
        <w:tc>
          <w:tcPr>
            <w:tcW w:type="dxa" w:w="2880"/>
          </w:tcPr>
          <w:p>
            <w:r>
              <w:t>Auto-created after ClearanceTypeAssigned (FR-DEC-001)</w:t>
            </w:r>
          </w:p>
        </w:tc>
        <w:tc>
          <w:tcPr>
            <w:tcW w:type="dxa" w:w="2880"/>
          </w:tcPr>
          <w:p>
            <w:r>
              <w:t>DeclarationId, ShipmentId/CourierShipmentId, TransportLegId, CT</w:t>
            </w:r>
          </w:p>
        </w:tc>
      </w:tr>
      <w:tr>
        <w:tc>
          <w:tcPr>
            <w:tcW w:type="dxa" w:w="2880"/>
          </w:tcPr>
          <w:p>
            <w:r>
              <w:t>DeclarationVersionCreated</w:t>
            </w:r>
          </w:p>
        </w:tc>
        <w:tc>
          <w:tcPr>
            <w:tcW w:type="dxa" w:w="2880"/>
          </w:tcPr>
          <w:p>
            <w:r>
              <w:t>Any field modification (FR-DEC-004)</w:t>
            </w:r>
          </w:p>
        </w:tc>
        <w:tc>
          <w:tcPr>
            <w:tcW w:type="dxa" w:w="2880"/>
          </w:tcPr>
          <w:p>
            <w:r>
              <w:t>DeclarationId, VersionNumber, ChangedFields, Reason</w:t>
            </w:r>
          </w:p>
        </w:tc>
      </w:tr>
      <w:tr>
        <w:tc>
          <w:tcPr>
            <w:tcW w:type="dxa" w:w="2880"/>
          </w:tcPr>
          <w:p>
            <w:r>
              <w:t>DeclarationReadyForSubmission</w:t>
            </w:r>
          </w:p>
        </w:tc>
        <w:tc>
          <w:tcPr>
            <w:tcW w:type="dxa" w:w="2880"/>
          </w:tcPr>
          <w:p>
            <w:r>
              <w:t>All validations (permit, compliance, manifest, charges) pass</w:t>
            </w:r>
          </w:p>
        </w:tc>
        <w:tc>
          <w:tcPr>
            <w:tcW w:type="dxa" w:w="2880"/>
          </w:tcPr>
          <w:p>
            <w:r>
              <w:t>DeclarationId</w:t>
            </w:r>
          </w:p>
        </w:tc>
      </w:tr>
      <w:tr>
        <w:tc>
          <w:tcPr>
            <w:tcW w:type="dxa" w:w="2880"/>
          </w:tcPr>
          <w:p>
            <w:r>
              <w:t>DeclarationSubmitted</w:t>
            </w:r>
          </w:p>
        </w:tc>
        <w:tc>
          <w:tcPr>
            <w:tcW w:type="dxa" w:w="2880"/>
          </w:tcPr>
          <w:p>
            <w:r>
              <w:t>Transmitted to ICEGATE</w:t>
            </w:r>
          </w:p>
        </w:tc>
        <w:tc>
          <w:tcPr>
            <w:tcW w:type="dxa" w:w="2880"/>
          </w:tcPr>
          <w:p>
            <w:r>
              <w:t>DeclarationId, SubmissionTimestamp, CorrelationId</w:t>
            </w:r>
          </w:p>
        </w:tc>
      </w:tr>
      <w:tr>
        <w:tc>
          <w:tcPr>
            <w:tcW w:type="dxa" w:w="2880"/>
          </w:tcPr>
          <w:p>
            <w:r>
              <w:t>DeclarationAmended / DeclarationCancelled</w:t>
            </w:r>
          </w:p>
        </w:tc>
        <w:tc>
          <w:tcPr>
            <w:tcW w:type="dxa" w:w="2880"/>
          </w:tcPr>
          <w:p>
            <w:r>
              <w:t>Post-submission amendment/cancellation workflow (FR-DEC-007/008)</w:t>
            </w:r>
          </w:p>
        </w:tc>
        <w:tc>
          <w:tcPr>
            <w:tcW w:type="dxa" w:w="2880"/>
          </w:tcPr>
          <w:p>
            <w:r>
              <w:t>DeclarationId, OriginalDeclarationId, Reason</w:t>
            </w:r>
          </w:p>
        </w:tc>
      </w:tr>
    </w:tbl>
    <w:p/>
    <w:p>
      <w:pPr>
        <w:pStyle w:val="Heading2"/>
      </w:pPr>
      <w:r>
        <w:t>3.8 Customs Gateway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CustomsResponseReceived</w:t>
            </w:r>
          </w:p>
        </w:tc>
        <w:tc>
          <w:tcPr>
            <w:tcW w:type="dxa" w:w="2880"/>
          </w:tcPr>
          <w:p>
            <w:r>
              <w:t>ICEGATE returns Accepted/Rejected/Inspection/PermitRequired/etc. (PRD Ch.3 Stage 11)</w:t>
            </w:r>
          </w:p>
        </w:tc>
        <w:tc>
          <w:tcPr>
            <w:tcW w:type="dxa" w:w="2880"/>
          </w:tcPr>
          <w:p>
            <w:r>
              <w:t>DeclarationId, ResponseCode, ResponseType</w:t>
            </w:r>
          </w:p>
        </w:tc>
      </w:tr>
      <w:tr>
        <w:tc>
          <w:tcPr>
            <w:tcW w:type="dxa" w:w="2880"/>
          </w:tcPr>
          <w:p>
            <w:r>
              <w:t>ClearanceGranted</w:t>
            </w:r>
          </w:p>
        </w:tc>
        <w:tc>
          <w:tcPr>
            <w:tcW w:type="dxa" w:w="2880"/>
          </w:tcPr>
          <w:p>
            <w:r>
              <w:t>Customs approves the declaration</w:t>
            </w:r>
          </w:p>
        </w:tc>
        <w:tc>
          <w:tcPr>
            <w:tcW w:type="dxa" w:w="2880"/>
          </w:tcPr>
          <w:p>
            <w:r>
              <w:t>DeclarationId, ReleaseDate</w:t>
            </w:r>
          </w:p>
        </w:tc>
      </w:tr>
    </w:tbl>
    <w:p/>
    <w:p>
      <w:pPr>
        <w:pStyle w:val="Heading2"/>
      </w:pPr>
      <w:r>
        <w:t>3.9 Workflow Engine (cross-cutting consumer/producer)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</w:t>
            </w:r>
          </w:p>
        </w:tc>
      </w:tr>
      <w:tr>
        <w:tc>
          <w:tcPr>
            <w:tcW w:type="dxa" w:w="2880"/>
          </w:tcPr>
          <w:p>
            <w:r>
              <w:t>BrokerTaskCreated</w:t>
            </w:r>
          </w:p>
        </w:tc>
        <w:tc>
          <w:tcPr>
            <w:tcW w:type="dxa" w:w="2880"/>
          </w:tcPr>
          <w:p>
            <w:r>
              <w:t>Any context raises a condition requiring manual review (per Day 1 personas)</w:t>
            </w:r>
          </w:p>
        </w:tc>
        <w:tc>
          <w:tcPr>
            <w:tcW w:type="dxa" w:w="2880"/>
          </w:tcPr>
          <w:p>
            <w:r>
              <w:t>TaskId, RelatedEntityId, TaskType, AssignedRole</w:t>
            </w:r>
          </w:p>
        </w:tc>
      </w:tr>
      <w:tr>
        <w:tc>
          <w:tcPr>
            <w:tcW w:type="dxa" w:w="2880"/>
          </w:tcPr>
          <w:p>
            <w:r>
              <w:t>StatusTransitioned</w:t>
            </w:r>
          </w:p>
        </w:tc>
        <w:tc>
          <w:tcPr>
            <w:tcW w:type="dxa" w:w="2880"/>
          </w:tcPr>
          <w:p>
            <w:r>
              <w:t>CT/RAT/CUS/MAN status change on a Declaration</w:t>
            </w:r>
          </w:p>
        </w:tc>
        <w:tc>
          <w:tcPr>
            <w:tcW w:type="dxa" w:w="2880"/>
          </w:tcPr>
          <w:p>
            <w:r>
              <w:t>DeclarationId, StatusField, PreviousValue, NewValue</w:t>
            </w:r>
          </w:p>
        </w:tc>
      </w:tr>
    </w:tbl>
    <w:p/>
    <w:p>
      <w:pPr>
        <w:pStyle w:val="Heading1"/>
      </w:pPr>
      <w:r>
        <w:t>4. Direct Call Justification Register</w:t>
      </w:r>
    </w:p>
    <w:p>
      <w:r>
        <w:rPr>
          <w:b w:val="0"/>
          <w:i w:val="0"/>
        </w:rPr>
        <w:t>Every Direct Call from Section 2 is listed here with its justification, so future reviewers do not need to re-derive why a synchronous dependency was allowed against the event-driven default.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Direct Call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4320"/>
          </w:tcPr>
          <w:p>
            <w:r>
              <w:t>Auth check (User/Org Admin → all contexts)</w:t>
            </w:r>
          </w:p>
        </w:tc>
        <w:tc>
          <w:tcPr>
            <w:tcW w:type="dxa" w:w="4320"/>
          </w:tcPr>
          <w:p>
            <w:r>
              <w:t>Security boundary; must be synchronous by nature, not a business workflow step</w:t>
            </w:r>
          </w:p>
        </w:tc>
      </w:tr>
      <w:tr>
        <w:tc>
          <w:tcPr>
            <w:tcW w:type="dxa" w:w="4320"/>
          </w:tcPr>
          <w:p>
            <w:r>
              <w:t>Shipment Management → Journey/Leg/Tracking/Manifest-Assoc/Milestone</w:t>
            </w:r>
          </w:p>
        </w:tc>
        <w:tc>
          <w:tcPr>
            <w:tcW w:type="dxa" w:w="4320"/>
          </w:tcPr>
          <w:p>
            <w:r>
              <w:t>Same bounded context / same deployable service for MVP (Day 5 Section 1) — not a cross-context call at all, just internal method invocation</w:t>
            </w:r>
          </w:p>
        </w:tc>
      </w:tr>
      <w:tr>
        <w:tc>
          <w:tcPr>
            <w:tcW w:type="dxa" w:w="4320"/>
          </w:tcPr>
          <w:p>
            <w:r>
              <w:t>Commodity Management → HS Classification Engine (interactive)</w:t>
            </w:r>
          </w:p>
        </w:tc>
        <w:tc>
          <w:tcPr>
            <w:tcW w:type="dxa" w:w="4320"/>
          </w:tcPr>
          <w:p>
            <w:r>
              <w:t>Broker is actively editing; needs an immediate candidate code to continue; not a workflow-triggering event</w:t>
            </w:r>
          </w:p>
        </w:tc>
      </w:tr>
      <w:tr>
        <w:tc>
          <w:tcPr>
            <w:tcW w:type="dxa" w:w="4320"/>
          </w:tcPr>
          <w:p>
            <w:r>
              <w:t>Permit Management → Declaration Management (submission gate)</w:t>
            </w:r>
          </w:p>
        </w:tc>
        <w:tc>
          <w:tcPr>
            <w:tcW w:type="dxa" w:w="4320"/>
          </w:tcPr>
          <w:p>
            <w:r>
              <w:t>BR-DEC-004: required permits must be approved before submission — cannot rely on eventually-consistent permit state at the moment of submission</w:t>
            </w:r>
          </w:p>
        </w:tc>
      </w:tr>
      <w:tr>
        <w:tc>
          <w:tcPr>
            <w:tcW w:type="dxa" w:w="4320"/>
          </w:tcPr>
          <w:p>
            <w:r>
              <w:t>Compliance Engine → Declaration Management (submission gate)</w:t>
            </w:r>
          </w:p>
        </w:tc>
        <w:tc>
          <w:tcPr>
            <w:tcW w:type="dxa" w:w="4320"/>
          </w:tcPr>
          <w:p>
            <w:r>
              <w:t>Same reasoning — final regulatory check must reflect current state, not a stale event snapshot</w:t>
            </w:r>
          </w:p>
        </w:tc>
      </w:tr>
      <w:tr>
        <w:tc>
          <w:tcPr>
            <w:tcW w:type="dxa" w:w="4320"/>
          </w:tcPr>
          <w:p>
            <w:r>
              <w:t>Manifest Management → Declaration Management (validation)</w:t>
            </w:r>
          </w:p>
        </w:tc>
        <w:tc>
          <w:tcPr>
            <w:tcW w:type="dxa" w:w="4320"/>
          </w:tcPr>
          <w:p>
            <w:r>
              <w:t>India legal requirement: Declaration cannot be lodged without a currently valid Manifest reference; must be checked synchronously at submission time</w:t>
            </w:r>
          </w:p>
        </w:tc>
      </w:tr>
      <w:tr>
        <w:tc>
          <w:tcPr>
            <w:tcW w:type="dxa" w:w="4320"/>
          </w:tcPr>
          <w:p>
            <w:r>
              <w:t>Declaration Management → Customs Gateway Integration (submission)</w:t>
            </w:r>
          </w:p>
        </w:tc>
        <w:tc>
          <w:tcPr>
            <w:tcW w:type="dxa" w:w="4320"/>
          </w:tcPr>
          <w:p>
            <w:r>
              <w:t>The actual ICEGATE transmission needs an immediate transmission acknowledgement to record SubmissionTimestamp reliably</w:t>
            </w:r>
          </w:p>
        </w:tc>
      </w:tr>
    </w:tbl>
    <w:p/>
    <w:p>
      <w:pPr>
        <w:pStyle w:val="Heading1"/>
      </w:pPr>
      <w:r>
        <w:t>5. Open Questions for Day 6+ (API Standards)</w:t>
      </w:r>
    </w:p>
    <w:p>
      <w:pPr>
        <w:pStyle w:val="ListBullet"/>
      </w:pPr>
      <w:r>
        <w:t>Confirm whether Direct Calls between contexts should go through the API Gateway (Phase 0) even when both contexts are deployed as part of the same MVP service boundary (e.g. Permit+Compliance), or whether same-deployable-unit calls should bypass the gateway entirely for latency — affects Day 6 API standards and Phase 0 Day 22 gateway design.</w:t>
      </w:r>
    </w:p>
    <w:p>
      <w:pPr>
        <w:pStyle w:val="ListBullet"/>
      </w:pPr>
      <w:r>
        <w:t>Confirm event schema versioning approach (e.g. envelope with EventVersion field) before Day 7 OpenAPI stubs are drafted, since events and REST contracts should share the same versioning philosophy.</w:t>
      </w:r>
    </w:p>
    <w:p>
      <w:pPr>
        <w:pStyle w:val="Heading1"/>
      </w:pPr>
      <w:r>
        <w:t>6. Traceability</w:t>
      </w:r>
    </w:p>
    <w:p>
      <w:r>
        <w:rPr>
          <w:b w:val="0"/>
          <w:i/>
        </w:rPr>
        <w:t>This deliverable satisfies Day 5 of the Day-Wise Plan: "Define how contexts talk to each other (events vs direct calls); list domain events." Deliverable produced: Context map + domain event catalog v1.0, above, built against the fully re-validated ER Diagram v1.1.</w:t>
      </w:r>
    </w:p>
    <w:p>
      <w:r>
        <w:rPr>
          <w:b w:val="0"/>
          <w:i/>
        </w:rPr>
        <w:t>This completes Phase -1, Week 1 (Days 1-5: Domain Model &amp; Bounded Contexts). Next: Week 2, Day 6 — API Standards (REST conventions: URL structure, versioning, pagination, filtering, error format, correlation ID header).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