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6 Deliverable — API Standards v1.0</w:t>
      </w:r>
    </w:p>
    <w:p>
      <w:r>
        <w:rPr>
          <w:b/>
          <w:i w:val="0"/>
        </w:rPr>
        <w:t>Phase: Phase -1 (Architecture &amp; Engineering Preparation)</w:t>
      </w:r>
    </w:p>
    <w:p>
      <w:r>
        <w:rPr>
          <w:b w:val="0"/>
          <w:i w:val="0"/>
        </w:rPr>
        <w:t>Day: 6 of 20</w:t>
      </w:r>
    </w:p>
    <w:p>
      <w:r>
        <w:rPr>
          <w:b w:val="0"/>
          <w:i w:val="0"/>
        </w:rPr>
        <w:t>Jurisdiction: India (MVP)</w:t>
      </w:r>
    </w:p>
    <w:p>
      <w:r>
        <w:rPr>
          <w:b w:val="0"/>
          <w:i w:val="0"/>
        </w:rPr>
        <w:t>Stack: ASP.NET Core (C#), PostgreSQL (SQL Server-migration-compatible)</w:t>
      </w:r>
    </w:p>
    <w:p>
      <w:r>
        <w:rPr>
          <w:b w:val="0"/>
          <w:i w:val="0"/>
        </w:rPr>
        <w:t>Source: ER Diagram v1.1, Day 5 Context Map &amp; Domain Event Catalog v1.0</w:t>
      </w:r>
    </w:p>
    <w:p>
      <w:r>
        <w:rPr>
          <w:b w:val="0"/>
          <w:i w:val="0"/>
        </w:rPr>
        <w:t>Deliverable per plan: API standards doc v1.0</w:t>
      </w:r>
    </w:p>
    <w:p>
      <w:pPr>
        <w:pStyle w:val="Heading1"/>
      </w:pPr>
      <w:r>
        <w:t>1. Purpose</w:t>
      </w:r>
    </w:p>
    <w:p>
      <w:r>
        <w:rPr>
          <w:b w:val="0"/>
          <w:i w:val="0"/>
        </w:rPr>
        <w:t>This document defines the REST API conventions every context-owned service will follow, so that APIs built independently across Shipment, Declaration, Commodity, Segregation, Rules, Manifest, etc. are consistent enough for a single developer (with AI pairing) to move between them without relearning conventions each time. It directly informs Day 7 (OpenAPI contract skeletons).</w:t>
      </w:r>
    </w:p>
    <w:p>
      <w:pPr>
        <w:pStyle w:val="Heading1"/>
      </w:pPr>
      <w:r>
        <w:t>2. URL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Example</w:t>
            </w:r>
          </w:p>
        </w:tc>
        <w:tc>
          <w:tcPr>
            <w:tcW w:type="dxa" w:w="2880"/>
          </w:tcPr>
          <w:p>
            <w:r>
              <w:rPr>
                <w:b/>
              </w:rPr>
              <w:t>Note</w:t>
            </w:r>
          </w:p>
        </w:tc>
      </w:tr>
      <w:tr>
        <w:tc>
          <w:tcPr>
            <w:tcW w:type="dxa" w:w="2880"/>
          </w:tcPr>
          <w:p>
            <w:r>
              <w:t>/api/v{version}/{resource}</w:t>
            </w:r>
          </w:p>
        </w:tc>
        <w:tc>
          <w:tcPr>
            <w:tcW w:type="dxa" w:w="2880"/>
          </w:tcPr>
          <w:p>
            <w:r>
              <w:t>/api/v1/shipments</w:t>
            </w:r>
          </w:p>
        </w:tc>
        <w:tc>
          <w:tcPr>
            <w:tcW w:type="dxa" w:w="2880"/>
          </w:tcPr>
          <w:p>
            <w:r>
              <w:t>Version is always in the URL path, not a header — simplest to reason about, and the industry-common approach for long-lived enterprise APIs</w:t>
            </w:r>
          </w:p>
        </w:tc>
      </w:tr>
      <w:tr>
        <w:tc>
          <w:tcPr>
            <w:tcW w:type="dxa" w:w="2880"/>
          </w:tcPr>
          <w:p>
            <w:r>
              <w:t>/api/v{version}/{resource}/{id}</w:t>
            </w:r>
          </w:p>
        </w:tc>
        <w:tc>
          <w:tcPr>
            <w:tcW w:type="dxa" w:w="2880"/>
          </w:tcPr>
          <w:p>
            <w:r>
              <w:t>/api/v1/shipments/{shipmentId}</w:t>
            </w:r>
          </w:p>
        </w:tc>
        <w:tc>
          <w:tcPr>
            <w:tcW w:type="dxa" w:w="2880"/>
          </w:tcPr>
          <w:p>
            <w:r>
              <w:t>IDs are UUIDs (per ER v1.1 PK convention), never sequential integers, to avoid leaking volume information across a 500,000/day-shipment platform</w:t>
            </w:r>
          </w:p>
        </w:tc>
      </w:tr>
      <w:tr>
        <w:tc>
          <w:tcPr>
            <w:tcW w:type="dxa" w:w="2880"/>
          </w:tcPr>
          <w:p>
            <w:r>
              <w:t>/api/v{version}/{resource}/{id}/{sub-resource}</w:t>
            </w:r>
          </w:p>
        </w:tc>
        <w:tc>
          <w:tcPr>
            <w:tcW w:type="dxa" w:w="2880"/>
          </w:tcPr>
          <w:p>
            <w:r>
              <w:t>/api/v1/shipments/{shipmentId}/commodities</w:t>
            </w:r>
          </w:p>
        </w:tc>
        <w:tc>
          <w:tcPr>
            <w:tcW w:type="dxa" w:w="2880"/>
          </w:tcPr>
          <w:p>
            <w:r>
              <w:t>Sub-resources reflect ER v1.1 ownership (e.g. Commodity is owned via Shipment), not arbitrary nesting</w:t>
            </w:r>
          </w:p>
        </w:tc>
      </w:tr>
      <w:tr>
        <w:tc>
          <w:tcPr>
            <w:tcW w:type="dxa" w:w="2880"/>
          </w:tcPr>
          <w:p>
            <w:r>
              <w:t>/api/v{version}/{resource}/{id}/{sub-resource}/{sub-id}</w:t>
            </w:r>
          </w:p>
        </w:tc>
        <w:tc>
          <w:tcPr>
            <w:tcW w:type="dxa" w:w="2880"/>
          </w:tcPr>
          <w:p>
            <w:r>
              <w:t>/api/v1/declarations/{declarationId}/charges/{chargeId}</w:t>
            </w:r>
          </w:p>
        </w:tc>
        <w:tc>
          <w:tcPr>
            <w:tcW w:type="dxa" w:w="2880"/>
          </w:tcPr>
          <w:p>
            <w:r/>
          </w:p>
        </w:tc>
      </w:tr>
      <w:tr>
        <w:tc>
          <w:tcPr>
            <w:tcW w:type="dxa" w:w="2880"/>
          </w:tcPr>
          <w:p>
            <w:r>
              <w:t>Cross-cutting actions as sub-resources, not verbs in the path</w:t>
            </w:r>
          </w:p>
        </w:tc>
        <w:tc>
          <w:tcPr>
            <w:tcW w:type="dxa" w:w="2880"/>
          </w:tcPr>
          <w:p>
            <w:r>
              <w:t>/api/v1/declarations/{id}/submissions (POST) — not /api/v1/declarations/{id}/submit</w:t>
            </w:r>
          </w:p>
        </w:tc>
        <w:tc>
          <w:tcPr>
            <w:tcW w:type="dxa" w:w="2880"/>
          </w:tcPr>
          <w:p>
            <w:r>
              <w:t>Keeps the API RESTful (resource-oriented); "submission" is a real resource (has its own timestamp, correlation ID, response) per Day 5's DeclarationSubmitted event</w:t>
            </w:r>
          </w:p>
        </w:tc>
      </w:tr>
    </w:tbl>
    <w:p/>
    <w:p>
      <w:pPr>
        <w:pStyle w:val="ListBullet"/>
      </w:pPr>
      <w:r>
        <w:t>Resource names are always plural, lowercase, kebab-case for multi-word resources (e.g. /transport-legs, not /transportLegs or /TransportLeg).</w:t>
      </w:r>
    </w:p>
    <w:p>
      <w:pPr>
        <w:pStyle w:val="ListBullet"/>
      </w:pPr>
      <w:r>
        <w:t>Nesting is capped at 2 levels. Deeper relationships (e.g. a Charge on a Commodity on a Declaration) are reached via query parameters or a dedicated flattened endpoint, not /a/{id}/b/{id}/c/{id}/d.</w:t>
      </w:r>
    </w:p>
    <w:p>
      <w:pPr>
        <w:pStyle w:val="Heading1"/>
      </w:pPr>
      <w:r>
        <w:t>3. Versioning</w:t>
      </w:r>
    </w:p>
    <w:p>
      <w:pPr>
        <w:pStyle w:val="ListBullet"/>
      </w:pPr>
      <w:r>
        <w:t>URL path versioning: /api/v1/... — matches the URL structure decision above.</w:t>
      </w:r>
    </w:p>
    <w:p>
      <w:pPr>
        <w:pStyle w:val="ListBullet"/>
      </w:pPr>
      <w:r>
        <w:t>A version is bumped only on a breaking change (field removal, type change, required-field addition). Additive changes (new optional fields) do not require a version bump.</w:t>
      </w:r>
    </w:p>
    <w:p>
      <w:pPr>
        <w:pStyle w:val="ListBullet"/>
      </w:pPr>
      <w:r>
        <w:t>Each context-owned API versions independently — Shipment Management moving to v2 does not force Declaration Management to move to v2, consistent with the bounded-context autonomy established on Day 1/5.</w:t>
      </w:r>
    </w:p>
    <w:p>
      <w:pPr>
        <w:pStyle w:val="ListBullet"/>
      </w:pPr>
      <w:r>
        <w:t>Deprecated versions are supported for a minimum of 2 major versions or 6 months (whichever is longer) before removal, to be enforced in Phase 0 API Gateway configuration (Day 22).</w:t>
      </w:r>
    </w:p>
    <w:p>
      <w:pPr>
        <w:pStyle w:val="Heading1"/>
      </w:pPr>
      <w:r>
        <w:t>4. Pagination</w:t>
      </w:r>
    </w:p>
    <w:p>
      <w:r>
        <w:rPr>
          <w:b w:val="0"/>
          <w:i w:val="0"/>
        </w:rPr>
        <w:t>All list endpoints are paginated by default — never return an unbounded collection, given the platform's 500,000 shipments/day scale target (PRD Ch.1.3).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Type</w:t>
            </w:r>
          </w:p>
        </w:tc>
        <w:tc>
          <w:tcPr>
            <w:tcW w:type="dxa" w:w="2160"/>
          </w:tcPr>
          <w:p>
            <w:r>
              <w:rPr>
                <w:b/>
              </w:rPr>
              <w:t>Default</w:t>
            </w:r>
          </w:p>
        </w:tc>
        <w:tc>
          <w:tcPr>
            <w:tcW w:type="dxa" w:w="2160"/>
          </w:tcPr>
          <w:p>
            <w:r>
              <w:rPr>
                <w:b/>
              </w:rPr>
              <w:t>Note</w:t>
            </w:r>
          </w:p>
        </w:tc>
      </w:tr>
      <w:tr>
        <w:tc>
          <w:tcPr>
            <w:tcW w:type="dxa" w:w="2160"/>
          </w:tcPr>
          <w:p>
            <w:r>
              <w:t>page</w:t>
            </w:r>
          </w:p>
        </w:tc>
        <w:tc>
          <w:tcPr>
            <w:tcW w:type="dxa" w:w="2160"/>
          </w:tcPr>
          <w:p>
            <w:r>
              <w:t>Integer</w:t>
            </w:r>
          </w:p>
        </w:tc>
        <w:tc>
          <w:tcPr>
            <w:tcW w:type="dxa" w:w="2160"/>
          </w:tcPr>
          <w:p>
            <w:r>
              <w:t>1</w:t>
            </w:r>
          </w:p>
        </w:tc>
        <w:tc>
          <w:tcPr>
            <w:tcW w:type="dxa" w:w="2160"/>
          </w:tcPr>
          <w:p>
            <w:r>
              <w:t>1-indexed, not 0-indexed, for readability in logs/support tickets</w:t>
            </w:r>
          </w:p>
        </w:tc>
      </w:tr>
      <w:tr>
        <w:tc>
          <w:tcPr>
            <w:tcW w:type="dxa" w:w="2160"/>
          </w:tcPr>
          <w:p>
            <w:r>
              <w:t>pageSize</w:t>
            </w:r>
          </w:p>
        </w:tc>
        <w:tc>
          <w:tcPr>
            <w:tcW w:type="dxa" w:w="2160"/>
          </w:tcPr>
          <w:p>
            <w:r>
              <w:t>Integer</w:t>
            </w:r>
          </w:p>
        </w:tc>
        <w:tc>
          <w:tcPr>
            <w:tcW w:type="dxa" w:w="2160"/>
          </w:tcPr>
          <w:p>
            <w:r>
              <w:t>50</w:t>
            </w:r>
          </w:p>
        </w:tc>
        <w:tc>
          <w:tcPr>
            <w:tcW w:type="dxa" w:w="2160"/>
          </w:tcPr>
          <w:p>
            <w:r>
              <w:t>Max 500 — enforced server-side; requests above the cap are clamped, not rejected, to keep client integration simple</w:t>
            </w:r>
          </w:p>
        </w:tc>
      </w:tr>
    </w:tbl>
    <w:p/>
    <w:p>
      <w:r>
        <w:rPr>
          <w:b w:val="0"/>
          <w:i w:val="0"/>
        </w:rPr>
        <w:t>Response envelope for paginated endpoints:</w:t>
      </w:r>
    </w:p>
    <w:p>
      <w:r>
        <w:rPr>
          <w:rFonts w:ascii="Consolas" w:hAnsi="Consolas"/>
          <w:sz w:val="18"/>
        </w:rPr>
        <w:t>{</w:t>
        <w:br/>
        <w:t xml:space="preserve">  "data": [ ... ],</w:t>
        <w:br/>
        <w:t xml:space="preserve">  "pagination": {</w:t>
        <w:br/>
        <w:t xml:space="preserve">    "page": 1,</w:t>
        <w:br/>
        <w:t xml:space="preserve">    "pageSize": 50,</w:t>
        <w:br/>
        <w:t xml:space="preserve">    "totalCount": 12345,</w:t>
        <w:br/>
        <w:t xml:space="preserve">    "totalPages": 247</w:t>
        <w:br/>
        <w:t xml:space="preserve">  }</w:t>
        <w:br/>
        <w:t>}</w:t>
      </w:r>
    </w:p>
    <w:p>
      <w:r>
        <w:rPr>
          <w:b w:val="0"/>
          <w:i/>
        </w:rPr>
        <w:t>Cursor-based pagination is deferred for MVP — offset-based (page/pageSize) is simpler to implement solo and sufficient at this stage; revisit only if a specific endpoint's query performance demands it (flagged as a future optimization, not a Day 6 decision).</w:t>
      </w:r>
    </w:p>
    <w:p>
      <w:pPr>
        <w:pStyle w:val="Heading1"/>
      </w:pPr>
      <w:r>
        <w:t>5. Filtering &amp; 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Convention</w:t>
            </w:r>
          </w:p>
        </w:tc>
        <w:tc>
          <w:tcPr>
            <w:tcW w:type="dxa" w:w="2880"/>
          </w:tcPr>
          <w:p>
            <w:r>
              <w:rPr>
                <w:b/>
              </w:rPr>
              <w:t>Example</w:t>
            </w:r>
          </w:p>
        </w:tc>
        <w:tc>
          <w:tcPr>
            <w:tcW w:type="dxa" w:w="2880"/>
          </w:tcPr>
          <w:p>
            <w:r>
              <w:rPr>
                <w:b/>
              </w:rPr>
              <w:t>Note</w:t>
            </w:r>
          </w:p>
        </w:tc>
      </w:tr>
      <w:tr>
        <w:tc>
          <w:tcPr>
            <w:tcW w:type="dxa" w:w="2880"/>
          </w:tcPr>
          <w:p>
            <w:r>
              <w:t>Exact-match filter</w:t>
            </w:r>
          </w:p>
        </w:tc>
        <w:tc>
          <w:tcPr>
            <w:tcW w:type="dxa" w:w="2880"/>
          </w:tcPr>
          <w:p>
            <w:r>
              <w:t>?status=Validated</w:t>
            </w:r>
          </w:p>
        </w:tc>
        <w:tc>
          <w:tcPr>
            <w:tcW w:type="dxa" w:w="2880"/>
          </w:tcPr>
          <w:p>
            <w:r>
              <w:t>Simple field=value pairs for common filters</w:t>
            </w:r>
          </w:p>
        </w:tc>
      </w:tr>
      <w:tr>
        <w:tc>
          <w:tcPr>
            <w:tcW w:type="dxa" w:w="2880"/>
          </w:tcPr>
          <w:p>
            <w:r>
              <w:t>Range filter</w:t>
            </w:r>
          </w:p>
        </w:tc>
        <w:tc>
          <w:tcPr>
            <w:tcW w:type="dxa" w:w="2880"/>
          </w:tcPr>
          <w:p>
            <w:r>
              <w:t>?createdAfter=2026-01-01&amp;createdBefore=2026-01-31</w:t>
            </w:r>
          </w:p>
        </w:tc>
        <w:tc>
          <w:tcPr>
            <w:tcW w:type="dxa" w:w="2880"/>
          </w:tcPr>
          <w:p>
            <w:r>
              <w:t>Explicit After/Before suffixes rather than operator syntax, to stay readable without a query-language parser</w:t>
            </w:r>
          </w:p>
        </w:tc>
      </w:tr>
      <w:tr>
        <w:tc>
          <w:tcPr>
            <w:tcW w:type="dxa" w:w="2880"/>
          </w:tcPr>
          <w:p>
            <w:r>
              <w:t>Multi-value filter</w:t>
            </w:r>
          </w:p>
        </w:tc>
        <w:tc>
          <w:tcPr>
            <w:tcW w:type="dxa" w:w="2880"/>
          </w:tcPr>
          <w:p>
            <w:r>
              <w:t>?status=Validated,BrokerageRequired</w:t>
            </w:r>
          </w:p>
        </w:tc>
        <w:tc>
          <w:tcPr>
            <w:tcW w:type="dxa" w:w="2880"/>
          </w:tcPr>
          <w:p>
            <w:r>
              <w:t>Comma-separated values, treated as OR within the same field</w:t>
            </w:r>
          </w:p>
        </w:tc>
      </w:tr>
      <w:tr>
        <w:tc>
          <w:tcPr>
            <w:tcW w:type="dxa" w:w="2880"/>
          </w:tcPr>
          <w:p>
            <w:r>
              <w:t>Search (per FR-004 Shipment Search)</w:t>
            </w:r>
          </w:p>
        </w:tc>
        <w:tc>
          <w:tcPr>
            <w:tcW w:type="dxa" w:w="2880"/>
          </w:tcPr>
          <w:p>
            <w:r>
              <w:t>?search=shipmentNumber:SH0001</w:t>
            </w:r>
          </w:p>
        </w:tc>
        <w:tc>
          <w:tcPr>
            <w:tcW w:type="dxa" w:w="2880"/>
          </w:tcPr>
          <w:p>
            <w:r>
              <w:t>Supports the PRD's multi-field shipment search requirement (Ch.4 FR-004) via a dedicated search endpoint, not overloading the list endpoint's filters indefinitely</w:t>
            </w:r>
          </w:p>
        </w:tc>
      </w:tr>
      <w:tr>
        <w:tc>
          <w:tcPr>
            <w:tcW w:type="dxa" w:w="2880"/>
          </w:tcPr>
          <w:p>
            <w:r>
              <w:t>Sorting</w:t>
            </w:r>
          </w:p>
        </w:tc>
        <w:tc>
          <w:tcPr>
            <w:tcW w:type="dxa" w:w="2880"/>
          </w:tcPr>
          <w:p>
            <w:r>
              <w:t>?sortBy=createdAt&amp;sortDirection=desc</w:t>
            </w:r>
          </w:p>
        </w:tc>
        <w:tc>
          <w:tcPr>
            <w:tcW w:type="dxa" w:w="2880"/>
          </w:tcPr>
          <w:p>
            <w:r>
              <w:t>Single-field sort for MVP; multi-field sort deferred unless a concrete need arises</w:t>
            </w:r>
          </w:p>
        </w:tc>
      </w:tr>
    </w:tbl>
    <w:p/>
    <w:p>
      <w:pPr>
        <w:pStyle w:val="Heading1"/>
      </w:pPr>
      <w:r>
        <w:t>6. Error Format</w:t>
      </w:r>
    </w:p>
    <w:p>
      <w:r>
        <w:rPr>
          <w:b w:val="0"/>
          <w:i w:val="0"/>
        </w:rPr>
        <w:t>A single, consistent error envelope across every context-owned API, aligned with RFC 7807 (Problem Details for HTTP APIs) since it is a recognized standard and works cleanly with ASP.NET Core's built-in ProblemDetails support.</w:t>
      </w:r>
    </w:p>
    <w:p>
      <w:r>
        <w:rPr>
          <w:rFonts w:ascii="Consolas" w:hAnsi="Consolas"/>
          <w:sz w:val="18"/>
        </w:rPr>
        <w:t>{</w:t>
        <w:br/>
        <w:t xml:space="preserve">  "type": "https://api.customsclearance.india/errors/validation-failed",</w:t>
        <w:br/>
        <w:t xml:space="preserve">  "title": "Shipment validation failed",</w:t>
        <w:br/>
        <w:t xml:space="preserve">  "status": 400,</w:t>
        <w:br/>
        <w:t xml:space="preserve">  "detail": "Consignee is required for import shipments.",</w:t>
        <w:br/>
        <w:t xml:space="preserve">  "instance": "/api/v1/shipments/3f2e...",</w:t>
        <w:br/>
        <w:t xml:space="preserve">  "correlationId": "b4e1a9d2-...",</w:t>
        <w:br/>
        <w:t xml:space="preserve">  "errors": [</w:t>
        <w:br/>
        <w:t xml:space="preserve">    { "field": "consignee", "code": "BR-SHP-003", "message": "Import shipments require a consignee." }</w:t>
        <w:br/>
        <w:t xml:space="preserve">  ]</w:t>
        <w:b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Note</w:t>
            </w:r>
          </w:p>
        </w:tc>
      </w:tr>
      <w:tr>
        <w:tc>
          <w:tcPr>
            <w:tcW w:type="dxa" w:w="4320"/>
          </w:tcPr>
          <w:p>
            <w:r>
              <w:t>type</w:t>
            </w:r>
          </w:p>
        </w:tc>
        <w:tc>
          <w:tcPr>
            <w:tcW w:type="dxa" w:w="4320"/>
          </w:tcPr>
          <w:p>
            <w:r>
              <w:t>A stable URI identifying the error category — not required to resolve to a real page, but must stay consistent for client-side error handling</w:t>
            </w:r>
          </w:p>
        </w:tc>
      </w:tr>
      <w:tr>
        <w:tc>
          <w:tcPr>
            <w:tcW w:type="dxa" w:w="4320"/>
          </w:tcPr>
          <w:p>
            <w:r>
              <w:t>status</w:t>
            </w:r>
          </w:p>
        </w:tc>
        <w:tc>
          <w:tcPr>
            <w:tcW w:type="dxa" w:w="4320"/>
          </w:tcPr>
          <w:p>
            <w:r>
              <w:t>Standard HTTP status code</w:t>
            </w:r>
          </w:p>
        </w:tc>
      </w:tr>
      <w:tr>
        <w:tc>
          <w:tcPr>
            <w:tcW w:type="dxa" w:w="4320"/>
          </w:tcPr>
          <w:p>
            <w:r>
              <w:t>errors[].code</w:t>
            </w:r>
          </w:p>
        </w:tc>
        <w:tc>
          <w:tcPr>
            <w:tcW w:type="dxa" w:w="4320"/>
          </w:tcPr>
          <w:p>
            <w:r>
              <w:t>Maps directly to the PRD's Business Rule IDs (BR-SHP-xxx, BR-DEC-xxx, BR-COM-xxx) where applicable, so a validation failure is traceable straight back to the PRD rule that produced it</w:t>
            </w:r>
          </w:p>
        </w:tc>
      </w:tr>
      <w:tr>
        <w:tc>
          <w:tcPr>
            <w:tcW w:type="dxa" w:w="4320"/>
          </w:tcPr>
          <w:p>
            <w:r>
              <w:t>correlationId</w:t>
            </w:r>
          </w:p>
        </w:tc>
        <w:tc>
          <w:tcPr>
            <w:tcW w:type="dxa" w:w="4320"/>
          </w:tcPr>
          <w:p>
            <w:r>
              <w:t>Always present — see Section 7</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Severity (per PRD FR-DEC-002)</w:t>
            </w:r>
          </w:p>
        </w:tc>
        <w:tc>
          <w:tcPr>
            <w:tcW w:type="dxa" w:w="4320"/>
          </w:tcPr>
          <w:p>
            <w:r>
              <w:rPr>
                <w:b/>
              </w:rPr>
              <w:t>HTTP Status</w:t>
            </w:r>
          </w:p>
        </w:tc>
      </w:tr>
      <w:tr>
        <w:tc>
          <w:tcPr>
            <w:tcW w:type="dxa" w:w="4320"/>
          </w:tcPr>
          <w:p>
            <w:r>
              <w:t>Blocking</w:t>
            </w:r>
          </w:p>
        </w:tc>
        <w:tc>
          <w:tcPr>
            <w:tcW w:type="dxa" w:w="4320"/>
          </w:tcPr>
          <w:p>
            <w:r>
              <w:t>400 Bad Request (submission-time) or 422 Unprocessable Entity (business-rule violation on a valid request)</w:t>
            </w:r>
          </w:p>
        </w:tc>
      </w:tr>
      <w:tr>
        <w:tc>
          <w:tcPr>
            <w:tcW w:type="dxa" w:w="4320"/>
          </w:tcPr>
          <w:p>
            <w:r>
              <w:t>Warning</w:t>
            </w:r>
          </w:p>
        </w:tc>
        <w:tc>
          <w:tcPr>
            <w:tcW w:type="dxa" w:w="4320"/>
          </w:tcPr>
          <w:p>
            <w:r>
              <w:t>200 OK with a warnings[] array in the response body (request succeeds, caller is informed)</w:t>
            </w:r>
          </w:p>
        </w:tc>
      </w:tr>
      <w:tr>
        <w:tc>
          <w:tcPr>
            <w:tcW w:type="dxa" w:w="4320"/>
          </w:tcPr>
          <w:p>
            <w:r>
              <w:t>Informational</w:t>
            </w:r>
          </w:p>
        </w:tc>
        <w:tc>
          <w:tcPr>
            <w:tcW w:type="dxa" w:w="4320"/>
          </w:tcPr>
          <w:p>
            <w:r>
              <w:t>200 OK, no special handling — logged server-side only if needed</w:t>
            </w:r>
          </w:p>
        </w:tc>
      </w:tr>
    </w:tbl>
    <w:p/>
    <w:p>
      <w:pPr>
        <w:pStyle w:val="Heading1"/>
      </w:pPr>
      <w:r>
        <w:t>7. Correlation ID</w:t>
      </w:r>
    </w:p>
    <w:p>
      <w:pPr>
        <w:pStyle w:val="ListBullet"/>
      </w:pPr>
      <w:r>
        <w:t>Every request must carry an X-Correlation-Id header. If the caller does not supply one, the API generates a UUID and returns it in the response header and body.</w:t>
      </w:r>
    </w:p>
    <w:p>
      <w:pPr>
        <w:pStyle w:val="ListBullet"/>
      </w:pPr>
      <w:r>
        <w:t>The correlation ID is propagated through every downstream call (direct calls per Day 5's classification) and attached to every published domain event (per Day 5's event catalog, every event already lists a correlation-style field implicitly — this formalizes it as CorrelationId on every event envelope).</w:t>
      </w:r>
    </w:p>
    <w:p>
      <w:pPr>
        <w:pStyle w:val="ListBullet"/>
      </w:pPr>
      <w:r>
        <w:t>This is the same ID used in DecisionTrace (Day 3), audit records (per PRD's "Correlation ID (for integrations)" requirement, Ch.6.11/7.14/8.14), and Customs Gateway submissions — one correlation ID ties a shipment's entire journey through the system together for support/debugging, critical given the platform's scale and audit requirements.</w:t>
      </w:r>
    </w:p>
    <w:p>
      <w:pPr>
        <w:pStyle w:val="Heading1"/>
      </w:pPr>
      <w:r>
        <w:t>8. Authentication &amp; Authorization</w:t>
      </w:r>
    </w:p>
    <w:p>
      <w:pPr>
        <w:pStyle w:val="ListBullet"/>
      </w:pPr>
      <w:r>
        <w:t>Bearer token (JWT) issued by the Identity service (Phase 0, Day 23), validated by the API Gateway before a request reaches any context-owned service.</w:t>
      </w:r>
    </w:p>
    <w:p>
      <w:pPr>
        <w:pStyle w:val="ListBullet"/>
      </w:pPr>
      <w:r>
        <w:t>Role claims map to the PRD personas (Broker, Supervisor, Compliance Officer, Admin) established in Day 1/4.9 Permissions Matrix — enforced via ASP.NET Core's policy-based authorization, not ad-hoc role checks scattered in controllers.</w:t>
      </w:r>
    </w:p>
    <w:p>
      <w:pPr>
        <w:pStyle w:val="ListBullet"/>
      </w:pPr>
      <w:r>
        <w:t>Field-level permissions (e.g. restricted fields after submission, per FR-003) are enforced in the Business Service layer (Layer 2), not the API layer — the API layer only enforces coarse endpoint/role access, consistent with the Day-Wise Plan's layering discipline (DB -&gt; Backend -&gt; API -&gt; UI).</w:t>
      </w:r>
    </w:p>
    <w:p>
      <w:pPr>
        <w:pStyle w:val="Heading1"/>
      </w:pPr>
      <w:r>
        <w:t>9. Response Conventions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HTTP Method</w:t>
            </w:r>
          </w:p>
        </w:tc>
        <w:tc>
          <w:tcPr>
            <w:tcW w:type="dxa" w:w="2880"/>
          </w:tcPr>
          <w:p>
            <w:r>
              <w:rPr>
                <w:b/>
              </w:rPr>
              <w:t>Success Status</w:t>
            </w:r>
          </w:p>
        </w:tc>
        <w:tc>
          <w:tcPr>
            <w:tcW w:type="dxa" w:w="2880"/>
          </w:tcPr>
          <w:p>
            <w:r>
              <w:rPr>
                <w:b/>
              </w:rPr>
              <w:t>Note</w:t>
            </w:r>
          </w:p>
        </w:tc>
      </w:tr>
      <w:tr>
        <w:tc>
          <w:tcPr>
            <w:tcW w:type="dxa" w:w="2880"/>
          </w:tcPr>
          <w:p>
            <w:r>
              <w:t>GET (single)</w:t>
            </w:r>
          </w:p>
        </w:tc>
        <w:tc>
          <w:tcPr>
            <w:tcW w:type="dxa" w:w="2880"/>
          </w:tcPr>
          <w:p>
            <w:r>
              <w:t>200 OK</w:t>
            </w:r>
          </w:p>
        </w:tc>
        <w:tc>
          <w:tcPr>
            <w:tcW w:type="dxa" w:w="2880"/>
          </w:tcPr>
          <w:p>
            <w:r/>
          </w:p>
        </w:tc>
      </w:tr>
      <w:tr>
        <w:tc>
          <w:tcPr>
            <w:tcW w:type="dxa" w:w="2880"/>
          </w:tcPr>
          <w:p>
            <w:r>
              <w:t>GET (list)</w:t>
            </w:r>
          </w:p>
        </w:tc>
        <w:tc>
          <w:tcPr>
            <w:tcW w:type="dxa" w:w="2880"/>
          </w:tcPr>
          <w:p>
            <w:r>
              <w:t>200 OK</w:t>
            </w:r>
          </w:p>
        </w:tc>
        <w:tc>
          <w:tcPr>
            <w:tcW w:type="dxa" w:w="2880"/>
          </w:tcPr>
          <w:p>
            <w:r>
              <w:t>Always paginated (Section 4)</w:t>
            </w:r>
          </w:p>
        </w:tc>
      </w:tr>
      <w:tr>
        <w:tc>
          <w:tcPr>
            <w:tcW w:type="dxa" w:w="2880"/>
          </w:tcPr>
          <w:p>
            <w:r>
              <w:t>POST (create)</w:t>
            </w:r>
          </w:p>
        </w:tc>
        <w:tc>
          <w:tcPr>
            <w:tcW w:type="dxa" w:w="2880"/>
          </w:tcPr>
          <w:p>
            <w:r>
              <w:t>201 Created</w:t>
            </w:r>
          </w:p>
        </w:tc>
        <w:tc>
          <w:tcPr>
            <w:tcW w:type="dxa" w:w="2880"/>
          </w:tcPr>
          <w:p>
            <w:r>
              <w:t>Location header points to the new resource</w:t>
            </w:r>
          </w:p>
        </w:tc>
      </w:tr>
      <w:tr>
        <w:tc>
          <w:tcPr>
            <w:tcW w:type="dxa" w:w="2880"/>
          </w:tcPr>
          <w:p>
            <w:r>
              <w:t>PUT (full update)</w:t>
            </w:r>
          </w:p>
        </w:tc>
        <w:tc>
          <w:tcPr>
            <w:tcW w:type="dxa" w:w="2880"/>
          </w:tcPr>
          <w:p>
            <w:r>
              <w:t>200 OK</w:t>
            </w:r>
          </w:p>
        </w:tc>
        <w:tc>
          <w:tcPr>
            <w:tcW w:type="dxa" w:w="2880"/>
          </w:tcPr>
          <w:p>
            <w:r>
              <w:t>Returns the updated resource</w:t>
            </w:r>
          </w:p>
        </w:tc>
      </w:tr>
      <w:tr>
        <w:tc>
          <w:tcPr>
            <w:tcW w:type="dxa" w:w="2880"/>
          </w:tcPr>
          <w:p>
            <w:r>
              <w:t>PATCH (partial update)</w:t>
            </w:r>
          </w:p>
        </w:tc>
        <w:tc>
          <w:tcPr>
            <w:tcW w:type="dxa" w:w="2880"/>
          </w:tcPr>
          <w:p>
            <w:r>
              <w:t>200 OK</w:t>
            </w:r>
          </w:p>
        </w:tc>
        <w:tc>
          <w:tcPr>
            <w:tcW w:type="dxa" w:w="2880"/>
          </w:tcPr>
          <w:p>
            <w:r>
              <w:t>Used for amendment-style partial edits (e.g. Declaration amendment, per FR-DEC-007)</w:t>
            </w:r>
          </w:p>
        </w:tc>
      </w:tr>
      <w:tr>
        <w:tc>
          <w:tcPr>
            <w:tcW w:type="dxa" w:w="2880"/>
          </w:tcPr>
          <w:p>
            <w:r>
              <w:t>DELETE</w:t>
            </w:r>
          </w:p>
        </w:tc>
        <w:tc>
          <w:tcPr>
            <w:tcW w:type="dxa" w:w="2880"/>
          </w:tcPr>
          <w:p>
            <w:r>
              <w:t>204 No Content</w:t>
            </w:r>
          </w:p>
        </w:tc>
        <w:tc>
          <w:tcPr>
            <w:tcW w:type="dxa" w:w="2880"/>
          </w:tcPr>
          <w:p>
            <w:r>
              <w:t>Rare — most entities are soft-deleted/versioned per PRD audit requirements, not hard-deleted (e.g. BR-SHP-005: shipment cannot be deleted after declaration creation)</w:t>
            </w:r>
          </w:p>
        </w:tc>
      </w:tr>
    </w:tbl>
    <w:p/>
    <w:p>
      <w:pPr>
        <w:pStyle w:val="ListBullet"/>
      </w:pPr>
      <w:r>
        <w:t>Dates/times: ISO 8601 UTC in all API payloads (e.g. 2026-07-23T10:15:00Z). Display-timezone conversion (IST for India users) happens at the UI layer, never in the API contract.</w:t>
      </w:r>
    </w:p>
    <w:p>
      <w:pPr>
        <w:pStyle w:val="ListBullet"/>
      </w:pPr>
      <w:r>
        <w:t>Currency amounts: always paired with an explicit currency code field (e.g. { "amount": 15000.00, "currency": "INR" }), never a bare number — critical given Declaration/Charge entities routinely carry INR, USD, and other currencies simultaneously (per ER v1.1 Commodity.Currency).</w:t>
      </w:r>
    </w:p>
    <w:p>
      <w:pPr>
        <w:pStyle w:val="ListBullet"/>
      </w:pPr>
      <w:r>
        <w:t>Money values are represented as decimal (not float) end-to-end, from PostgreSQL numeric columns through C# decimal types to JSON string-encoded values where precision loss is a risk — standard practice for any financial calculation (duty, GST, Cess) and non-negotiable given the PRD's &gt;99% accuracy goal (Ch.1.3).</w:t>
      </w:r>
    </w:p>
    <w:p>
      <w:pPr>
        <w:pStyle w:val="Heading1"/>
      </w:pPr>
      <w:r>
        <w:t>10. What Is Deliberately Not Decided Here</w:t>
      </w:r>
    </w:p>
    <w:p>
      <w:pPr>
        <w:pStyle w:val="ListBullet"/>
      </w:pPr>
      <w:r>
        <w:t>Event schema/versioning (flagged as an open question on Day 5, Section 5) — belongs to Day 7's OpenAPI work or a dedicated event-contract standard, not this REST-focused document.</w:t>
      </w:r>
    </w:p>
    <w:p>
      <w:pPr>
        <w:pStyle w:val="ListBullet"/>
      </w:pPr>
      <w:r>
        <w:t>Whether same-deployable-unit direct calls (e.g. Shipment -&gt; Journey/Leg) go through the API Gateway (also flagged Day 5) — affects Phase 0 Day 22 gateway design, not Day 6.</w:t>
      </w:r>
    </w:p>
    <w:p>
      <w:pPr>
        <w:pStyle w:val="ListBullet"/>
      </w:pPr>
      <w:r>
        <w:t>GraphQL or gRPC — REST is the sole API style for MVP; no evidence from the PRD or scale requirements justifies the added complexity of a second API paradigm at this stage.</w:t>
      </w:r>
    </w:p>
    <w:p>
      <w:pPr>
        <w:pStyle w:val="Heading1"/>
      </w:pPr>
      <w:r>
        <w:t>11. Traceability</w:t>
      </w:r>
    </w:p>
    <w:p>
      <w:r>
        <w:rPr>
          <w:b w:val="0"/>
          <w:i/>
        </w:rPr>
        <w:t>This deliverable satisfies Day 6 of the Day-Wise Plan: "Define REST conventions: URL structure, versioning, pagination, filtering, error format, correlation ID header." Deliverable produced: API standards doc v1.0, above, aligned to the confirmed .NET/PostgreSQL stack and ER Diagram v1.1.</w:t>
      </w:r>
    </w:p>
    <w:p>
      <w:r>
        <w:rPr>
          <w:b w:val="0"/>
          <w:i/>
        </w:rPr>
        <w:t>Next: Day 7 — OpenAPI Contract Skeletons for Shipment and Declaration services (paths + schemas, no implementation), applying these standards concretely. This is also flagged in the Multi-Agent Parallelization summary as a "Yes" candidate — one stub per service can be drafted in parallel.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