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6 Deliverable — API Standards v1.1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6 of 20</w:t>
      </w:r>
    </w:p>
    <w:p>
      <w:r>
        <w:rPr>
          <w:b w:val="0"/>
          <w:i w:val="0"/>
        </w:rPr>
        <w:t>Supersedes: Day 6 API Standards v1.0</w:t>
      </w:r>
    </w:p>
    <w:p>
      <w:r>
        <w:rPr>
          <w:b w:val="0"/>
          <w:i w:val="0"/>
        </w:rPr>
        <w:t>Trigger: user-supplied answers in Day5_Context_Map_and_Domain_Event_Catalog_v1.1.docx, Section 5 (Open Questions)</w:t>
      </w:r>
    </w:p>
    <w:p>
      <w:r>
        <w:rPr>
          <w:b w:val="0"/>
          <w:i w:val="0"/>
        </w:rPr>
        <w:t>Deliverable: API Standards v1.1 — Sections 10 and part of Section 3 of v1.0 replaced with resolved decisions below; all other v1.0 content unchanged and still in force.</w:t>
      </w:r>
    </w:p>
    <w:p>
      <w:pPr>
        <w:pStyle w:val="Heading1"/>
      </w:pPr>
      <w:r>
        <w:t>1. What Changed From v1.0</w:t>
      </w:r>
    </w:p>
    <w:p>
      <w:pPr>
        <w:pStyle w:val="ListBullet"/>
      </w:pPr>
      <w:r>
        <w:t>Section 10 of v1.0 listed "same-deployable-unit gateway routing" and "event schema versioning" as deferred. Both are now resolved per your answers, and are promoted into the main body as Sections 2 and 3 below.</w:t>
      </w:r>
    </w:p>
    <w:p>
      <w:pPr>
        <w:pStyle w:val="ListBullet"/>
      </w:pPr>
      <w:r>
        <w:t>v1.0 Sections 1-9 (URL structure, pagination, filtering, error format, correlation ID, auth, response conventions) are unchanged and remain in force — not reproduced here in full; refer to Day6_API_Standards_v1.0.docx for those.</w:t>
      </w:r>
    </w:p>
    <w:p>
      <w:pPr>
        <w:pStyle w:val="Heading1"/>
      </w:pPr>
      <w:r>
        <w:t>2. Communication Transport &amp; Gateway Routing (Resolved)</w:t>
      </w:r>
    </w:p>
    <w:p>
      <w:r>
        <w:rPr>
          <w:b w:val="0"/>
          <w:i w:val="0"/>
        </w:rPr>
        <w:t>Decision: the API Gateway is for external ingress only. Internal service-to-service calls — even across different deployable units/contexts — do not route through the gateway. This is a refinement beyond what v1.0 assumed (which left this ambiguous) and beyond what Day 5 originally flagged (which only asked about same-deployable-unit calls).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Communication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Through API Gateway?</w:t>
            </w:r>
          </w:p>
        </w:tc>
      </w:tr>
      <w:tr>
        <w:tc>
          <w:tcPr>
            <w:tcW w:type="dxa" w:w="2880"/>
          </w:tcPr>
          <w:p>
            <w:r>
              <w:t>UI to Backend</w:t>
            </w:r>
          </w:p>
        </w:tc>
        <w:tc>
          <w:tcPr>
            <w:tcW w:type="dxa" w:w="2880"/>
          </w:tcPr>
          <w:p>
            <w:r>
              <w:t>REST (primary); GraphQL not adopted for MVP per v1.0 Section 10</w:t>
            </w:r>
          </w:p>
        </w:tc>
        <w:tc>
          <w:tcPr>
            <w:tcW w:type="dxa" w:w="2880"/>
          </w:tcPr>
          <w:p>
            <w:r>
              <w:t>Yes — this is genuine external ingress</w:t>
            </w:r>
          </w:p>
        </w:tc>
      </w:tr>
      <w:tr>
        <w:tc>
          <w:tcPr>
            <w:tcW w:type="dxa" w:w="2880"/>
          </w:tcPr>
          <w:p>
            <w:r>
              <w:t>External System to Platform</w:t>
            </w:r>
          </w:p>
        </w:tc>
        <w:tc>
          <w:tcPr>
            <w:tcW w:type="dxa" w:w="2880"/>
          </w:tcPr>
          <w:p>
            <w:r>
              <w:t>REST/API (e.g. upstream logistics systems per PRD Ch.3, future TMS integrations)</w:t>
            </w:r>
          </w:p>
        </w:tc>
        <w:tc>
          <w:tcPr>
            <w:tcW w:type="dxa" w:w="2880"/>
          </w:tcPr>
          <w:p>
            <w:r>
              <w:t>Yes — external ingress</w:t>
            </w:r>
          </w:p>
        </w:tc>
      </w:tr>
      <w:tr>
        <w:tc>
          <w:tcPr>
            <w:tcW w:type="dxa" w:w="2880"/>
          </w:tcPr>
          <w:p>
            <w:r>
              <w:t>Internal Service to Internal Service (different deployable units, e.g. Declaration Management calling HS Classification Engine)</w:t>
            </w:r>
          </w:p>
        </w:tc>
        <w:tc>
          <w:tcPr>
            <w:tcW w:type="dxa" w:w="2880"/>
          </w:tcPr>
          <w:p>
            <w:r>
              <w:t>REST or gRPC, direct service-to-service</w:t>
            </w:r>
          </w:p>
        </w:tc>
        <w:tc>
          <w:tcPr>
            <w:tcW w:type="dxa" w:w="2880"/>
          </w:tcPr>
          <w:p>
            <w:r>
              <w:t>No — bypasses the gateway entirely</w:t>
            </w:r>
          </w:p>
        </w:tc>
      </w:tr>
      <w:tr>
        <w:tc>
          <w:tcPr>
            <w:tcW w:type="dxa" w:w="2880"/>
          </w:tcPr>
          <w:p>
            <w:r>
              <w:t>Same Deployable Module (e.g. Shipment Management calling its Journey/Leg sub-context)</w:t>
            </w:r>
          </w:p>
        </w:tc>
        <w:tc>
          <w:tcPr>
            <w:tcW w:type="dxa" w:w="2880"/>
          </w:tcPr>
          <w:p>
            <w:r>
              <w:t>Direct interface/function call, in-process</w:t>
            </w:r>
          </w:p>
        </w:tc>
        <w:tc>
          <w:tcPr>
            <w:tcW w:type="dxa" w:w="2880"/>
          </w:tcPr>
          <w:p>
            <w:r>
              <w:t>No — not a network call at all</w:t>
            </w:r>
          </w:p>
        </w:tc>
      </w:tr>
    </w:tbl>
    <w:p/>
    <w:p>
      <w:pPr>
        <w:pStyle w:val="Heading2"/>
      </w:pPr>
      <w:r>
        <w:t>2.1 Rationale</w:t>
      </w:r>
    </w:p>
    <w:p>
      <w:pPr>
        <w:pStyle w:val="ListBullet"/>
      </w:pPr>
      <w:r>
        <w:t>Rule 1 — API Gateway is for external traffic only: keeps the gateway focused on ingress concerns (rate limiting, external auth, public API versioning), not internal routing overhead.</w:t>
      </w:r>
    </w:p>
    <w:p>
      <w:pPr>
        <w:pStyle w:val="ListBullet"/>
      </w:pPr>
      <w:r>
        <w:t>Rule 2 — Same deployable unit = direct invocation: confirmed consistent with the Day 5 decision that Journey/Leg/Tracking/Manifest-Association/Milestone are sub-contexts of Shipment Management, not separate services for MVP.</w:t>
      </w:r>
    </w:p>
    <w:p>
      <w:pPr>
        <w:pStyle w:val="ListBullet"/>
      </w:pPr>
      <w:r>
        <w:t>Rule 3 — Different deployable units = service-to-service API, but still not through the gateway: this is the new refinement. Internal cross-context calls (e.g. the Permit/Compliance submission-time gate identified in Day 5 Section 4) use direct service-to-service REST/gRPC, avoiding gateway latency and operational complexity for traffic that never leaves the platform's trust boundary.</w:t>
      </w:r>
    </w:p>
    <w:p>
      <w:pPr>
        <w:pStyle w:val="Heading2"/>
      </w:pPr>
      <w:r>
        <w:t>2.2 Impact on Day 5 Direct Call Register</w:t>
      </w:r>
    </w:p>
    <w:p>
      <w:r>
        <w:rPr>
          <w:b w:val="0"/>
          <w:i/>
        </w:rPr>
        <w:t>The Day 5 "Direct Call Justification Register" remains valid as a list of which calls are synchronous; this decision only clarifies the transport for those calls. E.g., "Permit Management -&gt; Declaration Management (submission gate)" is a Direct Call (per Day 5) using internal service-to-service REST (per this decision), not routed through the gateway.</w:t>
      </w:r>
    </w:p>
    <w:p>
      <w:pPr>
        <w:pStyle w:val="Heading2"/>
      </w:pPr>
      <w:r>
        <w:t>2.3 Phase 0 Impact</w:t>
      </w:r>
    </w:p>
    <w:p>
      <w:r>
        <w:rPr>
          <w:b w:val="0"/>
          <w:i/>
        </w:rPr>
        <w:t>This directly informs Phase 0, Day 22 (API Gateway) — the gateway build should route only external-facing traffic; internal service mesh/direct calls are configured separately (e.g. via internal DNS/service discovery or a lightweight service mesh, to be decided at that Phase 0 day, not here).</w:t>
      </w:r>
    </w:p>
    <w:p>
      <w:pPr>
        <w:pStyle w:val="Heading1"/>
      </w:pPr>
      <w:r>
        <w:t>3. Unified Versioning Philosophy (Resolved)</w:t>
      </w:r>
    </w:p>
    <w:p>
      <w:r>
        <w:rPr>
          <w:b w:val="0"/>
          <w:i w:val="0"/>
        </w:rPr>
        <w:t>Decision: one versioning philosophy applies across the entire platform, not just REST APIs. This extends v1.0 Section 3 (which only covered REST URL versioning) to explicitly cover every communication mechanism identified in Section 2 above, plus the additional categories you specified.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Communication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Versioning 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Consistent With</w:t>
            </w:r>
          </w:p>
        </w:tc>
      </w:tr>
      <w:tr>
        <w:tc>
          <w:tcPr>
            <w:tcW w:type="dxa" w:w="2880"/>
          </w:tcPr>
          <w:p>
            <w:r>
              <w:t>REST APIs (OpenAPI)</w:t>
            </w:r>
          </w:p>
        </w:tc>
        <w:tc>
          <w:tcPr>
            <w:tcW w:type="dxa" w:w="2880"/>
          </w:tcPr>
          <w:p>
            <w:r>
              <w:t>URL path versioning: /api/v{n}/...</w:t>
            </w:r>
          </w:p>
        </w:tc>
        <w:tc>
          <w:tcPr>
            <w:tcW w:type="dxa" w:w="2880"/>
          </w:tcPr>
          <w:p>
            <w:r>
              <w:t>v1.0 Section 3, unchanged</w:t>
            </w:r>
          </w:p>
        </w:tc>
      </w:tr>
      <w:tr>
        <w:tc>
          <w:tcPr>
            <w:tcW w:type="dxa" w:w="2880"/>
          </w:tcPr>
          <w:p>
            <w:r>
              <w:t>Domain Events (Day 5 catalog)</w:t>
            </w:r>
          </w:p>
        </w:tc>
        <w:tc>
          <w:tcPr>
            <w:tcW w:type="dxa" w:w="2880"/>
          </w:tcPr>
          <w:p>
            <w:r>
              <w:t>EventVersion field in the event envelope</w:t>
            </w:r>
          </w:p>
        </w:tc>
        <w:tc>
          <w:tcPr>
            <w:tcW w:type="dxa" w:w="2880"/>
          </w:tcPr>
          <w:p>
            <w:r>
              <w:t>Same major/minor philosophy as REST — breaking change to payload = version bump</w:t>
            </w:r>
          </w:p>
        </w:tc>
      </w:tr>
      <w:tr>
        <w:tc>
          <w:tcPr>
            <w:tcW w:type="dxa" w:w="2880"/>
          </w:tcPr>
          <w:p>
            <w:r>
              <w:t>Integration Events (cross-context, e.g. published to the event bus for consumption by Reporting/Financial contexts)</w:t>
            </w:r>
          </w:p>
        </w:tc>
        <w:tc>
          <w:tcPr>
            <w:tcW w:type="dxa" w:w="2880"/>
          </w:tcPr>
          <w:p>
            <w:r>
              <w:t>Same EventVersion field convention as Domain Events</w:t>
            </w:r>
          </w:p>
        </w:tc>
        <w:tc>
          <w:tcPr>
            <w:tcW w:type="dxa" w:w="2880"/>
          </w:tcPr>
          <w:p>
            <w:r>
              <w:t>No distinction in versioning mechanism between domain and integration events — only in routing/audience</w:t>
            </w:r>
          </w:p>
        </w:tc>
      </w:tr>
      <w:tr>
        <w:tc>
          <w:tcPr>
            <w:tcW w:type="dxa" w:w="2880"/>
          </w:tcPr>
          <w:p>
            <w:r>
              <w:t>Commands (if introduced later, e.g. for CQRS-style write operations)</w:t>
            </w:r>
          </w:p>
        </w:tc>
        <w:tc>
          <w:tcPr>
            <w:tcW w:type="dxa" w:w="2880"/>
          </w:tcPr>
          <w:p>
            <w:r>
              <w:t>CommandVersion field, same numbering philosophy</w:t>
            </w:r>
          </w:p>
        </w:tc>
        <w:tc>
          <w:tcPr>
            <w:tcW w:type="dxa" w:w="2880"/>
          </w:tcPr>
          <w:p>
            <w:r>
              <w:t>Reserved now so it does not need to be retrofitted if commands are introduced post-MVP</w:t>
            </w:r>
          </w:p>
        </w:tc>
      </w:tr>
      <w:tr>
        <w:tc>
          <w:tcPr>
            <w:tcW w:type="dxa" w:w="2880"/>
          </w:tcPr>
          <w:p>
            <w:r>
              <w:t>Webhooks (future outbound notifications to external parties)</w:t>
            </w:r>
          </w:p>
        </w:tc>
        <w:tc>
          <w:tcPr>
            <w:tcW w:type="dxa" w:w="2880"/>
          </w:tcPr>
          <w:p>
            <w:r>
              <w:t>WebhookVersion field in payload + version in the webhook URL path</w:t>
            </w:r>
          </w:p>
        </w:tc>
        <w:tc>
          <w:tcPr>
            <w:tcW w:type="dxa" w:w="2880"/>
          </w:tcPr>
          <w:p>
            <w:r>
              <w:t>Mirrors REST URL versioning since webhooks are effectively externally-consumed APIs</w:t>
            </w:r>
          </w:p>
        </w:tc>
      </w:tr>
      <w:tr>
        <w:tc>
          <w:tcPr>
            <w:tcW w:type="dxa" w:w="2880"/>
          </w:tcPr>
          <w:p>
            <w:r>
              <w:t>ICEGATE Adapter Messages (wrapped internally per Customs Gateway Integration context)</w:t>
            </w:r>
          </w:p>
        </w:tc>
        <w:tc>
          <w:tcPr>
            <w:tcW w:type="dxa" w:w="2880"/>
          </w:tcPr>
          <w:p>
            <w:r>
              <w:t>Internal AdapterVersion field, independent of ICEGATE's own external versioning, so our internal contract can evolve without being coupled to government schema changes</w:t>
            </w:r>
          </w:p>
        </w:tc>
        <w:tc>
          <w:tcPr>
            <w:tcW w:type="dxa" w:w="2880"/>
          </w:tcPr>
          <w:p>
            <w:r>
              <w:t>Same numbering philosophy; explicitly decoupled from the external government version, since that is outside our control</w:t>
            </w:r>
          </w:p>
        </w:tc>
      </w:tr>
    </w:tbl>
    <w:p/>
    <w:p>
      <w:pPr>
        <w:pStyle w:val="Heading2"/>
      </w:pPr>
      <w:r>
        <w:t>3.1 Event Envelope (Updated)</w:t>
      </w:r>
    </w:p>
    <w:p>
      <w:r>
        <w:rPr>
          <w:b w:val="0"/>
          <w:i w:val="0"/>
        </w:rPr>
        <w:t>Every event in the Day 5 Domain Event Catalog now carries this standard envelope, superseding the informal "each entry lists key payload fields" note from Day 5:</w:t>
      </w:r>
    </w:p>
    <w:p>
      <w:r>
        <w:rPr>
          <w:rFonts w:ascii="Consolas" w:hAnsi="Consolas"/>
          <w:sz w:val="18"/>
        </w:rPr>
        <w:t>{</w:t>
        <w:br/>
        <w:t xml:space="preserve">  "eventId": "uuid",</w:t>
        <w:br/>
        <w:t xml:space="preserve">  "eventType": "ClearanceTypeAssigned",</w:t>
        <w:br/>
        <w:t xml:space="preserve">  "eventVersion": "1.0",</w:t>
        <w:br/>
        <w:t xml:space="preserve">  "occurredAt": "2026-07-23T10:15:00Z",</w:t>
        <w:br/>
        <w:t xml:space="preserve">  "correlationId": "uuid",</w:t>
        <w:br/>
        <w:t xml:space="preserve">  "source": "SegregationEngine",</w:t>
        <w:br/>
        <w:t xml:space="preserve">  "payload": { ... }</w:t>
        <w:br/>
        <w:t>}</w:t>
      </w:r>
    </w:p>
    <w:p>
      <w:pPr>
        <w:pStyle w:val="ListBullet"/>
      </w:pPr>
      <w:r>
        <w:t>eventVersion follows the same major.minor discipline as REST: a major bump for breaking payload changes, minor for additive fields.</w:t>
      </w:r>
    </w:p>
    <w:p>
      <w:pPr>
        <w:pStyle w:val="ListBullet"/>
      </w:pPr>
      <w:r>
        <w:t>correlationId reuses the same value carried through the originating REST request (per v1.0 Section 7) — this is what ties a shipment's full journey (REST calls, events, ICEGATE submission) into one traceable thread, satisfying the PRD's audit correlation requirement (Ch.6.11/7.14/8.14) across all mechanisms, not just REST.</w:t>
      </w:r>
    </w:p>
    <w:p>
      <w:pPr>
        <w:pStyle w:val="Heading1"/>
      </w:pPr>
      <w:r>
        <w:t>4. Traceability</w:t>
      </w:r>
    </w:p>
    <w:p>
      <w:r>
        <w:rPr>
          <w:b w:val="0"/>
          <w:i/>
        </w:rPr>
        <w:t>This deliverable resolves both items deferred in Day 6 v1.0, Section 10, using the answers you provided in Day5_Context_Map_and_Domain_Event_Catalog_v1.1.docx, Section 5. Deliverable produced: API Standards v1.1, above.</w:t>
      </w:r>
    </w:p>
    <w:p>
      <w:r>
        <w:rPr>
          <w:b w:val="0"/>
          <w:i/>
        </w:rPr>
        <w:t>Next: Day 7 — OpenAPI Contract Skeletons for Shipment and Declaration services, now built against the resolved gateway-routing and unified-versioning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