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7 Deliverable — OpenAPI Contract Skeletons (Transmittal Note)</w:t>
      </w:r>
    </w:p>
    <w:p>
      <w:r>
        <w:rPr>
          <w:b/>
          <w:i w:val="0"/>
        </w:rPr>
        <w:t>Phase: Phase -1 (Architecture &amp; Engineering Preparation)</w:t>
      </w:r>
    </w:p>
    <w:p>
      <w:r>
        <w:rPr>
          <w:b w:val="0"/>
          <w:i w:val="0"/>
        </w:rPr>
        <w:t>Day: 7 of 20</w:t>
      </w:r>
    </w:p>
    <w:p>
      <w:r>
        <w:rPr>
          <w:b w:val="0"/>
          <w:i w:val="0"/>
        </w:rPr>
        <w:t>Deliverable per plan: openapi/shipment.yaml, openapi/declaration.yaml (draft)</w:t>
      </w:r>
    </w:p>
    <w:p>
      <w:r>
        <w:rPr>
          <w:b w:val="0"/>
          <w:i w:val="0"/>
        </w:rPr>
        <w:t>Files produced: openapi/shipment.yaml, openapi/declaration.yaml (in the project workspace, alongside this note)</w:t>
      </w:r>
    </w:p>
    <w:p>
      <w:pPr>
        <w:pStyle w:val="Heading1"/>
      </w:pPr>
      <w:r>
        <w:t>1. What These Stubs Cover</w:t>
      </w:r>
    </w:p>
    <w:p>
      <w:r>
        <w:rPr>
          <w:b w:val="0"/>
          <w:i w:val="0"/>
        </w:rPr>
        <w:t>Paths and schemas only — no implementation, per the Day 7 task scope. Both files apply API Standards v1.0/v1.1 (Days 6): UUID path IDs, offset pagination envelope, RFC 7807 error format with Business-Rule-ID-coded field errors, and the resolved gateway/versioning decisions from Day 6 v1.1.</w:t>
      </w:r>
    </w:p>
    <w:p>
      <w:pPr>
        <w:pStyle w:val="Heading2"/>
      </w:pPr>
      <w:r>
        <w:t>1.1 shipment.yaml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/shipments, /shipments/{id}</w:t>
            </w:r>
          </w:p>
        </w:tc>
        <w:tc>
          <w:tcPr>
            <w:tcW w:type="dxa" w:w="4320"/>
          </w:tcPr>
          <w:p>
            <w:r>
              <w:t>CRUD per FR-001/002/003, ER v1.1 Shipment entity (post-multimodal-integration: no TransportMode field, carries JourneyId/CurrentLegId instead)</w:t>
            </w:r>
          </w:p>
        </w:tc>
      </w:tr>
      <w:tr>
        <w:tc>
          <w:tcPr>
            <w:tcW w:type="dxa" w:w="4320"/>
          </w:tcPr>
          <w:p>
            <w:r>
              <w:t>/shipments/{id}/journey, /shipments/{id}/journey/legs</w:t>
            </w:r>
          </w:p>
        </w:tc>
        <w:tc>
          <w:tcPr>
            <w:tcW w:type="dxa" w:w="4320"/>
          </w:tcPr>
          <w:p>
            <w:r>
              <w:t>Exposes ShipmentJourney and TransportLeg — new entities from the Multimodal Integration</w:t>
            </w:r>
          </w:p>
        </w:tc>
      </w:tr>
      <w:tr>
        <w:tc>
          <w:tcPr>
            <w:tcW w:type="dxa" w:w="4320"/>
          </w:tcPr>
          <w:p>
            <w:r>
              <w:t>/shipments/{id}/commodities</w:t>
            </w:r>
          </w:p>
        </w:tc>
        <w:tc>
          <w:tcPr>
            <w:tcW w:type="dxa" w:w="4320"/>
          </w:tcPr>
          <w:p>
            <w:r>
              <w:t>Commodity lines per FR-COM-001</w:t>
            </w:r>
          </w:p>
        </w:tc>
      </w:tr>
      <w:tr>
        <w:tc>
          <w:tcPr>
            <w:tcW w:type="dxa" w:w="4320"/>
          </w:tcPr>
          <w:p>
            <w:r>
              <w:t>/shipments/{id}/indicators</w:t>
            </w:r>
          </w:p>
        </w:tc>
        <w:tc>
          <w:tcPr>
            <w:tcW w:type="dxa" w:w="4320"/>
          </w:tcPr>
          <w:p>
            <w:r>
              <w:t>ShipmentIndicator, auto+manual per PRD Ch.2.9/FR-005</w:t>
            </w:r>
          </w:p>
        </w:tc>
      </w:tr>
      <w:tr>
        <w:tc>
          <w:tcPr>
            <w:tcW w:type="dxa" w:w="4320"/>
          </w:tcPr>
          <w:p>
            <w:r>
              <w:t>/courier-shipments, /courier-shipments/{id}</w:t>
            </w:r>
          </w:p>
        </w:tc>
        <w:tc>
          <w:tcPr>
            <w:tcW w:type="dxa" w:w="4320"/>
          </w:tcPr>
          <w:p>
            <w:r>
              <w:t>CourierShipment — first-class bounded context #16 (Day 1), separate paths from /shipments confirming it is not a Shipment sub-type</w:t>
            </w:r>
          </w:p>
        </w:tc>
      </w:tr>
    </w:tbl>
    <w:p/>
    <w:p>
      <w:pPr>
        <w:pStyle w:val="Heading2"/>
      </w:pPr>
      <w:r>
        <w:t>1.2 declaration.yaml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/declarations, /declarations/{id}</w:t>
            </w:r>
          </w:p>
        </w:tc>
        <w:tc>
          <w:tcPr>
            <w:tcW w:type="dxa" w:w="4320"/>
          </w:tcPr>
          <w:p>
            <w:r>
              <w:t>Declaration CRUD; PATCH creates a new version (FR-DEC-004), rejected 409 post-submission</w:t>
            </w:r>
          </w:p>
        </w:tc>
      </w:tr>
      <w:tr>
        <w:tc>
          <w:tcPr>
            <w:tcW w:type="dxa" w:w="4320"/>
          </w:tcPr>
          <w:p>
            <w:r>
              <w:t>/declarations/{id}/versions</w:t>
            </w:r>
          </w:p>
        </w:tc>
        <w:tc>
          <w:tcPr>
            <w:tcW w:type="dxa" w:w="4320"/>
          </w:tcPr>
          <w:p>
            <w:r>
              <w:t>Version history, immutable prior versions (FR-DEC-004)</w:t>
            </w:r>
          </w:p>
        </w:tc>
      </w:tr>
      <w:tr>
        <w:tc>
          <w:tcPr>
            <w:tcW w:type="dxa" w:w="4320"/>
          </w:tcPr>
          <w:p>
            <w:r>
              <w:t>/declarations/{id}/commodity-lines</w:t>
            </w:r>
          </w:p>
        </w:tc>
        <w:tc>
          <w:tcPr>
            <w:tcW w:type="dxa" w:w="4320"/>
          </w:tcPr>
          <w:p>
            <w:r>
              <w:t>DeclarationCommodityLine — snapshot-at-version, per Day 4 resolution</w:t>
            </w:r>
          </w:p>
        </w:tc>
      </w:tr>
      <w:tr>
        <w:tc>
          <w:tcPr>
            <w:tcW w:type="dxa" w:w="4320"/>
          </w:tcPr>
          <w:p>
            <w:r>
              <w:t>/declarations/{id}/charges</w:t>
            </w:r>
          </w:p>
        </w:tc>
        <w:tc>
          <w:tcPr>
            <w:tcW w:type="dxa" w:w="4320"/>
          </w:tcPr>
          <w:p>
            <w:r>
              <w:t>Charge entity (BCD, IGST, Cess, brokerage fee), Day 3</w:t>
            </w:r>
          </w:p>
        </w:tc>
      </w:tr>
      <w:tr>
        <w:tc>
          <w:tcPr>
            <w:tcW w:type="dxa" w:w="4320"/>
          </w:tcPr>
          <w:p>
            <w:r>
              <w:t>/declarations/{id}/permits</w:t>
            </w:r>
          </w:p>
        </w:tc>
        <w:tc>
          <w:tcPr>
            <w:tcW w:type="dxa" w:w="4320"/>
          </w:tcPr>
          <w:p>
            <w:r>
              <w:t>Permit entity, co-deployed with Compliance per Day 1</w:t>
            </w:r>
          </w:p>
        </w:tc>
      </w:tr>
      <w:tr>
        <w:tc>
          <w:tcPr>
            <w:tcW w:type="dxa" w:w="4320"/>
          </w:tcPr>
          <w:p>
            <w:r>
              <w:t>/declarations/{id}/submissions</w:t>
            </w:r>
          </w:p>
        </w:tc>
        <w:tc>
          <w:tcPr>
            <w:tcW w:type="dxa" w:w="4320"/>
          </w:tcPr>
          <w:p>
            <w:r>
              <w:t>Submission trigger (FR-DEC-002 gate: permits approved, compliance cleared, valid manifest reference); 202 Accepted, async response via CustomsResponseReceived event (Day 5)</w:t>
            </w:r>
          </w:p>
        </w:tc>
      </w:tr>
      <w:tr>
        <w:tc>
          <w:tcPr>
            <w:tcW w:type="dxa" w:w="4320"/>
          </w:tcPr>
          <w:p>
            <w:r>
              <w:t>/declarations/{id}/amendments</w:t>
            </w:r>
          </w:p>
        </w:tc>
        <w:tc>
          <w:tcPr>
            <w:tcW w:type="dxa" w:w="4320"/>
          </w:tcPr>
          <w:p>
            <w:r>
              <w:t>FR-DEC-007 — clones into new editable version, preserves original linkage</w:t>
            </w:r>
          </w:p>
        </w:tc>
      </w:tr>
      <w:tr>
        <w:tc>
          <w:tcPr>
            <w:tcW w:type="dxa" w:w="4320"/>
          </w:tcPr>
          <w:p>
            <w:r>
              <w:t>/declarations/{id}/cancellations</w:t>
            </w:r>
          </w:p>
        </w:tc>
        <w:tc>
          <w:tcPr>
            <w:tcW w:type="dxa" w:w="4320"/>
          </w:tcPr>
          <w:p>
            <w:r>
              <w:t>FR-DEC-008 — pre-release only</w:t>
            </w:r>
          </w:p>
        </w:tc>
      </w:tr>
    </w:tbl>
    <w:p/>
    <w:p>
      <w:pPr>
        <w:pStyle w:val="Heading1"/>
      </w:pPr>
      <w:r>
        <w:t>2. Design Points Worth Flagging</w:t>
      </w:r>
    </w:p>
    <w:p>
      <w:pPr>
        <w:pStyle w:val="ListBullet"/>
      </w:pPr>
      <w:r>
        <w:t>Declaration.manifestStatus is documented as "derived from linked Manifest.Status" (Day 4 Section 3.2) rather than an independently settable field — the schema still exposes it read-only for API consumers, but there is no PATCH path for it directly.</w:t>
      </w:r>
    </w:p>
    <w:p>
      <w:pPr>
        <w:pStyle w:val="ListBullet"/>
      </w:pPr>
      <w:r>
        <w:t>Declaration.transportLegId is required (non-nullable) per the multimodal integration (Section 4.5) — every declaration must state which leg it clears customs at, even for single-leg journeys.</w:t>
      </w:r>
    </w:p>
    <w:p>
      <w:pPr>
        <w:pStyle w:val="ListBullet"/>
      </w:pPr>
      <w:r>
        <w:t>The /submissions endpoint's internal validation calls (permit/compliance/manifest checks) are Direct Calls per Day 5, routed service-to-service without the API Gateway per Day 6 v1.1 - this OpenAPI file only documents the external-facing submission endpoint itself, not those internal calls (those belong in each context's own internal contract, out of scope for a public-facing OpenAPI spec).</w:t>
      </w:r>
    </w:p>
    <w:p>
      <w:pPr>
        <w:pStyle w:val="ListBullet"/>
      </w:pPr>
      <w:r>
        <w:t>Both files currently define schemas locally (duplicated Pagination/ProblemDetails). A shared components file (openapi/common.yaml) to be $ref'd across all future service stubs is a reasonable Day 9 (Repository Structure) consideration, not done here to keep Day 7 scoped to exactly the two files the plan calls for.</w:t>
      </w:r>
    </w:p>
    <w:p>
      <w:pPr>
        <w:pStyle w:val="Heading1"/>
      </w:pPr>
      <w:r>
        <w:t>3. Traceability</w:t>
      </w:r>
    </w:p>
    <w:p>
      <w:r>
        <w:rPr>
          <w:b w:val="0"/>
          <w:i/>
        </w:rPr>
        <w:t>This deliverable satisfies Day 7 of the Day-Wise Plan: "Draft OpenAPI stubs for Shipment and Declaration services (paths + schemas, no implementation)." Files produced: openapi/shipment.yaml, openapi/declaration.yaml.</w:t>
      </w:r>
    </w:p>
    <w:p>
      <w:r>
        <w:rPr>
          <w:b w:val="0"/>
          <w:i/>
        </w:rPr>
        <w:t>Next: Day 8 — Coding Standards &amp; ADR Template. The stack decision (.NET/ASP.NET Core, PostgreSQL with SQL Server migration path) is already confirmed; Day 8 will formalize it as ADR-001 and add ADR-002 (rules-engine approach).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