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8 Deliverable — Coding Standards v1.0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8 of 20</w:t>
      </w:r>
    </w:p>
    <w:p>
      <w:r>
        <w:rPr>
          <w:b w:val="0"/>
          <w:i w:val="0"/>
        </w:rPr>
        <w:t>Stack: ASP.NET Core (C#), PostgreSQL, EF Core (per ADR-0001)</w:t>
      </w:r>
    </w:p>
    <w:p>
      <w:r>
        <w:rPr>
          <w:b w:val="0"/>
          <w:i w:val="0"/>
        </w:rPr>
        <w:t>Deliverable per plan: Coding standards doc + ADR-001, ADR-002</w:t>
      </w:r>
    </w:p>
    <w:p>
      <w:r>
        <w:rPr>
          <w:b w:val="0"/>
          <w:i w:val="0"/>
        </w:rPr>
        <w:t>Companion files: adr/template.md, adr/0001-technology-stack.md, adr/0002-configurable-rules-engine.md (in project workspace)</w:t>
      </w:r>
    </w:p>
    <w:p>
      <w:pPr>
        <w:pStyle w:val="Heading1"/>
      </w:pPr>
      <w:r>
        <w:t>1. ADRs Produced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t>adr/template.md</w:t>
            </w:r>
          </w:p>
        </w:tc>
        <w:tc>
          <w:tcPr>
            <w:tcW w:type="dxa" w:w="4320"/>
          </w:tcPr>
          <w:p>
            <w:r>
              <w:t>Standard ADR template — Context / Decision / Alternatives Considered / Consequences / Related, for all future ADRs</w:t>
            </w:r>
          </w:p>
        </w:tc>
      </w:tr>
      <w:tr>
        <w:tc>
          <w:tcPr>
            <w:tcW w:type="dxa" w:w="4320"/>
          </w:tcPr>
          <w:p>
            <w:r>
              <w:t>adr/0001-technology-stack.md</w:t>
            </w:r>
          </w:p>
        </w:tc>
        <w:tc>
          <w:tcPr>
            <w:tcW w:type="dxa" w:w="4320"/>
          </w:tcPr>
          <w:p>
            <w:r>
              <w:t>ASP.NET Core (C#) + PostgreSQL, SQL-Server-migration-compatible via EF Core, no provider-specific SQL, no stored procedures for business logic</w:t>
            </w:r>
          </w:p>
        </w:tc>
      </w:tr>
      <w:tr>
        <w:tc>
          <w:tcPr>
            <w:tcW w:type="dxa" w:w="4320"/>
          </w:tcPr>
          <w:p>
            <w:r>
              <w:t>adr/0002-configurable-rules-engine.md</w:t>
            </w:r>
          </w:p>
        </w:tc>
        <w:tc>
          <w:tcPr>
            <w:tcW w:type="dxa" w:w="4320"/>
          </w:tcPr>
          <w:p>
            <w:r>
              <w:t>Custom-built C# rules engine (Rule/RuleVersion/RuleCondition/DecisionTrace), not a third-party library, not hardcoded logic — directly formalizes the Day 1 binding constraint and Day 3 data model</w:t>
            </w:r>
          </w:p>
        </w:tc>
      </w:tr>
    </w:tbl>
    <w:p/>
    <w:p>
      <w:pPr>
        <w:pStyle w:val="Heading1"/>
      </w:pPr>
      <w:r>
        <w:t>2. C# Naming &amp; Style Conventions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Convention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Namespaces</w:t>
            </w:r>
          </w:p>
        </w:tc>
        <w:tc>
          <w:tcPr>
            <w:tcW w:type="dxa" w:w="2880"/>
          </w:tcPr>
          <w:p>
            <w:r>
              <w:t>CustomsClearance.{Context}.{Layer}</w:t>
            </w:r>
          </w:p>
        </w:tc>
        <w:tc>
          <w:tcPr>
            <w:tcW w:type="dxa" w:w="2880"/>
          </w:tcPr>
          <w:p>
            <w:r>
              <w:t>CustomsClearance.Shipment.Domain, CustomsClearance.Declaration.Api</w:t>
            </w:r>
          </w:p>
        </w:tc>
      </w:tr>
      <w:tr>
        <w:tc>
          <w:tcPr>
            <w:tcW w:type="dxa" w:w="2880"/>
          </w:tcPr>
          <w:p>
            <w:r>
              <w:t>Classes / Records</w:t>
            </w:r>
          </w:p>
        </w:tc>
        <w:tc>
          <w:tcPr>
            <w:tcW w:type="dxa" w:w="2880"/>
          </w:tcPr>
          <w:p>
            <w:r>
              <w:t>PascalCase, noun phrases</w:t>
            </w:r>
          </w:p>
        </w:tc>
        <w:tc>
          <w:tcPr>
            <w:tcW w:type="dxa" w:w="2880"/>
          </w:tcPr>
          <w:p>
            <w:r>
              <w:t>ShipmentJourney, DeclarationCommodityLine</w:t>
            </w:r>
          </w:p>
        </w:tc>
      </w:tr>
      <w:tr>
        <w:tc>
          <w:tcPr>
            <w:tcW w:type="dxa" w:w="2880"/>
          </w:tcPr>
          <w:p>
            <w:r>
              <w:t>Interfaces</w:t>
            </w:r>
          </w:p>
        </w:tc>
        <w:tc>
          <w:tcPr>
            <w:tcW w:type="dxa" w:w="2880"/>
          </w:tcPr>
          <w:p>
            <w:r>
              <w:t>PascalCase, prefixed with I</w:t>
            </w:r>
          </w:p>
        </w:tc>
        <w:tc>
          <w:tcPr>
            <w:tcW w:type="dxa" w:w="2880"/>
          </w:tcPr>
          <w:p>
            <w:r>
              <w:t>IShipmentRepository, IRuleEvaluator</w:t>
            </w:r>
          </w:p>
        </w:tc>
      </w:tr>
      <w:tr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>
              <w:t>PascalCase, verb phrases</w:t>
            </w:r>
          </w:p>
        </w:tc>
        <w:tc>
          <w:tcPr>
            <w:tcW w:type="dxa" w:w="2880"/>
          </w:tcPr>
          <w:p>
            <w:r>
              <w:t>ValidateShipmentAsync, EvaluateSegregationRulesAsync</w:t>
            </w:r>
          </w:p>
        </w:tc>
      </w:tr>
      <w:tr>
        <w:tc>
          <w:tcPr>
            <w:tcW w:type="dxa" w:w="2880"/>
          </w:tcPr>
          <w:p>
            <w:r>
              <w:t>Async methods</w:t>
            </w:r>
          </w:p>
        </w:tc>
        <w:tc>
          <w:tcPr>
            <w:tcW w:type="dxa" w:w="2880"/>
          </w:tcPr>
          <w:p>
            <w:r>
              <w:t>Always suffixed Async; always return Task/Task&lt;T&gt;</w:t>
            </w:r>
          </w:p>
        </w:tc>
        <w:tc>
          <w:tcPr>
            <w:tcW w:type="dxa" w:w="2880"/>
          </w:tcPr>
          <w:p>
            <w:r>
              <w:t>GetDeclarationByIdAsync(Guid id)</w:t>
            </w:r>
          </w:p>
        </w:tc>
      </w:tr>
      <w:tr>
        <w:tc>
          <w:tcPr>
            <w:tcW w:type="dxa" w:w="2880"/>
          </w:tcPr>
          <w:p>
            <w:r>
              <w:t>Private fields</w:t>
            </w:r>
          </w:p>
        </w:tc>
        <w:tc>
          <w:tcPr>
            <w:tcW w:type="dxa" w:w="2880"/>
          </w:tcPr>
          <w:p>
            <w:r>
              <w:t>camelCase with underscore prefix</w:t>
            </w:r>
          </w:p>
        </w:tc>
        <w:tc>
          <w:tcPr>
            <w:tcW w:type="dxa" w:w="2880"/>
          </w:tcPr>
          <w:p>
            <w:r>
              <w:t>_shipmentRepository</w:t>
            </w:r>
          </w:p>
        </w:tc>
      </w:tr>
      <w:tr>
        <w:tc>
          <w:tcPr>
            <w:tcW w:type="dxa" w:w="2880"/>
          </w:tcPr>
          <w:p>
            <w:r>
              <w:t>Constants</w:t>
            </w:r>
          </w:p>
        </w:tc>
        <w:tc>
          <w:tcPr>
            <w:tcW w:type="dxa" w:w="2880"/>
          </w:tcPr>
          <w:p>
            <w:r>
              <w:t>PascalCase (not SCREAMING_CASE, per modern C# convention)</w:t>
            </w:r>
          </w:p>
        </w:tc>
        <w:tc>
          <w:tcPr>
            <w:tcW w:type="dxa" w:w="2880"/>
          </w:tcPr>
          <w:p>
            <w:r>
              <w:t>MaxCommodityLinesPerDeclaration</w:t>
            </w:r>
          </w:p>
        </w:tc>
      </w:tr>
      <w:tr>
        <w:tc>
          <w:tcPr>
            <w:tcW w:type="dxa" w:w="2880"/>
          </w:tcPr>
          <w:p>
            <w:r>
              <w:t>Enums</w:t>
            </w:r>
          </w:p>
        </w:tc>
        <w:tc>
          <w:tcPr>
            <w:tcW w:type="dxa" w:w="2880"/>
          </w:tcPr>
          <w:p>
            <w:r>
              <w:t>PascalCase, singular type name, PascalCase members</w:t>
            </w:r>
          </w:p>
        </w:tc>
        <w:tc>
          <w:tcPr>
            <w:tcW w:type="dxa" w:w="2880"/>
          </w:tcPr>
          <w:p>
            <w:r>
              <w:t>enum ClearanceType { Formal, Informal, Domestic, DeMinimis }</w:t>
            </w:r>
          </w:p>
        </w:tc>
      </w:tr>
      <w:tr>
        <w:tc>
          <w:tcPr>
            <w:tcW w:type="dxa" w:w="2880"/>
          </w:tcPr>
          <w:p>
            <w:r>
              <w:t>DTOs / API contracts</w:t>
            </w:r>
          </w:p>
        </w:tc>
        <w:tc>
          <w:tcPr>
            <w:tcW w:type="dxa" w:w="2880"/>
          </w:tcPr>
          <w:p>
            <w:r>
              <w:t>Suffixed by purpose</w:t>
            </w:r>
          </w:p>
        </w:tc>
        <w:tc>
          <w:tcPr>
            <w:tcW w:type="dxa" w:w="2880"/>
          </w:tcPr>
          <w:p>
            <w:r>
              <w:t>ShipmentCreateRequest, DeclarationResponse — matches the OpenAPI schema names from Day 7 exactly, to avoid a naming translation layer between contract and code</w:t>
            </w:r>
          </w:p>
        </w:tc>
      </w:tr>
      <w:tr>
        <w:tc>
          <w:tcPr>
            <w:tcW w:type="dxa" w:w="2880"/>
          </w:tcPr>
          <w:p>
            <w:r>
              <w:t>Entity IDs</w:t>
            </w:r>
          </w:p>
        </w:tc>
        <w:tc>
          <w:tcPr>
            <w:tcW w:type="dxa" w:w="2880"/>
          </w:tcPr>
          <w:p>
            <w:r>
              <w:t>Guid, named {Entity}Id</w:t>
            </w:r>
          </w:p>
        </w:tc>
        <w:tc>
          <w:tcPr>
            <w:tcW w:type="dxa" w:w="2880"/>
          </w:tcPr>
          <w:p>
            <w:r>
              <w:t>ShipmentId, DeclarationId — matches ER Diagram v1.1 PK naming exactly</w:t>
            </w:r>
          </w:p>
        </w:tc>
      </w:tr>
    </w:tbl>
    <w:p/>
    <w:p>
      <w:pPr>
        <w:pStyle w:val="Heading1"/>
      </w:pPr>
      <w:r>
        <w:t>3. Project / Solution Structure</w:t>
      </w:r>
    </w:p>
    <w:p>
      <w:r>
        <w:rPr>
          <w:b w:val="0"/>
          <w:i w:val="0"/>
        </w:rPr>
        <w:t>One solution per bounded context grouping is over-engineering for a solo developer; instead, a single solution with clearly separated projects per architectural layer, mirroring the Day-Wise Plan's own layering discipline (DB -&gt; Backend -&gt; API -&gt; UI):</w:t>
      </w:r>
    </w:p>
    <w:p>
      <w:r>
        <w:rPr>
          <w:rFonts w:ascii="Consolas" w:hAnsi="Consolas"/>
          <w:sz w:val="18"/>
        </w:rPr>
        <w:t>CustomsClearance.sln</w:t>
        <w:br/>
        <w:t xml:space="preserve">  /src</w:t>
        <w:br/>
        <w:t xml:space="preserve">    CustomsClearance.Domain          (entities, value objects, domain events — no EF Core dependency here)</w:t>
        <w:br/>
        <w:t xml:space="preserve">    CustomsClearance.Infrastructure  (EF Core DbContext, repositories, PostgreSQL-specific config)</w:t>
        <w:br/>
        <w:t xml:space="preserve">    CustomsClearance.Application     (business services, rules engine, validation — Layer 2)</w:t>
        <w:br/>
        <w:t xml:space="preserve">    CustomsClearance.Api             (ASP.NET Core controllers/minimal APIs — Layer 3)</w:t>
        <w:br/>
        <w:t xml:space="preserve">    CustomsClearance.RulesEngine     (standalone project per ADR-0002 — reusable across Segregation/Compliance/Duty)</w:t>
        <w:br/>
        <w:t xml:space="preserve">    CustomsClearance.Shared          (cross-cutting: logging, error handling, correlation ID middleware, audit — per Phase 0 Day 16-18 libraries)</w:t>
        <w:br/>
        <w:t xml:space="preserve">  /tests</w:t>
        <w:br/>
        <w:t xml:space="preserve">    CustomsClearance.Domain.Tests</w:t>
        <w:br/>
        <w:t xml:space="preserve">    CustomsClearance.Application.Tests</w:t>
        <w:br/>
        <w:t xml:space="preserve">    CustomsClearance.Api.Tests</w:t>
        <w:br/>
        <w:t xml:space="preserve">  /openapi        (Day 7 stubs — shipment.yaml, declaration.yaml, growing per service)</w:t>
        <w:br/>
        <w:t xml:space="preserve">  /adr            (this day's output, growing over time)</w:t>
        <w:br/>
      </w:r>
    </w:p>
    <w:p>
      <w:r>
        <w:rPr>
          <w:b w:val="0"/>
          <w:i/>
        </w:rPr>
        <w:t>This structure keeps Domain free of EF Core/infrastructure dependencies (so business rules are testable without a database), matches the Day-Wise Plan's Layer 1/2/3 separation exactly, and avoids one-project-per-bounded-context overhead that would slow a solo developer down without adding real value at this project stage.</w:t>
      </w:r>
    </w:p>
    <w:p>
      <w:pPr>
        <w:pStyle w:val="Heading1"/>
      </w:pPr>
      <w:r>
        <w:t>4. Coding Practices</w:t>
      </w:r>
    </w:p>
    <w:p>
      <w:pPr>
        <w:pStyle w:val="ListBullet"/>
      </w:pPr>
      <w:r>
        <w:t>Nullable reference types enabled solution-wide (&lt;Nullable&gt;enable&lt;/Nullable&gt;) — catches null-reference bugs at compile time, valuable given the volume of "Conditional"-required fields across the ER model (e.g. Commodity.DGFTLicenseRef, Party.GSTIN/IEC/PAN).</w:t>
      </w:r>
    </w:p>
    <w:p>
      <w:pPr>
        <w:pStyle w:val="ListBullet"/>
      </w:pPr>
      <w:r>
        <w:t>All public API request/response DTOs are C# records, not classes — immutability by default matches the PRD's versioning/audit principle (a DTO should not be mutated after being logged).</w:t>
      </w:r>
    </w:p>
    <w:p>
      <w:pPr>
        <w:pStyle w:val="ListBullet"/>
      </w:pPr>
      <w:r>
        <w:t>Domain entities use private setters with explicit methods for state transitions (e.g. Declaration.Submit(), not Declaration.Status = "Submitted") — encodes the lifecycle rules from the ER model directly into the type, preventing invalid state transitions at compile time rather than only at runtime validation.</w:t>
      </w:r>
    </w:p>
    <w:p>
      <w:pPr>
        <w:pStyle w:val="ListBullet"/>
      </w:pPr>
      <w:r>
        <w:t>All business rule violations throw a single DomainValidationException carrying a BusinessRuleCode (matching PRD BR-xxx IDs) — this is what the API layer catches and translates into the RFC 7807 error format (API Standards v1.0, Section 6), keeping the BR-code traceability from source through to the HTTP response.</w:t>
      </w:r>
    </w:p>
    <w:p>
      <w:pPr>
        <w:pStyle w:val="ListBullet"/>
      </w:pPr>
      <w:r>
        <w:t>No magic strings for enum-like values anywhere business logic touches them — always use C# enums or strongly-typed value objects (e.g. ClearanceType, not a raw string "FML").</w:t>
      </w:r>
    </w:p>
    <w:p>
      <w:pPr>
        <w:pStyle w:val="ListBullet"/>
      </w:pPr>
      <w:r>
        <w:t>EF Core: no lazy loading (explicit .Include() only) — predictable query behavior is more important than lazy-loading convenience at this platform's scale target (500,000 shipments/day).</w:t>
      </w:r>
    </w:p>
    <w:p>
      <w:pPr>
        <w:pStyle w:val="ListBullet"/>
      </w:pPr>
      <w:r>
        <w:t>All money fields are decimal, never float/double, per API Standards v1.0 Section 9 and ADR-0001's consequences.</w:t>
      </w:r>
    </w:p>
    <w:p>
      <w:pPr>
        <w:pStyle w:val="ListBullet"/>
      </w:pPr>
      <w:r>
        <w:t>All dates/times stored and passed between layers in UTC; conversion to IST happens only at the UI layer, per API Standards v1.0 Section 9.</w:t>
      </w:r>
    </w:p>
    <w:p>
      <w:pPr>
        <w:pStyle w:val="Heading1"/>
      </w:pPr>
      <w:r>
        <w:t>5. Testing Conventions</w:t>
      </w:r>
    </w:p>
    <w:p>
      <w:pPr>
        <w:pStyle w:val="ListBullet"/>
      </w:pPr>
      <w:r>
        <w:t>Test method naming: MethodName_Scenario_ExpectedBehavior (e.g. Submit_WhenPermitNotApproved_ThrowsDomainValidationException).</w:t>
      </w:r>
    </w:p>
    <w:p>
      <w:pPr>
        <w:pStyle w:val="ListBullet"/>
      </w:pPr>
      <w:r>
        <w:t>Domain and Application layer tests must not touch a real database — use in-memory fakes/mocks for repositories, consistent with the Day-Wise Plan's Phase 0 Layer 2 guidance ("Mock Database Tests").</w:t>
      </w:r>
    </w:p>
    <w:p>
      <w:pPr>
        <w:pStyle w:val="ListBullet"/>
      </w:pPr>
      <w:r>
        <w:t>Coverage targets, per the Phase-wise Plan v2 (already agreed): &gt;=95% for core business/rules logic (Segregation, Duty &amp; Tax, Declaration lifecycle, Rules Engine), &gt;=80% for CRUD-heavy master-data services.</w:t>
      </w:r>
    </w:p>
    <w:p>
      <w:pPr>
        <w:pStyle w:val="Heading1"/>
      </w:pPr>
      <w:r>
        <w:t>6. Traceability</w:t>
      </w:r>
    </w:p>
    <w:p>
      <w:r>
        <w:rPr>
          <w:b w:val="0"/>
          <w:i/>
        </w:rPr>
        <w:t>This deliverable satisfies Day 8 of the Day-Wise Plan: "Choose backend stack/framework, set naming/style conventions, create ADR template; write ADR-001 (stack choice), ADR-002 (rules-engine approach)." The stack choice itself was confirmed in conversation ahead of this day; ADR-0001 formalizes it, ADR-0002 formalizes the rules-engine approach already implied by the Day 3 data model and the Day 1 binding constraint.</w:t>
      </w:r>
    </w:p>
    <w:p>
      <w:r>
        <w:rPr>
          <w:b w:val="0"/>
          <w:i/>
        </w:rPr>
        <w:t>Next: Day 9 — Repository &amp; Branching Strategy: repo structure (mono-repo vs multi-repo), branching model, commit conventions, PR-to-self discipline for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