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9 Deliverable — Repository &amp; Branching Strategy</w:t>
      </w:r>
    </w:p>
    <w:p>
      <w:r>
        <w:rPr>
          <w:b/>
          <w:i w:val="0"/>
        </w:rPr>
        <w:t>Phase: Phase -1 (Architecture &amp; Engineering Preparation)</w:t>
      </w:r>
    </w:p>
    <w:p>
      <w:r>
        <w:rPr>
          <w:b w:val="0"/>
          <w:i w:val="0"/>
        </w:rPr>
        <w:t>Day: 9 of 20</w:t>
      </w:r>
    </w:p>
    <w:p>
      <w:r>
        <w:rPr>
          <w:b w:val="0"/>
          <w:i w:val="0"/>
        </w:rPr>
        <w:t>Trigger: user-supplied Repo_BranchingStrategy_NSPMV1.docx, analyzed and reconciled against prior decisions</w:t>
      </w:r>
    </w:p>
    <w:p>
      <w:r>
        <w:rPr>
          <w:b w:val="0"/>
          <w:i w:val="0"/>
        </w:rPr>
        <w:t>Deliverable per plan: Repo initialized with structure + CONTRIBUTING.md</w:t>
      </w:r>
    </w:p>
    <w:p>
      <w:r>
        <w:rPr>
          <w:b/>
          <w:i w:val="0"/>
        </w:rPr>
        <w:t>Status: scaffolding created and staged; NOT committed — awaiting your go-ahead on the first commit (no code written, only structure and docs).</w:t>
      </w:r>
    </w:p>
    <w:p>
      <w:pPr>
        <w:pStyle w:val="Heading1"/>
      </w:pPr>
      <w:r>
        <w:t>1. Analysis of Supplied Document</w:t>
      </w:r>
    </w:p>
    <w:p>
      <w:r>
        <w:rPr>
          <w:b w:val="0"/>
          <w:i w:val="0"/>
        </w:rPr>
        <w:t>Repo_BranchingStrategy_NSPMV1.docx recommended a Monorepo, Modular Monolith, Trunk-Based Development, Conventional Commits, mandatory PRs, and full CI/CD gating (its own draft "ADR-0010"). Each recommendation was evaluated against this project's already-locked decisions (ADR-0001, ADR-0002, Days 1-8) rather than adopted wholesale.</w:t>
      </w:r>
    </w:p>
    <w:p>
      <w:pPr>
        <w:pStyle w:val="Heading2"/>
      </w:pPr>
      <w:r>
        <w:t>1.1 Adopted As-Is</w:t>
      </w:r>
    </w:p>
    <w:p>
      <w:pPr>
        <w:pStyle w:val="ListBullet"/>
      </w:pPr>
      <w:r>
        <w:t>Monorepo over multi-repo — correct given 17 bounded contexts sharing a rules engine, event contracts, common libraries, and a single developer.</w:t>
      </w:r>
    </w:p>
    <w:p>
      <w:pPr>
        <w:pStyle w:val="ListBullet"/>
      </w:pPr>
      <w:r>
        <w:t>Trunk-Based Development, no GitFlow — right-sized for a solo/small team; long-lived develop/staging branches add merge overhead with no offsetting benefit here.</w:t>
      </w:r>
    </w:p>
    <w:p>
      <w:pPr>
        <w:pStyle w:val="ListBullet"/>
      </w:pPr>
      <w:r>
        <w:t>Conventional Commits — adopted verbatim.</w:t>
      </w:r>
    </w:p>
    <w:p>
      <w:pPr>
        <w:pStyle w:val="ListBullet"/>
      </w:pPr>
      <w:r>
        <w:t>Mandatory PR-to-self, even solo — already anticipated by the Day-Wise Plan's own Day 9 wording, and reinforced well by the supplied document's reasoning (permanent record of design intent, ADR linkage).</w:t>
      </w:r>
    </w:p>
    <w:p>
      <w:pPr>
        <w:pStyle w:val="ListBullet"/>
      </w:pPr>
      <w:r>
        <w:t>Semantic Versioning for releases — aligns with the unified versioning philosophy already locked in Day 6 v1.1.</w:t>
      </w:r>
    </w:p>
    <w:p>
      <w:pPr>
        <w:pStyle w:val="ListBullet"/>
      </w:pPr>
      <w:r>
        <w:t>Requirement traceability on every PR (PRD chapter / ADR / work item) — the single most valuable idea in the document, and directly serves this platform's audit requirements (PRD Ch.6.11/7.14/8.14).</w:t>
      </w:r>
    </w:p>
    <w:p>
      <w:pPr>
        <w:pStyle w:val="Heading2"/>
      </w:pPr>
      <w:r>
        <w:t>1.2 Adopted With Correction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Supplied Recommendation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Correction Made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Repo structure organized by architectural layer (implied structure could be read either way)</w:t>
            </w:r>
          </w:p>
        </w:tc>
        <w:tc>
          <w:tcPr>
            <w:tcW w:type="dxa" w:w="2880"/>
          </w:tcPr>
          <w:p>
            <w:r>
              <w:t>Bounded-context-first module structure (ShipmentManagement/, Declaration/, Duty/, etc.), each internally layered</w:t>
            </w:r>
          </w:p>
        </w:tc>
        <w:tc>
          <w:tcPr>
            <w:tcW w:type="dxa" w:w="2880"/>
          </w:tcPr>
          <w:p>
            <w:r>
              <w:t>This also corrects Day 8's own proposed layer-first single-Domain-project structure. A cross-context Domain project would mix 17 bounded contexts into one assembly, undermining the ownership boundaries established since Day 1.</w:t>
            </w:r>
          </w:p>
        </w:tc>
      </w:tr>
      <w:tr>
        <w:tc>
          <w:tcPr>
            <w:tcW w:type="dxa" w:w="2880"/>
          </w:tcPr>
          <w:p>
            <w:r>
              <w:t>Flyway for migration validation (in DoD and CI/CD sections)</w:t>
            </w:r>
          </w:p>
        </w:tc>
        <w:tc>
          <w:tcPr>
            <w:tcW w:type="dxa" w:w="2880"/>
          </w:tcPr>
          <w:p>
            <w:r>
              <w:t>EF Core Migrations</w:t>
            </w:r>
          </w:p>
        </w:tc>
        <w:tc>
          <w:tcPr>
            <w:tcW w:type="dxa" w:w="2880"/>
          </w:tcPr>
          <w:p>
            <w:r>
              <w:t>Conflicts with ADR-0001's binding constraint that EF Core is the sole data-access layer, chosen specifically for Postgres/SQL-Server portability. Two competing migration mechanisms would undermine that.</w:t>
            </w:r>
          </w:p>
        </w:tc>
      </w:tr>
      <w:tr>
        <w:tc>
          <w:tcPr>
            <w:tcW w:type="dxa" w:w="2880"/>
          </w:tcPr>
          <w:p>
            <w:r>
              <w:t>AsyncAPI validation mentioned in CI/CD, but no contract artifact previously planned</w:t>
            </w:r>
          </w:p>
        </w:tc>
        <w:tc>
          <w:tcPr>
            <w:tcW w:type="dxa" w:w="2880"/>
          </w:tcPr>
          <w:p>
            <w:r>
              <w:t>Adopted as a new asyncapi/ folder, populated context-by-context as events are implemented (not backfilled today)</w:t>
            </w:r>
          </w:p>
        </w:tc>
        <w:tc>
          <w:tcPr>
            <w:tcW w:type="dxa" w:w="2880"/>
          </w:tcPr>
          <w:p>
            <w:r>
              <w:t>A genuinely good idea not previously decided — gives the Day 5 event catalog the same machine-readable treatment as openapi/ (Day 7).</w:t>
            </w:r>
          </w:p>
        </w:tc>
      </w:tr>
      <w:tr>
        <w:tc>
          <w:tcPr>
            <w:tcW w:type="dxa" w:w="2880"/>
          </w:tcPr>
          <w:p>
            <w:r>
              <w:t>Ticket keys like SHIP-101 implying an external issue tracker (Jira-style)</w:t>
            </w:r>
          </w:p>
        </w:tc>
        <w:tc>
          <w:tcPr>
            <w:tcW w:type="dxa" w:w="2880"/>
          </w:tcPr>
          <w:p>
            <w:r>
              <w:t>Lightweight {CONTEXT-CODE}-{seq} keys logged in docs/WORK-ITEMS.md</w:t>
            </w:r>
          </w:p>
        </w:tc>
        <w:tc>
          <w:tcPr>
            <w:tcW w:type="dxa" w:w="2880"/>
          </w:tcPr>
          <w:p>
            <w:r>
              <w:t>No issue tracker exists for this 2-person project; a plain markdown log preserves the traceability benefit without external tooling overhead.</w:t>
            </w:r>
          </w:p>
        </w:tc>
      </w:tr>
    </w:tbl>
    <w:p/>
    <w:p>
      <w:pPr>
        <w:pStyle w:val="Heading2"/>
      </w:pPr>
      <w:r>
        <w:t>1.3 Deferred / Not Adopted</w:t>
      </w:r>
    </w:p>
    <w:p>
      <w:pPr>
        <w:pStyle w:val="ListBullet"/>
      </w:pPr>
      <w:r>
        <w:t>CODEOWNERS-based ownership by team — explicitly deferred; only one developer exists today. Revisit if the team grows.</w:t>
      </w:r>
    </w:p>
    <w:p>
      <w:pPr>
        <w:pStyle w:val="ListBullet"/>
      </w:pPr>
      <w:r>
        <w:t>Full CI/CD gate list (security scan, contract tests, etc.) as a Day 9 action — this correctly belongs to Phase 0, Days 11-15 (CI/CD &amp; Quality Gates) per the existing Day-Wise Plan; noted as forward input to that phase, not implemented today.</w:t>
      </w:r>
    </w:p>
    <w:p>
      <w:pPr>
        <w:pStyle w:val="Heading1"/>
      </w:pPr>
      <w:r>
        <w:t>2. Decision Record</w:t>
      </w:r>
    </w:p>
    <w:p>
      <w:r>
        <w:rPr>
          <w:b w:val="0"/>
          <w:i w:val="0"/>
        </w:rPr>
        <w:t>Formalized as adr/0003-repository-branching-delivery-strategy.md.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Monorepo</w:t>
            </w:r>
          </w:p>
        </w:tc>
      </w:tr>
      <w:tr>
        <w:tc>
          <w:tcPr>
            <w:tcW w:type="dxa" w:w="4320"/>
          </w:tcPr>
          <w:p>
            <w:r>
              <w:t>Structure</w:t>
            </w:r>
          </w:p>
        </w:tc>
        <w:tc>
          <w:tcPr>
            <w:tcW w:type="dxa" w:w="4320"/>
          </w:tcPr>
          <w:p>
            <w:r>
              <w:t>Modular Monolith, bounded-context-first</w:t>
            </w:r>
          </w:p>
        </w:tc>
      </w:tr>
      <w:tr>
        <w:tc>
          <w:tcPr>
            <w:tcW w:type="dxa" w:w="4320"/>
          </w:tcPr>
          <w:p>
            <w:r>
              <w:t>Branching</w:t>
            </w:r>
          </w:p>
        </w:tc>
        <w:tc>
          <w:tcPr>
            <w:tcW w:type="dxa" w:w="4320"/>
          </w:tcPr>
          <w:p>
            <w:r>
              <w:t>Trunk-Based Development, short-lived feature branches</w:t>
            </w:r>
          </w:p>
        </w:tc>
      </w:tr>
      <w:tr>
        <w:tc>
          <w:tcPr>
            <w:tcW w:type="dxa" w:w="4320"/>
          </w:tcPr>
          <w:p>
            <w:r>
              <w:t>Main branch</w:t>
            </w:r>
          </w:p>
        </w:tc>
        <w:tc>
          <w:tcPr>
            <w:tcW w:type="dxa" w:w="4320"/>
          </w:tcPr>
          <w:p>
            <w:r>
              <w:t>main, protected, always releasable</w:t>
            </w:r>
          </w:p>
        </w:tc>
      </w:tr>
      <w:tr>
        <w:tc>
          <w:tcPr>
            <w:tcW w:type="dxa" w:w="4320"/>
          </w:tcPr>
          <w:p>
            <w:r>
              <w:t>Branch naming</w:t>
            </w:r>
          </w:p>
        </w:tc>
        <w:tc>
          <w:tcPr>
            <w:tcW w:type="dxa" w:w="4320"/>
          </w:tcPr>
          <w:p>
            <w:r>
              <w:t>feature/{CONTEXT-CODE}-{seq}-{slug}, bugfix/, hotfix/, refactor/, spike/, docs/, test/</w:t>
            </w:r>
          </w:p>
        </w:tc>
      </w:tr>
      <w:tr>
        <w:tc>
          <w:tcPr>
            <w:tcW w:type="dxa" w:w="4320"/>
          </w:tcPr>
          <w:p>
            <w:r>
              <w:t>Work-item keys</w:t>
            </w:r>
          </w:p>
        </w:tc>
        <w:tc>
          <w:tcPr>
            <w:tcW w:type="dxa" w:w="4320"/>
          </w:tcPr>
          <w:p>
            <w:r>
              <w:t>Lightweight, logged in docs/WORK-ITEMS.md (no external tool)</w:t>
            </w:r>
          </w:p>
        </w:tc>
      </w:tr>
      <w:tr>
        <w:tc>
          <w:tcPr>
            <w:tcW w:type="dxa" w:w="4320"/>
          </w:tcPr>
          <w:p>
            <w:r>
              <w:t>Commits</w:t>
            </w:r>
          </w:p>
        </w:tc>
        <w:tc>
          <w:tcPr>
            <w:tcW w:type="dxa" w:w="4320"/>
          </w:tcPr>
          <w:p>
            <w:r>
              <w:t>Conventional Commits</w:t>
            </w:r>
          </w:p>
        </w:tc>
      </w:tr>
      <w:tr>
        <w:tc>
          <w:tcPr>
            <w:tcW w:type="dxa" w:w="4320"/>
          </w:tcPr>
          <w:p>
            <w:r>
              <w:t>Pull requests</w:t>
            </w:r>
          </w:p>
        </w:tc>
        <w:tc>
          <w:tcPr>
            <w:tcW w:type="dxa" w:w="4320"/>
          </w:tcPr>
          <w:p>
            <w:r>
              <w:t>Mandatory, including solo PR-to-self; template requires requirement linkage</w:t>
            </w:r>
          </w:p>
        </w:tc>
      </w:tr>
      <w:tr>
        <w:tc>
          <w:tcPr>
            <w:tcW w:type="dxa" w:w="4320"/>
          </w:tcPr>
          <w:p>
            <w:r>
              <w:t>Migrations</w:t>
            </w:r>
          </w:p>
        </w:tc>
        <w:tc>
          <w:tcPr>
            <w:tcW w:type="dxa" w:w="4320"/>
          </w:tcPr>
          <w:p>
            <w:r>
              <w:t>EF Core Migrations (not Flyway)</w:t>
            </w:r>
          </w:p>
        </w:tc>
      </w:tr>
      <w:tr>
        <w:tc>
          <w:tcPr>
            <w:tcW w:type="dxa" w:w="4320"/>
          </w:tcPr>
          <w:p>
            <w:r>
              <w:t>API contracts</w:t>
            </w:r>
          </w:p>
        </w:tc>
        <w:tc>
          <w:tcPr>
            <w:tcW w:type="dxa" w:w="4320"/>
          </w:tcPr>
          <w:p>
            <w:r>
              <w:t>openapi/ (REST, Day 7) + asyncapi/ (events, new)</w:t>
            </w:r>
          </w:p>
        </w:tc>
      </w:tr>
      <w:tr>
        <w:tc>
          <w:tcPr>
            <w:tcW w:type="dxa" w:w="4320"/>
          </w:tcPr>
          <w:p>
            <w:r>
              <w:t>Releases</w:t>
            </w:r>
          </w:p>
        </w:tc>
        <w:tc>
          <w:tcPr>
            <w:tcW w:type="dxa" w:w="4320"/>
          </w:tcPr>
          <w:p>
            <w:r>
              <w:t>Semantic Versioning vMAJOR.MINOR.PATCH</w:t>
            </w:r>
          </w:p>
        </w:tc>
      </w:tr>
      <w:tr>
        <w:tc>
          <w:tcPr>
            <w:tcW w:type="dxa" w:w="4320"/>
          </w:tcPr>
          <w:p>
            <w:r>
              <w:t>Code ownership</w:t>
            </w:r>
          </w:p>
        </w:tc>
        <w:tc>
          <w:tcPr>
            <w:tcW w:type="dxa" w:w="4320"/>
          </w:tcPr>
          <w:p>
            <w:r>
              <w:t>Shared (solo) for now; CODEOWNERS deferred</w:t>
            </w:r>
          </w:p>
        </w:tc>
      </w:tr>
      <w:tr>
        <w:tc>
          <w:tcPr>
            <w:tcW w:type="dxa" w:w="4320"/>
          </w:tcPr>
          <w:p>
            <w:r>
              <w:t>CI/CD gates</w:t>
            </w:r>
          </w:p>
        </w:tc>
        <w:tc>
          <w:tcPr>
            <w:tcW w:type="dxa" w:w="4320"/>
          </w:tcPr>
          <w:p>
            <w:r>
              <w:t>Deferred to Phase 0, Days 11-15</w:t>
            </w:r>
          </w:p>
        </w:tc>
      </w:tr>
    </w:tbl>
    <w:p/>
    <w:p>
      <w:pPr>
        <w:pStyle w:val="Heading1"/>
      </w:pPr>
      <w:r>
        <w:t>3. Scaffolding Produced (Structure Only — No Application Code)</w:t>
      </w:r>
    </w:p>
    <w:p>
      <w:r>
        <w:rPr>
          <w:b w:val="0"/>
          <w:i w:val="0"/>
        </w:rPr>
        <w:t>Per your confirmation, the physical scaffolding below was kept. It is entirely structural: empty module folders, documentation, and process files. No business logic, no application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/ Folder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Project overview, pointers to PRD/plan/ADRs, stack summary, structure summary</w:t>
            </w:r>
          </w:p>
        </w:tc>
      </w:tr>
      <w:tr>
        <w:tc>
          <w:tcPr>
            <w:tcW w:type="dxa" w:w="4320"/>
          </w:tcPr>
          <w:p>
            <w:r>
              <w:t>CONTRIBUTING.md</w:t>
            </w:r>
          </w:p>
        </w:tc>
        <w:tc>
          <w:tcPr>
            <w:tcW w:type="dxa" w:w="4320"/>
          </w:tcPr>
          <w:p>
            <w:r>
              <w:t>Branching, commit, PR, and Definition-of-Done rules from ADR-0003</w:t>
            </w:r>
          </w:p>
        </w:tc>
      </w:tr>
      <w:tr>
        <w:tc>
          <w:tcPr>
            <w:tcW w:type="dxa" w:w="4320"/>
          </w:tcPr>
          <w:p>
            <w:r>
              <w:t>.gitignore</w:t>
            </w:r>
          </w:p>
        </w:tc>
        <w:tc>
          <w:tcPr>
            <w:tcW w:type="dxa" w:w="4320"/>
          </w:tcPr>
          <w:p>
            <w:r>
              <w:t>.NET/EF Core-appropriate ignores</w:t>
            </w:r>
          </w:p>
        </w:tc>
      </w:tr>
      <w:tr>
        <w:tc>
          <w:tcPr>
            <w:tcW w:type="dxa" w:w="4320"/>
          </w:tcPr>
          <w:p>
            <w:r>
              <w:t>.github/pull_request_template.md</w:t>
            </w:r>
          </w:p>
        </w:tc>
        <w:tc>
          <w:tcPr>
            <w:tcW w:type="dxa" w:w="4320"/>
          </w:tcPr>
          <w:p>
            <w:r>
              <w:t>PR template enforcing requirement traceability, migration/contract checklists, reviewer checklist</w:t>
            </w:r>
          </w:p>
        </w:tc>
      </w:tr>
      <w:tr>
        <w:tc>
          <w:tcPr>
            <w:tcW w:type="dxa" w:w="4320"/>
          </w:tcPr>
          <w:p>
            <w:r>
              <w:t>docs/WORK-ITEMS.md</w:t>
            </w:r>
          </w:p>
        </w:tc>
        <w:tc>
          <w:tcPr>
            <w:tcW w:type="dxa" w:w="4320"/>
          </w:tcPr>
          <w:p>
            <w:r>
              <w:t>Lightweight work-item log (replaces external issue tracker)</w:t>
            </w:r>
          </w:p>
        </w:tc>
      </w:tr>
      <w:tr>
        <w:tc>
          <w:tcPr>
            <w:tcW w:type="dxa" w:w="4320"/>
          </w:tcPr>
          <w:p>
            <w:r>
              <w:t>docs/Architecture/, docs/C4/</w:t>
            </w:r>
          </w:p>
        </w:tc>
        <w:tc>
          <w:tcPr>
            <w:tcW w:type="dxa" w:w="4320"/>
          </w:tcPr>
          <w:p>
            <w:r>
              <w:t>Empty, reserved for future architecture diagrams</w:t>
            </w:r>
          </w:p>
        </w:tc>
      </w:tr>
      <w:tr>
        <w:tc>
          <w:tcPr>
            <w:tcW w:type="dxa" w:w="4320"/>
          </w:tcPr>
          <w:p>
            <w:r>
              <w:t>build/scripts/, infra/terraform|docker|kubernetes/</w:t>
            </w:r>
          </w:p>
        </w:tc>
        <w:tc>
          <w:tcPr>
            <w:tcW w:type="dxa" w:w="4320"/>
          </w:tcPr>
          <w:p>
            <w:r>
              <w:t>Empty, reserved for Phase 0 CI/CD and infra work (Days 11-13, 21)</w:t>
            </w:r>
          </w:p>
        </w:tc>
      </w:tr>
      <w:tr>
        <w:tc>
          <w:tcPr>
            <w:tcW w:type="dxa" w:w="4320"/>
          </w:tcPr>
          <w:p>
            <w:r>
              <w:t>src/{17 context folders}</w:t>
            </w:r>
          </w:p>
        </w:tc>
        <w:tc>
          <w:tcPr>
            <w:tcW w:type="dxa" w:w="4320"/>
          </w:tcPr>
          <w:p>
            <w:r>
              <w:t>Empty module folders, one per bounded context from Day 1/4 (Platform/ holds the shared Common/Security/Audit/Eventing/Workflow/RulesEngine/Notifications libraries)</w:t>
            </w:r>
          </w:p>
        </w:tc>
      </w:tr>
      <w:tr>
        <w:tc>
          <w:tcPr>
            <w:tcW w:type="dxa" w:w="4320"/>
          </w:tcPr>
          <w:p>
            <w:r>
              <w:t>src/ShipmentManagement/{Journey, TransportLeg, Tracking, ManifestAssociation, DeliveryMilestone}</w:t>
            </w:r>
          </w:p>
        </w:tc>
        <w:tc>
          <w:tcPr>
            <w:tcW w:type="dxa" w:w="4320"/>
          </w:tcPr>
          <w:p>
            <w:r>
              <w:t>Empty sub-module folders per the Multimodal Integration's sub-context recommendation</w:t>
            </w:r>
          </w:p>
        </w:tc>
      </w:tr>
      <w:tr>
        <w:tc>
          <w:tcPr>
            <w:tcW w:type="dxa" w:w="4320"/>
          </w:tcPr>
          <w:p>
            <w:r>
              <w:t>tests/{Unit, Integration, Contract, Performance, Security}</w:t>
            </w:r>
          </w:p>
        </w:tc>
        <w:tc>
          <w:tcPr>
            <w:tcW w:type="dxa" w:w="4320"/>
          </w:tcPr>
          <w:p>
            <w:r>
              <w:t>Empty, mirrors the testing categories from Day-Wise Plan Phase 0</w:t>
            </w:r>
          </w:p>
        </w:tc>
      </w:tr>
      <w:tr>
        <w:tc>
          <w:tcPr>
            <w:tcW w:type="dxa" w:w="4320"/>
          </w:tcPr>
          <w:p>
            <w:r>
              <w:t>asyncapi/</w:t>
            </w:r>
          </w:p>
        </w:tc>
        <w:tc>
          <w:tcPr>
            <w:tcW w:type="dxa" w:w="4320"/>
          </w:tcPr>
          <w:p>
            <w:r>
              <w:t>Empty, reserved for event contracts (new, per Section 1.2)</w:t>
            </w:r>
          </w:p>
        </w:tc>
      </w:tr>
      <w:tr>
        <w:tc>
          <w:tcPr>
            <w:tcW w:type="dxa" w:w="4320"/>
          </w:tcPr>
          <w:p>
            <w:r>
              <w:t>adr/0003-repository-branching-delivery-strategy.md</w:t>
            </w:r>
          </w:p>
        </w:tc>
        <w:tc>
          <w:tcPr>
            <w:tcW w:type="dxa" w:w="4320"/>
          </w:tcPr>
          <w:p>
            <w:r>
              <w:t>This decision, formalized</w:t>
            </w:r>
          </w:p>
        </w:tc>
      </w:tr>
    </w:tbl>
    <w:p/>
    <w:p>
      <w:r>
        <w:rPr>
          <w:b/>
          <w:i w:val="0"/>
        </w:rPr>
        <w:t>Git status: git init has been run and all files staged (git add -A). No commit has been made — that step is left to you, since committing is the point at which this becomes a permanent, shared history entry rather than working-directory state.</w:t>
      </w:r>
    </w:p>
    <w:p>
      <w:pPr>
        <w:pStyle w:val="Heading1"/>
      </w:pPr>
      <w:r>
        <w:t>4. Traceability</w:t>
      </w:r>
    </w:p>
    <w:p>
      <w:r>
        <w:rPr>
          <w:b w:val="0"/>
          <w:i/>
        </w:rPr>
        <w:t>This deliverable satisfies Day 9 of the Day-Wise Plan: "Set up repo structure (mono-repo vs multi-repo decision), branching model, commit conventions, PR/review checklist." Deliverable produced: repo scaffolding (structure only, no code) + CONTRIBUTING.md, per your explicit confirmation that Phase -1 remains documentation/architecture only.</w:t>
      </w:r>
    </w:p>
    <w:p>
      <w:r>
        <w:rPr>
          <w:b w:val="0"/>
          <w:i/>
        </w:rPr>
        <w:t>Next: Day 10 — Security &amp; Audit Standards (auth approach, field-level audit logging pattern, data-at-rest/in-transit encryption approach). This completes Phase -1, Week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