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Integration — Multimodal Shipment Journey Model (ER Diagram v1.1)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Trigger: Handle_multimodal_shipments_Analysis.docx (user-supplied architectural analysis)</w:t>
      </w:r>
    </w:p>
    <w:p>
      <w:r>
        <w:rPr>
          <w:b w:val="0"/>
          <w:i w:val="0"/>
        </w:rPr>
        <w:t>Jurisdiction: India (MVP)</w:t>
      </w:r>
    </w:p>
    <w:p>
      <w:r>
        <w:rPr>
          <w:b w:val="0"/>
          <w:i w:val="0"/>
        </w:rPr>
        <w:t>Supersedes: Day 4 ER Diagram v1.0</w:t>
      </w:r>
    </w:p>
    <w:p>
      <w:r>
        <w:rPr>
          <w:b w:val="0"/>
          <w:i w:val="0"/>
        </w:rPr>
        <w:t>Deliverable: ER Diagram v1.1 — Shipment Journey / Transport Leg model integrated, with impact assessment on Days 1–4</w:t>
      </w:r>
    </w:p>
    <w:p>
      <w:pPr>
        <w:pStyle w:val="Heading1"/>
      </w:pPr>
      <w:r>
        <w:t>1. Why This Is Being Folded In Now, Not Later</w:t>
      </w:r>
    </w:p>
    <w:p>
      <w:r>
        <w:rPr>
          <w:b w:val="0"/>
          <w:i w:val="0"/>
        </w:rPr>
        <w:t>The supplied analysis makes a correct and consequential point: Shipment.TransportMode (as modeled since Day 2) cannot represent real multimodal movements (Ocean→Road, Air→Road, Sea→Rail→Road, etc.) without degrading into unusable composite values like "Mode=Sea,Road". This is exactly the kind of decision the analysis itself flags as needing to happen before database/API design — it touches the canonical data model, event model, manifest architecture, and workflow orchestration all at once. Since Day 5 (bounded context interfaces / domain events) has not yet started, this is the correct point to absorb the change — one day later and the domain event catalog would have been built on the wrong shipment model.</w:t>
      </w:r>
    </w:p>
    <w:p>
      <w:pPr>
        <w:pStyle w:val="Heading1"/>
      </w:pPr>
      <w:r>
        <w:t>2. Core Decision</w:t>
      </w:r>
    </w:p>
    <w:p>
      <w:r>
        <w:rPr>
          <w:b w:val="0"/>
          <w:i w:val="0"/>
        </w:rPr>
        <w:t>Adopted as stated in the analysis: transport mode is not a property of Shipment. It is modeled as a sequence of Transport Legs within a Shipment Journey.</w:t>
      </w:r>
    </w:p>
    <w:p>
      <w:pPr>
        <w:pStyle w:val="ListBullet"/>
      </w:pPr>
      <w:r>
        <w:t>Shipment remains the commercial/business object — what is being shipped, to/for whom, what commodities, what documents.</w:t>
      </w:r>
    </w:p>
    <w:p>
      <w:pPr>
        <w:pStyle w:val="ListBullet"/>
      </w:pPr>
      <w:r>
        <w:t>Shipment Journey becomes the operational object — how the shipment physically moves, as a whole.</w:t>
      </w:r>
    </w:p>
    <w:p>
      <w:pPr>
        <w:pStyle w:val="ListBullet"/>
      </w:pPr>
      <w:r>
        <w:t>Transport Leg represents one physical movement segment (one mode, one carrier, one origin/destination pair) within the journey.</w:t>
      </w:r>
    </w:p>
    <w:p>
      <w:pPr>
        <w:pStyle w:val="ListBullet"/>
      </w:pPr>
      <w:r>
        <w:t>This directly reinforces, rather than contradicts, the Day 1 decision that "the Shipment domain shall be transport-mode agnostic" — that decision is now fully realized by removing TransportMode from Shipment entirely, instead of leaving it as a single-value attribute.</w:t>
      </w:r>
    </w:p>
    <w:p>
      <w:pPr>
        <w:pStyle w:val="Heading1"/>
      </w:pPr>
      <w:r>
        <w:t>3. Bounded Context Update</w:t>
      </w:r>
    </w:p>
    <w:p>
      <w:r>
        <w:rPr>
          <w:b w:val="0"/>
          <w:i w:val="0"/>
        </w:rPr>
        <w:t>Per the analysis's recommendation, Journey Management is introduced as a subdomain under Shipment Management (Day 1 context #1), not as a fully separate top-level context — it is operationally owned by the same team/service boundary as Shipment for MVP, mirroring the Permit/Compliance co-deployment pattern already established on Day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Sub-context (under #1 Shipment Management)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Journey Management</w:t>
            </w:r>
          </w:p>
        </w:tc>
        <w:tc>
          <w:tcPr>
            <w:tcW w:type="dxa" w:w="4320"/>
          </w:tcPr>
          <w:p>
            <w:r>
              <w:t>Owns the ShipmentJourney entity — the ordered sequence of legs for a shipment, overall journey status</w:t>
            </w:r>
          </w:p>
        </w:tc>
      </w:tr>
      <w:tr>
        <w:tc>
          <w:tcPr>
            <w:tcW w:type="dxa" w:w="4320"/>
          </w:tcPr>
          <w:p>
            <w:r>
              <w:t>Transport Leg Management</w:t>
            </w:r>
          </w:p>
        </w:tc>
        <w:tc>
          <w:tcPr>
            <w:tcW w:type="dxa" w:w="4320"/>
          </w:tcPr>
          <w:p>
            <w:r>
              <w:t>Owns TransportLeg entities — mode, carrier, vehicle/vessel/flight, origin/destination, ETD/ETA/ATD/ATA, leg status</w:t>
            </w:r>
          </w:p>
        </w:tc>
      </w:tr>
      <w:tr>
        <w:tc>
          <w:tcPr>
            <w:tcW w:type="dxa" w:w="4320"/>
          </w:tcPr>
          <w:p>
            <w:r>
              <w:t>Tracking Event Management</w:t>
            </w:r>
          </w:p>
        </w:tc>
        <w:tc>
          <w:tcPr>
            <w:tcW w:type="dxa" w:w="4320"/>
          </w:tcPr>
          <w:p>
            <w:r>
              <w:t>Owns leg-level and journey-level tracking events (e.g. "Leg 2 Arrived")</w:t>
            </w:r>
          </w:p>
        </w:tc>
      </w:tr>
      <w:tr>
        <w:tc>
          <w:tcPr>
            <w:tcW w:type="dxa" w:w="4320"/>
          </w:tcPr>
          <w:p>
            <w:r>
              <w:t>Manifest Association</w:t>
            </w:r>
          </w:p>
        </w:tc>
        <w:tc>
          <w:tcPr>
            <w:tcW w:type="dxa" w:w="4320"/>
          </w:tcPr>
          <w:p>
            <w:r>
              <w:t>Links Manifest (Day 4, context #17) to the specific Transport Leg it applies to, not to the Shipment as a whole</w:t>
            </w:r>
          </w:p>
        </w:tc>
      </w:tr>
      <w:tr>
        <w:tc>
          <w:tcPr>
            <w:tcW w:type="dxa" w:w="4320"/>
          </w:tcPr>
          <w:p>
            <w:r>
              <w:t>Package Management</w:t>
            </w:r>
          </w:p>
        </w:tc>
        <w:tc>
          <w:tcPr>
            <w:tcW w:type="dxa" w:w="4320"/>
          </w:tcPr>
          <w:p>
            <w:r>
              <w:t>Unchanged from Day 2 — remains a Shipment sub-entity</w:t>
            </w:r>
          </w:p>
        </w:tc>
      </w:tr>
      <w:tr>
        <w:tc>
          <w:tcPr>
            <w:tcW w:type="dxa" w:w="4320"/>
          </w:tcPr>
          <w:p>
            <w:r>
              <w:t>Delivery Milestone Management</w:t>
            </w:r>
          </w:p>
        </w:tc>
        <w:tc>
          <w:tcPr>
            <w:tcW w:type="dxa" w:w="4320"/>
          </w:tcPr>
          <w:p>
            <w:r>
              <w:t>Tracks journey-level delivery milestones distinct from leg-level tracking events</w:t>
            </w:r>
          </w:p>
        </w:tc>
      </w:tr>
    </w:tbl>
    <w:p/>
    <w:p>
      <w:r>
        <w:rPr>
          <w:b w:val="0"/>
          <w:i/>
        </w:rPr>
        <w:t>Bounded context count: unchanged at 17 top-level contexts (Day 4). Journey/Leg/Tracking/Manifest-Association/Milestone are sub-contexts within #1, consistent with the analysis's recommended structure, not new top-level entries.</w:t>
      </w:r>
    </w:p>
    <w:p>
      <w:pPr>
        <w:pStyle w:val="Heading1"/>
      </w:pPr>
      <w:r>
        <w:t>4. Entity Changes</w:t>
      </w:r>
    </w:p>
    <w:p>
      <w:pPr>
        <w:pStyle w:val="Heading2"/>
      </w:pPr>
      <w:r>
        <w:t>4.1 Shipment — Revised</w:t>
      </w:r>
    </w:p>
    <w:p>
      <w:r>
        <w:rPr>
          <w:b w:val="0"/>
          <w:i w:val="0"/>
        </w:rPr>
        <w:t>TransportMode, MAWB_BL_Number, HAWB_HBL_Number, Carrier, FlightVoyageNumber, ETA/ATA, PortOfLoading/PortOfDischarge are removed from Shipment and moved to TransportLeg, where they actually belong per leg. Shipment becomes simpler, per the analysis.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from Day 2</w:t>
            </w:r>
          </w:p>
        </w:tc>
      </w:tr>
      <w:tr>
        <w:tc>
          <w:tcPr>
            <w:tcW w:type="dxa" w:w="2160"/>
          </w:tcPr>
          <w:p>
            <w:r>
              <w:t>ShipmentId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ShipmentNumber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ShipmentDirection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JourneyId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NEW — replaces TransportMode; one active journey per shipment</w:t>
            </w:r>
          </w:p>
        </w:tc>
      </w:tr>
      <w:tr>
        <w:tc>
          <w:tcPr>
            <w:tcW w:type="dxa" w:w="2160"/>
          </w:tcPr>
          <w:p>
            <w:r>
              <w:t>CurrentLegId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NEW — denormalized pointer to the leg currently in progress, for fast "where is this shipment now" queries per the analysis's tracking rationale</w:t>
            </w:r>
          </w:p>
        </w:tc>
      </w:tr>
      <w:tr>
        <w:tc>
          <w:tcPr>
            <w:tcW w:type="dxa" w:w="2160"/>
          </w:tcPr>
          <w:p>
            <w:r>
              <w:t>CurrentStatus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 — shipment-level status (Draft, Downloaded, ... , Completed, Archived)</w:t>
            </w:r>
          </w:p>
        </w:tc>
      </w:tr>
      <w:tr>
        <w:tc>
          <w:tcPr>
            <w:tcW w:type="dxa" w:w="2160"/>
          </w:tcPr>
          <w:p>
            <w:r>
              <w:t>OriginCountry / DestinationCountry</w:t>
            </w:r>
          </w:p>
        </w:tc>
        <w:tc>
          <w:tcPr>
            <w:tcW w:type="dxa" w:w="2160"/>
          </w:tcPr>
          <w:p>
            <w:r>
              <w:t>Country Code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 — retained at Shipment level as the overall journey bookends, even though intermediate legs may pass through other countries</w:t>
            </w:r>
          </w:p>
        </w:tc>
      </w:tr>
      <w:tr>
        <w:tc>
          <w:tcPr>
            <w:tcW w:type="dxa" w:w="2160"/>
          </w:tcPr>
          <w:p>
            <w:r>
              <w:t>ServiceType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~~TransportMode~~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REMOVED — now an attribute of TransportLeg, not Shipment</w:t>
            </w:r>
          </w:p>
        </w:tc>
      </w:tr>
      <w:tr>
        <w:tc>
          <w:tcPr>
            <w:tcW w:type="dxa" w:w="2160"/>
          </w:tcPr>
          <w:p>
            <w:r>
              <w:t>~~MAWB_BL_Number / HAWB_HBL_Number / Carrier / FlightVoyageNumber / ETA/ATA / PortOfLoading/Discharge~~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REMOVED — all moved to TransportLeg (leg-specific, not shipment-wide)</w:t>
            </w:r>
          </w:p>
        </w:tc>
      </w:tr>
    </w:tbl>
    <w:p/>
    <w:p>
      <w:pPr>
        <w:pStyle w:val="Heading2"/>
      </w:pPr>
      <w:r>
        <w:t>4.2 New Entity: ShipmentJourney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JourneyId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System identifier</w:t>
            </w:r>
          </w:p>
        </w:tc>
      </w:tr>
      <w:tr>
        <w:tc>
          <w:tcPr>
            <w:tcW w:type="dxa" w:w="2160"/>
          </w:tcPr>
          <w:p>
            <w:r>
              <w:t>ShipmentId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One journey per shipment for MVP (1:1); analysis allows for journey re-planning, deferred beyond MVP</w:t>
            </w:r>
          </w:p>
        </w:tc>
      </w:tr>
      <w:tr>
        <w:tc>
          <w:tcPr>
            <w:tcW w:type="dxa" w:w="2160"/>
          </w:tcPr>
          <w:p>
            <w:r>
              <w:t>JourneyStatus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Planned, InProgress, Delivered, Exception</w:t>
            </w:r>
          </w:p>
        </w:tc>
      </w:tr>
      <w:tr>
        <w:tc>
          <w:tcPr>
            <w:tcW w:type="dxa" w:w="2160"/>
          </w:tcPr>
          <w:p>
            <w:r>
              <w:t>LegCount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Denormalized count for quick display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4.3 New Entity: TransportLeg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TransportLegId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System identifier</w:t>
            </w:r>
          </w:p>
        </w:tc>
      </w:tr>
      <w:tr>
        <w:tc>
          <w:tcPr>
            <w:tcW w:type="dxa" w:w="2160"/>
          </w:tcPr>
          <w:p>
            <w:r>
              <w:t>JourneyId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LegNumber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Sequence order within the journey (1, 2, 3, ...)</w:t>
            </w:r>
          </w:p>
        </w:tc>
      </w:tr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Air, Ocean, Road, Rail, InlandWaterway (future) — moved here from Shipment per the analysis</w:t>
            </w:r>
          </w:p>
        </w:tc>
      </w:tr>
      <w:tr>
        <w:tc>
          <w:tcPr>
            <w:tcW w:type="dxa" w:w="2160"/>
          </w:tcPr>
          <w:p>
            <w:r>
              <w:t>Carrier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VehicleVesselFlight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Vessel/voyage, flight number, or vehicle registration depending on Mode</w:t>
            </w:r>
          </w:p>
        </w:tc>
      </w:tr>
      <w:tr>
        <w:tc>
          <w:tcPr>
            <w:tcW w:type="dxa" w:w="2160"/>
          </w:tcPr>
          <w:p>
            <w:r>
              <w:t>ContainerRef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For Ocean legs; links to Container entity (future, per analysis's Container 0..N note)</w:t>
            </w:r>
          </w:p>
        </w:tc>
      </w:tr>
      <w:tr>
        <w:tc>
          <w:tcPr>
            <w:tcW w:type="dxa" w:w="2160"/>
          </w:tcPr>
          <w:p>
            <w:r>
              <w:t>MAWB_HAWB_or_BL_Number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  <w:tc>
          <w:tcPr>
            <w:tcW w:type="dxa" w:w="2160"/>
          </w:tcPr>
          <w:p>
            <w:r>
              <w:t>Transport document for this specific leg (moved from Shipment)</w:t>
            </w:r>
          </w:p>
        </w:tc>
      </w:tr>
      <w:tr>
        <w:tc>
          <w:tcPr>
            <w:tcW w:type="dxa" w:w="2160"/>
          </w:tcPr>
          <w:p>
            <w:r>
              <w:t>OriginLocation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e.g. Hamburg, Nhava Sheva, Bangalore ICD</w:t>
            </w:r>
          </w:p>
        </w:tc>
      </w:tr>
      <w:tr>
        <w:tc>
          <w:tcPr>
            <w:tcW w:type="dxa" w:w="2160"/>
          </w:tcPr>
          <w:p>
            <w:r>
              <w:t>DestinationLocation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ETD / ETA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 / No</w:t>
            </w:r>
          </w:p>
        </w:tc>
        <w:tc>
          <w:tcPr>
            <w:tcW w:type="dxa" w:w="2160"/>
          </w:tcPr>
          <w:p>
            <w:r>
              <w:t>Estimated departure/arrival</w:t>
            </w:r>
          </w:p>
        </w:tc>
      </w:tr>
      <w:tr>
        <w:tc>
          <w:tcPr>
            <w:tcW w:type="dxa" w:w="2160"/>
          </w:tcPr>
          <w:p>
            <w:r>
              <w:t>ATD / ATA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 / No</w:t>
            </w:r>
          </w:p>
        </w:tc>
        <w:tc>
          <w:tcPr>
            <w:tcW w:type="dxa" w:w="2160"/>
          </w:tcPr>
          <w:p>
            <w:r>
              <w:t>Actual departure/arrival</w:t>
            </w:r>
          </w:p>
        </w:tc>
      </w:tr>
      <w:tr>
        <w:tc>
          <w:tcPr>
            <w:tcW w:type="dxa" w:w="2160"/>
          </w:tcPr>
          <w:p>
            <w:r>
              <w:t>LegStatus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Planned, Departed, InTransit, Arrived, CustomsHold, Completed</w:t>
            </w:r>
          </w:p>
        </w:tc>
      </w:tr>
      <w:tr>
        <w:tc>
          <w:tcPr>
            <w:tcW w:type="dxa" w:w="2160"/>
          </w:tcPr>
          <w:p>
            <w:r>
              <w:t>CustomsClearanceRequired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True for the leg at which a customs boundary is actually crossed — per the analysis's customs-implications section, this is not necessarily every leg</w:t>
            </w:r>
          </w:p>
        </w:tc>
      </w:tr>
    </w:tbl>
    <w:p/>
    <w:p>
      <w:pPr>
        <w:pStyle w:val="Heading2"/>
      </w:pPr>
      <w:r>
        <w:t>4.4 Manifest — Revised (Day 4 entity, FK changed)</w:t>
      </w:r>
    </w:p>
    <w:p>
      <w:r>
        <w:rPr>
          <w:b w:val="0"/>
          <w:i w:val="0"/>
        </w:rPr>
        <w:t>Per the analysis: "Manifest belongs to a transport leg," not to the Shipment/CourierShipment directly as modeled on Day 4. This is a direct correction to the Day 4 v1.0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from Day 4</w:t>
            </w:r>
          </w:p>
        </w:tc>
      </w:tr>
      <w:tr>
        <w:tc>
          <w:tcPr>
            <w:tcW w:type="dxa" w:w="2160"/>
          </w:tcPr>
          <w:p>
            <w:r>
              <w:t>ManifestId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ManifestType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 (IGM, EGM, CourierManifest)</w:t>
            </w:r>
          </w:p>
        </w:tc>
      </w:tr>
      <w:tr>
        <w:tc>
          <w:tcPr>
            <w:tcW w:type="dxa" w:w="2160"/>
          </w:tcPr>
          <w:p>
            <w:r>
              <w:t>ManifestNumber / ManifestLineNumber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TransportLegId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CHANGED — was ShipmentId/CourierShipmentId (FK) on Day 4; now points to the specific TransportLeg the manifest was filed for (e.g. the Ocean leg has an Ocean Manifest; a later Road leg has its own Road Trip document, per the analysis)</w:t>
            </w:r>
          </w:p>
        </w:tc>
      </w:tr>
      <w:tr>
        <w:tc>
          <w:tcPr>
            <w:tcW w:type="dxa" w:w="2160"/>
          </w:tcPr>
          <w:p>
            <w:r>
              <w:t>FilingParty (FK to Party)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</w:tbl>
    <w:p/>
    <w:p>
      <w:pPr>
        <w:pStyle w:val="Heading2"/>
      </w:pPr>
      <w:r>
        <w:t>4.5 Declaration — Revised (Day 2/4 entity, FK addition)</w:t>
      </w:r>
    </w:p>
    <w:p>
      <w:r>
        <w:rPr>
          <w:b w:val="0"/>
          <w:i w:val="0"/>
        </w:rPr>
        <w:t>Per the analysis: "The customs declaration applies at Leg 1 Destination, not the whole journey." Declaration must reference the specific leg at which clearance occurs.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from Day 4</w:t>
            </w:r>
          </w:p>
        </w:tc>
      </w:tr>
      <w:tr>
        <w:tc>
          <w:tcPr>
            <w:tcW w:type="dxa" w:w="2160"/>
          </w:tcPr>
          <w:p>
            <w:r>
              <w:t>... all Day 2/Day 4 attributes unchanged ...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TransportLegId (FK)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NEW — the specific leg where customs clearance is being sought (the leg with CustomsClearanceRequired=true that this declaration corresponds to)</w:t>
            </w:r>
          </w:p>
        </w:tc>
      </w:tr>
      <w:tr>
        <w:tc>
          <w:tcPr>
            <w:tcW w:type="dxa" w:w="2160"/>
          </w:tcPr>
          <w:p>
            <w:r>
              <w:t>ShipmentId or CourierShipmentId (FK)</w:t>
            </w:r>
          </w:p>
        </w:tc>
        <w:tc>
          <w:tcPr>
            <w:tcW w:type="dxa" w:w="2160"/>
          </w:tcPr>
          <w:p>
            <w:r>
              <w:t>FK (one of)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Unchanged — Declaration still belongs to the overall Shipment/CourierShipment, in addition to the specific leg</w:t>
            </w:r>
          </w:p>
        </w:tc>
      </w:tr>
    </w:tbl>
    <w:p/>
    <w:p>
      <w:pPr>
        <w:pStyle w:val="Heading2"/>
      </w:pPr>
      <w:r>
        <w:t>4.6 CourierShipment — Revised</w:t>
      </w:r>
    </w:p>
    <w:p>
      <w:r>
        <w:rPr>
          <w:b w:val="0"/>
          <w:i w:val="0"/>
        </w:rPr>
        <w:t>Same journey/leg model applies uniformly. The analysis's own courier example (Hong Kong –Air– Delhi Hub –Road– Customer) is a two-leg journey, confirming CourierShipment needs a JourneyId exactly like Shipment does.</w:t>
      </w:r>
    </w:p>
    <w:p>
      <w:pPr>
        <w:pStyle w:val="ListBullet"/>
      </w:pPr>
      <w:r>
        <w:t>CourierShipment gains JourneyId (FK) and CurrentLegId (FK), identical in structure to the Shipment changes in Section 4.1.</w:t>
      </w:r>
    </w:p>
    <w:p>
      <w:pPr>
        <w:pStyle w:val="ListBullet"/>
      </w:pPr>
      <w:r>
        <w:t>No other Day 2 CourierShipment attributes change — ImportPurpose, ImporterType, DeclaredValue remain, since these are commercial-object attributes, not transport attributes, consistent with the analysis's separation of concerns.</w:t>
      </w:r>
    </w:p>
    <w:p>
      <w:pPr>
        <w:pStyle w:val="Heading1"/>
      </w:pPr>
      <w:r>
        <w:t>5. ER Diagram v1.1 (Consolidated)</w:t>
      </w:r>
    </w:p>
    <w:p>
      <w:r>
        <w:rPr>
          <w:rFonts w:ascii="Consolas" w:hAnsi="Consolas"/>
          <w:sz w:val="18"/>
        </w:rPr>
        <w:br/>
        <w:t xml:space="preserve">   +----------------+       +------------------------+</w:t>
        <w:br/>
        <w:t xml:space="preserve">   |     Party      |&lt;-----&gt;| Shipment / CourierShip- |</w:t>
        <w:br/>
        <w:t xml:space="preserve">   +----------------+       | ment (commercial object)|</w:t>
        <w:br/>
        <w:t xml:space="preserve">                             |------------------------|</w:t>
        <w:br/>
        <w:t xml:space="preserve">                             | ShipmentId (PK)        |</w:t>
        <w:br/>
        <w:t xml:space="preserve">                             | JourneyId (FK)  &lt;---NEW-+---+</w:t>
        <w:br/>
        <w:t xml:space="preserve">                             | CurrentLegId (FK) NEW   |   |</w:t>
        <w:br/>
        <w:t xml:space="preserve">                             | CurrentStatus           |   |</w:t>
        <w:br/>
        <w:t xml:space="preserve">                             | (TransportMode REMOVED) |   |</w:t>
        <w:br/>
        <w:t xml:space="preserve">                             +-----------+-------------+   |</w:t>
        <w:br/>
        <w:t xml:space="preserve">                                         | (1)              |</w:t>
        <w:br/>
        <w:t xml:space="preserve">                                         v (N)               |</w:t>
        <w:br/>
        <w:t xml:space="preserve">                             +------------------+            |</w:t>
        <w:br/>
        <w:t xml:space="preserve">                             |    Commodity     |            |</w:t>
        <w:br/>
        <w:t xml:space="preserve">                             +--------+---------+            |</w:t>
        <w:br/>
        <w:t xml:space="preserve">                                      | (N)                  |</w:t>
        <w:br/>
        <w:t xml:space="preserve">                                      v                       |</w:t>
        <w:br/>
        <w:t xml:space="preserve">                        +--------------------------+          |</w:t>
        <w:br/>
        <w:t xml:space="preserve">                        | DeclarationCommodityLine  |          |</w:t>
        <w:br/>
        <w:t xml:space="preserve">                        +-------------+--------------+         |</w:t>
        <w:br/>
        <w:t xml:space="preserve">                                      | (N)                    |</w:t>
        <w:br/>
        <w:t xml:space="preserve">                                      v (1)                     |</w:t>
        <w:br/>
        <w:t xml:space="preserve">                        +----------------------------------+    |</w:t>
        <w:br/>
        <w:t xml:space="preserve">                        |          Declaration              |    |</w:t>
        <w:br/>
        <w:t xml:space="preserve">                        |------------------------------------|   |</w:t>
        <w:br/>
        <w:t xml:space="preserve">                        | ShipmentId/CourierShipmentId (FK) |   |</w:t>
        <w:br/>
        <w:t xml:space="preserve">                        | TransportLegId (FK)  &lt;--- NEW ----+---+---+</w:t>
        <w:br/>
        <w:t xml:space="preserve">                        | CT / CUS / RAT / MAN (derived)    |   |   |</w:t>
        <w:br/>
        <w:t xml:space="preserve">                        | ManifestId + ManifestLineNumber   |   |   |</w:t>
        <w:br/>
        <w:t xml:space="preserve">                        +-------------------+------------------+   |   |</w:t>
        <w:br/>
        <w:t xml:space="preserve">                                            |                       |   |</w:t>
        <w:br/>
        <w:t xml:space="preserve">              +-----------------------------+----+                  |   |</w:t>
        <w:br/>
        <w:t xml:space="preserve">              v                                  v                  |   |</w:t>
        <w:br/>
        <w:t xml:space="preserve">     +----------------+   +------------------+  +------------------+ |   |</w:t>
        <w:br/>
        <w:t xml:space="preserve">     |    Charge      |   |     Permit       |  | ShipmentIndicator| |   |</w:t>
        <w:br/>
        <w:t xml:space="preserve">     +----------------+   +------------------+  +------------------+ |   |</w:t>
        <w:br/>
        <w:t xml:space="preserve">                                                                       |   |</w:t>
        <w:br/>
        <w:t xml:space="preserve">   +---------------------------+                                       |   |</w:t>
        <w:br/>
        <w:t xml:space="preserve">   |     ShipmentJourney       |&lt;--------------------------------------+   |</w:t>
        <w:br/>
        <w:t xml:space="preserve">   |----------------------------|                                          |</w:t>
        <w:br/>
        <w:t xml:space="preserve">   | JourneyId (PK)              |                                         |</w:t>
        <w:br/>
        <w:t xml:space="preserve">   | ShipmentId (FK, 1:1 for MVP)|                                         |</w:t>
        <w:br/>
        <w:t xml:space="preserve">   | JourneyStatus                |                                        |</w:t>
        <w:br/>
        <w:t xml:space="preserve">   +-------------+-----------------+                                       |</w:t>
        <w:br/>
        <w:t xml:space="preserve">                 | (1)                                                     |</w:t>
        <w:br/>
        <w:t xml:space="preserve">                 v (N)                                                    |</w:t>
        <w:br/>
        <w:t xml:space="preserve">   +----------------------------------+                                    |</w:t>
        <w:br/>
        <w:t xml:space="preserve">   |          TransportLeg             |&lt;-----------------------------------+</w:t>
        <w:br/>
        <w:t xml:space="preserve">   |------------------------------------|</w:t>
        <w:br/>
        <w:t xml:space="preserve">   | TransportLegId (PK)                 |</w:t>
        <w:br/>
        <w:t xml:space="preserve">   | LegNumber (sequence)                 |</w:t>
        <w:br/>
        <w:t xml:space="preserve">   | Mode (Air/Ocean/Road/Rail)  &lt;-- moved here from Shipment</w:t>
        <w:br/>
        <w:t xml:space="preserve">   | Origin / Destination                  |</w:t>
        <w:br/>
        <w:t xml:space="preserve">   | ETD/ETA/ATD/ATA                        |</w:t>
        <w:br/>
        <w:t xml:space="preserve">   | CustomsClearanceRequired               |</w:t>
        <w:br/>
        <w:t xml:space="preserve">   +-------------------+---------------------+</w:t>
        <w:br/>
        <w:t xml:space="preserve">                       | (1)</w:t>
        <w:br/>
        <w:t xml:space="preserve">                       v (0..1)</w:t>
        <w:br/>
        <w:t xml:space="preserve">             +------------------------+</w:t>
        <w:br/>
        <w:t xml:space="preserve">             |        Manifest         |</w:t>
        <w:br/>
        <w:t xml:space="preserve">             |  (Day 4 entity, FK      |</w:t>
        <w:br/>
        <w:t xml:space="preserve">             |   changed: now points   |</w:t>
        <w:br/>
        <w:t xml:space="preserve">             |   to TransportLeg,      |</w:t>
        <w:br/>
        <w:t xml:space="preserve">             |   not Shipment)         |</w:t>
        <w:br/>
        <w:t xml:space="preserve">             +------------------------+</w:t>
        <w:br/>
        <w:br/>
        <w:t xml:space="preserve">   (Rule / RuleVersion / RuleCondition / DecisionTrace from Day 3</w:t>
        <w:br/>
        <w:t xml:space="preserve">    unaffected by this change — Segregation Engine facts can now</w:t>
        <w:br/>
        <w:t xml:space="preserve">    additionally read TransportLeg.Mode per-leg if needed, but no</w:t>
        <w:br/>
        <w:t xml:space="preserve">    schema change required there.)</w:t>
        <w:br/>
      </w:r>
    </w:p>
    <w:p>
      <w:pPr>
        <w:pStyle w:val="Heading1"/>
      </w:pPr>
      <w:r>
        <w:t>6. Impact Assessment on Prior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 Taken</w:t>
            </w:r>
          </w:p>
        </w:tc>
      </w:tr>
      <w:tr>
        <w:tc>
          <w:tcPr>
            <w:tcW w:type="dxa" w:w="2880"/>
          </w:tcPr>
          <w:p>
            <w:r>
              <w:t>Day 1 — Bounded Context Map v2</w:t>
            </w:r>
          </w:p>
        </w:tc>
        <w:tc>
          <w:tcPr>
            <w:tcW w:type="dxa" w:w="2880"/>
          </w:tcPr>
          <w:p>
            <w:r>
              <w:t>Low — reinforces existing "transport-mode agnostic" decision; adds sub-contexts under #1</w:t>
            </w:r>
          </w:p>
        </w:tc>
        <w:tc>
          <w:tcPr>
            <w:tcW w:type="dxa" w:w="2880"/>
          </w:tcPr>
          <w:p>
            <w:r>
              <w:t>Sub-context table added (Section 3); no renumbering of the 17 top-level contexts needed</w:t>
            </w:r>
          </w:p>
        </w:tc>
      </w:tr>
      <w:tr>
        <w:tc>
          <w:tcPr>
            <w:tcW w:type="dxa" w:w="2880"/>
          </w:tcPr>
          <w:p>
            <w:r>
              <w:t>Day 2 — ER Diagram v0.1</w:t>
            </w:r>
          </w:p>
        </w:tc>
        <w:tc>
          <w:tcPr>
            <w:tcW w:type="dxa" w:w="2880"/>
          </w:tcPr>
          <w:p>
            <w:r>
              <w:t>High — Shipment and CourierShipment entities change materially (TransportMode and leg-specific fields removed)</w:t>
            </w:r>
          </w:p>
        </w:tc>
        <w:tc>
          <w:tcPr>
            <w:tcW w:type="dxa" w:w="2880"/>
          </w:tcPr>
          <w:p>
            <w:r>
              <w:t>Superseded by Section 4.1/4.6 above</w:t>
            </w:r>
          </w:p>
        </w:tc>
      </w:tr>
      <w:tr>
        <w:tc>
          <w:tcPr>
            <w:tcW w:type="dxa" w:w="2880"/>
          </w:tcPr>
          <w:p>
            <w:r>
              <w:t>Day 3 — ER Diagram v0.2</w:t>
            </w:r>
          </w:p>
        </w:tc>
        <w:tc>
          <w:tcPr>
            <w:tcW w:type="dxa" w:w="2880"/>
          </w:tcPr>
          <w:p>
            <w:r>
              <w:t>None — Charge/Permit/ShipmentIndicator/Rules entities unaffected structurally</w:t>
            </w:r>
          </w:p>
        </w:tc>
        <w:tc>
          <w:tcPr>
            <w:tcW w:type="dxa" w:w="2880"/>
          </w:tcPr>
          <w:p>
            <w:r>
              <w:t>No change required</w:t>
            </w:r>
          </w:p>
        </w:tc>
      </w:tr>
      <w:tr>
        <w:tc>
          <w:tcPr>
            <w:tcW w:type="dxa" w:w="2880"/>
          </w:tcPr>
          <w:p>
            <w:r>
              <w:t>Day 4 — ER Diagram v1.0 (Manifest)</w:t>
            </w:r>
          </w:p>
        </w:tc>
        <w:tc>
          <w:tcPr>
            <w:tcW w:type="dxa" w:w="2880"/>
          </w:tcPr>
          <w:p>
            <w:r>
              <w:t>High — Manifest.FK changes from Shipment/CourierShipment to TransportLeg; Declaration gains TransportLegId</w:t>
            </w:r>
          </w:p>
        </w:tc>
        <w:tc>
          <w:tcPr>
            <w:tcW w:type="dxa" w:w="2880"/>
          </w:tcPr>
          <w:p>
            <w:r>
              <w:t>Superseded by Section 4.4/4.5 above</w:t>
            </w:r>
          </w:p>
        </w:tc>
      </w:tr>
      <w:tr>
        <w:tc>
          <w:tcPr>
            <w:tcW w:type="dxa" w:w="2880"/>
          </w:tcPr>
          <w:p>
            <w:r>
              <w:t>Day 4 Scenario A/B walkthroughs</w:t>
            </w:r>
          </w:p>
        </w:tc>
        <w:tc>
          <w:tcPr>
            <w:tcW w:type="dxa" w:w="2880"/>
          </w:tcPr>
          <w:p>
            <w:r>
              <w:t>Both scenarios remain valid narratively but should be re-walked against v1.1 to confirm leg-level manifest/declaration linkage — recommend as a short Day 5 pre-check before starting bounded-context interfaces</w:t>
            </w:r>
          </w:p>
        </w:tc>
        <w:tc>
          <w:tcPr>
            <w:tcW w:type="dxa" w:w="2880"/>
          </w:tcPr>
          <w:p>
            <w:r>
              <w:t>Flagged as action item, Section 8</w:t>
            </w:r>
          </w:p>
        </w:tc>
      </w:tr>
    </w:tbl>
    <w:p/>
    <w:p>
      <w:pPr>
        <w:pStyle w:val="Heading1"/>
      </w:pPr>
      <w:r>
        <w:t>7. Why This Does Not Destabilize the Rules/Segregation Model</w:t>
      </w:r>
    </w:p>
    <w:p>
      <w:r>
        <w:rPr>
          <w:b w:val="0"/>
          <w:i w:val="0"/>
        </w:rPr>
        <w:t>The Day 3 Rules &amp; Segregation model (Rule/RuleVersion/RuleCondition/DecisionTrace) was deliberately built with an extensible FactName enum (Day 3, Section 5.3) rather than hardcoded shipment fields. Adding TransportLeg.Mode as an available fact (in place of the old Shipment.TransportMode) is a data-source change, not a schema change — confirming the Day 3 design choice to keep facts abstracted from entity structure was the right call.</w:t>
      </w:r>
    </w:p>
    <w:p>
      <w:pPr>
        <w:pStyle w:val="Heading1"/>
      </w:pPr>
      <w:r>
        <w:t>8. Action Items Before Day 5</w:t>
      </w:r>
    </w:p>
    <w:p>
      <w:pPr>
        <w:pStyle w:val="ListBullet"/>
      </w:pPr>
      <w:r>
        <w:t>Re-walk Scenario A (formal cargo) and Scenario B (courier) from Day 4 against the v1.1 model to confirm leg-level Manifest and Declaration linkage works end-to-end — quick re-validation, not a full new scenario design.</w:t>
      </w:r>
    </w:p>
    <w:p>
      <w:pPr>
        <w:pStyle w:val="ListBullet"/>
      </w:pPr>
      <w:r>
        <w:t>Confirm MVP assumption of 1:1 Shipment-to-Journey (no re-planning/re-routing support in V1) — the analysis allows for this simplification implicitly by not addressing journey mutation; flagging so it is an explicit, not accidental, scope decision.</w:t>
      </w:r>
    </w:p>
    <w:p>
      <w:pPr>
        <w:pStyle w:val="ListBullet"/>
      </w:pPr>
      <w:r>
        <w:t>Confirm whether Container (mentioned in the analysis as a future entity, 0..N per leg) should be stubbed now or fully deferred — recommend fully deferred, since no current India MVP scenario requires container-level tracking beyond the ContainerRef string field already added to TransportLeg.</w:t>
      </w:r>
    </w:p>
    <w:p>
      <w:pPr>
        <w:pStyle w:val="Heading1"/>
      </w:pPr>
      <w:r>
        <w:t>9. Traceability</w:t>
      </w:r>
    </w:p>
    <w:p>
      <w:r>
        <w:rPr>
          <w:b w:val="0"/>
          <w:i/>
        </w:rPr>
        <w:t>This deliverable integrates Handle_multimodal_shipments_Analysis.docx into the canonical data model before Day 5 (Bounded Context Interfaces) begins, per the analysis's own recommendation that this decision "should absolutely be made before any database or APIs are designed." Deliverable produced: ER Diagram v1.1, above, superseding Day 4's v1.0.</w:t>
      </w:r>
    </w:p>
    <w:p>
      <w:r>
        <w:rPr>
          <w:b w:val="0"/>
          <w:i/>
        </w:rPr>
        <w:t>Next: Day 5 — Bounded Context Interfaces, now built against the v1.1 model including ShipmentJourney and TransportLeg as first-class entities within the Shipment Management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