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14 Deliverable — Test Automation Scaffolding</w:t>
      </w:r>
    </w:p>
    <w:p>
      <w:r>
        <w:rPr>
          <w:b/>
          <w:i w:val="0"/>
        </w:rPr>
        <w:t>Phase: Phase -1 (Architecture &amp; Engineering Preparation), Week 3</w:t>
      </w:r>
    </w:p>
    <w:p>
      <w:r>
        <w:rPr>
          <w:b w:val="0"/>
          <w:i w:val="0"/>
        </w:rPr>
        <w:t>Day: 14 of 20</w:t>
      </w:r>
    </w:p>
    <w:p>
      <w:r>
        <w:rPr>
          <w:b w:val="0"/>
          <w:i w:val="0"/>
        </w:rPr>
        <w:t>Deliverable per plan: Test scaffolding with one passing sample test per layer</w:t>
      </w:r>
    </w:p>
    <w:p>
      <w:r>
        <w:rPr>
          <w:b w:val="0"/>
          <w:i w:val="0"/>
        </w:rPr>
        <w:t>Companion: adr/0009-test-automation-scaffolding.md</w:t>
      </w:r>
    </w:p>
    <w:p>
      <w:pPr>
        <w:pStyle w:val="Heading1"/>
      </w:pPr>
      <w:r>
        <w:t>1. Three Test Layers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Framework</w:t>
            </w:r>
          </w:p>
        </w:tc>
        <w:tc>
          <w:tcPr>
            <w:tcW w:type="dxa" w:w="1728"/>
          </w:tcPr>
          <w:p>
            <w:r>
              <w:rPr>
                <w:b/>
              </w:rPr>
              <w:t>Scope</w:t>
            </w:r>
          </w:p>
        </w:tc>
        <w:tc>
          <w:tcPr>
            <w:tcW w:type="dxa" w:w="1728"/>
          </w:tcPr>
          <w:p>
            <w:r>
              <w:rPr>
                <w:b/>
              </w:rPr>
              <w:t>Script</w:t>
            </w:r>
          </w:p>
        </w:tc>
        <w:tc>
          <w:tcPr>
            <w:tcW w:type="dxa" w:w="1728"/>
          </w:tcPr>
          <w:p>
            <w:r>
              <w:rPr>
                <w:b/>
              </w:rPr>
              <w:t>Coverage Gate?</w:t>
            </w:r>
          </w:p>
        </w:tc>
      </w:tr>
      <w:tr>
        <w:tc>
          <w:tcPr>
            <w:tcW w:type="dxa" w:w="1728"/>
          </w:tcPr>
          <w:p>
            <w:r>
              <w:t>Unit</w:t>
            </w:r>
          </w:p>
        </w:tc>
        <w:tc>
          <w:tcPr>
            <w:tcW w:type="dxa" w:w="1728"/>
          </w:tcPr>
          <w:p>
            <w:r>
              <w:t>xUnit + coverlet.msbuild</w:t>
            </w:r>
          </w:p>
        </w:tc>
        <w:tc>
          <w:tcPr>
            <w:tcW w:type="dxa" w:w="1728"/>
          </w:tcPr>
          <w:p>
            <w:r>
              <w:t>tests/Unit/** only</w:t>
            </w:r>
          </w:p>
        </w:tc>
        <w:tc>
          <w:tcPr>
            <w:tcW w:type="dxa" w:w="1728"/>
          </w:tcPr>
          <w:p>
            <w:r>
              <w:t>build/scripts/test.sh</w:t>
            </w:r>
          </w:p>
        </w:tc>
        <w:tc>
          <w:tcPr>
            <w:tcW w:type="dxa" w:w="1728"/>
          </w:tcPr>
          <w:p>
            <w:r>
              <w:t>Yes (95%/80%, ADR-0007)</w:t>
            </w:r>
          </w:p>
        </w:tc>
      </w:tr>
      <w:tr>
        <w:tc>
          <w:tcPr>
            <w:tcW w:type="dxa" w:w="1728"/>
          </w:tcPr>
          <w:p>
            <w:r>
              <w:t>Integration</w:t>
            </w:r>
          </w:p>
        </w:tc>
        <w:tc>
          <w:tcPr>
            <w:tcW w:type="dxa" w:w="1728"/>
          </w:tcPr>
          <w:p>
            <w:r>
              <w:t>xUnit + WebApplicationFactory&lt;Program&gt;</w:t>
            </w:r>
          </w:p>
        </w:tc>
        <w:tc>
          <w:tcPr>
            <w:tcW w:type="dxa" w:w="1728"/>
          </w:tcPr>
          <w:p>
            <w:r>
              <w:t>tests/Integration/** only, in-process</w:t>
            </w:r>
          </w:p>
        </w:tc>
        <w:tc>
          <w:tcPr>
            <w:tcW w:type="dxa" w:w="1728"/>
          </w:tcPr>
          <w:p>
            <w:r>
              <w:t>build/scripts/integration-test.sh</w:t>
            </w:r>
          </w:p>
        </w:tc>
        <w:tc>
          <w:tcPr>
            <w:tcW w:type="dxa" w:w="1728"/>
          </w:tcPr>
          <w:p>
            <w:r>
              <w:t>No</w:t>
            </w:r>
          </w:p>
        </w:tc>
      </w:tr>
      <w:tr>
        <w:tc>
          <w:tcPr>
            <w:tcW w:type="dxa" w:w="1728"/>
          </w:tcPr>
          <w:p>
            <w:r>
              <w:t>API Contract</w:t>
            </w:r>
          </w:p>
        </w:tc>
        <w:tc>
          <w:tcPr>
            <w:tcW w:type="dxa" w:w="1728"/>
          </w:tcPr>
          <w:p>
            <w:r>
              <w:t>Postman collection via Newman (npx)</w:t>
            </w:r>
          </w:p>
        </w:tc>
        <w:tc>
          <w:tcPr>
            <w:tcW w:type="dxa" w:w="1728"/>
          </w:tcPr>
          <w:p>
            <w:r>
              <w:t>Black-box over real HTTP, against docker-compose dev environment</w:t>
            </w:r>
          </w:p>
        </w:tc>
        <w:tc>
          <w:tcPr>
            <w:tcW w:type="dxa" w:w="1728"/>
          </w:tcPr>
          <w:p>
            <w:r>
              <w:t>build/scripts/contract-test.sh</w:t>
            </w:r>
          </w:p>
        </w:tc>
        <w:tc>
          <w:tcPr>
            <w:tcW w:type="dxa" w:w="1728"/>
          </w:tcPr>
          <w:p>
            <w:r>
              <w:t>No</w:t>
            </w:r>
          </w:p>
        </w:tc>
      </w:tr>
    </w:tbl>
    <w:p/>
    <w:p>
      <w:pPr>
        <w:pStyle w:val="Heading1"/>
      </w:pPr>
      <w:r>
        <w:t>2. What Was Built</w:t>
      </w:r>
    </w:p>
    <w:p>
      <w:pPr>
        <w:pStyle w:val="ListBullet"/>
      </w:pPr>
      <w:r>
        <w:t>src/Api/ gained a real ASP.NET Core host reference used by the integration layer (already existed from Day 13); one new test project, tests/Integration/Api.IntegrationTests, with a single passing test asserting /health returns 200 and the expected JSON body via WebApplicationFactory&lt;Program&gt;.</w:t>
      </w:r>
    </w:p>
    <w:p>
      <w:pPr>
        <w:pStyle w:val="ListBullet"/>
      </w:pPr>
      <w:r>
        <w:t>postman/CustomsClearance.postman_collection.json + CustomsClearance.postman_environment.json — one request (GET /health) with three assertions (status code, content-type header, response body fields).</w:t>
      </w:r>
    </w:p>
    <w:p>
      <w:pPr>
        <w:pStyle w:val="ListBullet"/>
      </w:pPr>
      <w:r>
        <w:t>build/scripts/integration-test.sh and build/scripts/contract-test.sh — new portable scripts, following the same pattern as build.sh/lint.sh/test.sh/smoke-test.sh.</w:t>
      </w:r>
    </w:p>
    <w:p>
      <w:pPr>
        <w:pStyle w:val="ListBullet"/>
      </w:pPr>
      <w:r>
        <w:t>build/scripts/test.sh was corrected to explicitly scope to tests/Unit/*/*.csproj (previously an unscoped dotnet test would have silently swept the new integration project into the unit+coverage job).</w:t>
      </w:r>
    </w:p>
    <w:p>
      <w:pPr>
        <w:pStyle w:val="Heading1"/>
      </w:pPr>
      <w:r>
        <w:t>3. Why Three Separate Scripts, Not One</w:t>
      </w:r>
    </w:p>
    <w:p>
      <w:r>
        <w:rPr>
          <w:b w:val="0"/>
          <w:i w:val="0"/>
        </w:rPr>
        <w:t>Unit tests measure code coverage against a specific policy (95% core logic / 80% CRUD, per ADR-0007) — that policy only makes sense applied to unit tests, not integration or contract tests. Integration tests (WebApplicationFactory, in-process) prove the application's internal wiring is correct; contract tests (Newman, real HTTP against the containerized dev environment from Day 13) prove the deployed artifact behaves correctly from outside, matching its published OpenAPI contract. These are three different questions, and collapsing them into one script/job would have hidden that distinction and let a slow or flaky layer block the others.</w:t>
      </w:r>
    </w:p>
    <w:p>
      <w:pPr>
        <w:pStyle w:val="Heading1"/>
      </w:pPr>
      <w:r>
        <w:t>4. Local Verification (Before Wiring CI)</w:t>
      </w:r>
    </w:p>
    <w:tbl>
      <w:tblPr>
        <w:tblStyle w:val="LightGrid-Accent1"/>
        <w:tblW w:type="auto" w:w="0"/>
        <w:tblLook w:firstColumn="1" w:firstRow="1" w:lastColumn="0" w:lastRow="0" w:noHBand="0" w:noVBand="1" w:val="04A0"/>
      </w:tblPr>
      <w:tblGrid>
        <w:gridCol w:w="4320"/>
        <w:gridCol w:w="4320"/>
      </w:tblGrid>
      <w:tr>
        <w:tc>
          <w:tcPr>
            <w:tcW w:type="dxa" w:w="4320"/>
          </w:tcPr>
          <w:p>
            <w:r>
              <w:rPr>
                <w:b/>
              </w:rPr>
              <w:t>Check</w:t>
            </w:r>
          </w:p>
        </w:tc>
        <w:tc>
          <w:tcPr>
            <w:tcW w:type="dxa" w:w="4320"/>
          </w:tcPr>
          <w:p>
            <w:r>
              <w:rPr>
                <w:b/>
              </w:rPr>
              <w:t>Result</w:t>
            </w:r>
          </w:p>
        </w:tc>
      </w:tr>
      <w:tr>
        <w:tc>
          <w:tcPr>
            <w:tcW w:type="dxa" w:w="4320"/>
          </w:tcPr>
          <w:p>
            <w:r>
              <w:t>Integration test, run directly (before scripting)</w:t>
            </w:r>
          </w:p>
        </w:tc>
        <w:tc>
          <w:tcPr>
            <w:tcW w:type="dxa" w:w="4320"/>
          </w:tcPr>
          <w:p>
            <w:r>
              <w:t>1/1 passed</w:t>
            </w:r>
          </w:p>
        </w:tc>
      </w:tr>
      <w:tr>
        <w:tc>
          <w:tcPr>
            <w:tcW w:type="dxa" w:w="4320"/>
          </w:tcPr>
          <w:p>
            <w:r>
              <w:t>bash build/scripts/test.sh (unit, re-scoped)</w:t>
            </w:r>
          </w:p>
        </w:tc>
        <w:tc>
          <w:tcPr>
            <w:tcW w:type="dxa" w:w="4320"/>
          </w:tcPr>
          <w:p>
            <w:r>
              <w:t>100% coverage, threshold satisfied, integration project correctly excluded</w:t>
            </w:r>
          </w:p>
        </w:tc>
      </w:tr>
      <w:tr>
        <w:tc>
          <w:tcPr>
            <w:tcW w:type="dxa" w:w="4320"/>
          </w:tcPr>
          <w:p>
            <w:r>
              <w:t>bash build/scripts/integration-test.sh (new)</w:t>
            </w:r>
          </w:p>
        </w:tc>
        <w:tc>
          <w:tcPr>
            <w:tcW w:type="dxa" w:w="4320"/>
          </w:tcPr>
          <w:p>
            <w:r>
              <w:t>1/1 passed, unit project correctly excluded</w:t>
            </w:r>
          </w:p>
        </w:tc>
      </w:tr>
      <w:tr>
        <w:tc>
          <w:tcPr>
            <w:tcW w:type="dxa" w:w="4320"/>
          </w:tcPr>
          <w:p>
            <w:r>
              <w:t>bash build/scripts/contract-test.sh (new, full run incl. npx newman cold download)</w:t>
            </w:r>
          </w:p>
        </w:tc>
        <w:tc>
          <w:tcPr>
            <w:tcW w:type="dxa" w:w="4320"/>
          </w:tcPr>
          <w:p>
            <w:r>
              <w:t>Dev environment built + started, health check passed after 1 attempt, all 3 Postman assertions passed, JUnit report generated, clean teardown, no leftover containers</w:t>
            </w:r>
          </w:p>
        </w:tc>
      </w:tr>
    </w:tbl>
    <w:p/>
    <w:p>
      <w:pPr>
        <w:pStyle w:val="Heading1"/>
      </w:pPr>
      <w:r>
        <w:t>5. CI Changes</w:t>
      </w:r>
    </w:p>
    <w:p>
      <w:pPr>
        <w:pStyle w:val="ListBullet"/>
      </w:pPr>
      <w:r>
        <w:t>.github/workflows/ci.yml: two new jobs — "Integration Tests" and "API Contract Tests (Postman/Newman)" — both depending on Build, running alongside the existing Lint/Test/Containerize jobs.</w:t>
      </w:r>
    </w:p>
    <w:p>
      <w:pPr>
        <w:pStyle w:val="ListBullet"/>
      </w:pPr>
      <w:r>
        <w:t>build/azure-pipelines.yml: matching IntegrationTest and ContractTest stages added in lockstep, per ADR-0005.</w:t>
      </w:r>
    </w:p>
    <w:p>
      <w:pPr>
        <w:pStyle w:val="Heading1"/>
      </w:pPr>
      <w:r>
        <w:t>6. Scope Note</w:t>
      </w:r>
    </w:p>
    <w:p>
      <w:r>
        <w:rPr>
          <w:b w:val="0"/>
          <w:i/>
        </w:rPr>
        <w:t>The Postman collection currently has exactly one request. This is a scaffold proving the mechanism works, not a real contract test suite — it must grow alongside the actual OpenAPI-defined endpoints (openapi/shipment.yaml, openapi/declaration.yaml, Day 7) as those are implemented, the same "prove the mechanism against a minimal placeholder first" pattern used for every prior CI/CD day.</w:t>
      </w:r>
    </w:p>
    <w:p>
      <w:pPr>
        <w:pStyle w:val="Heading1"/>
      </w:pPr>
      <w:r>
        <w:t>7. Traceability</w:t>
      </w:r>
    </w:p>
    <w:p>
      <w:r>
        <w:rPr>
          <w:b w:val="0"/>
          <w:i/>
        </w:rPr>
        <w:t>This deliverable satisfies Day 14 of the Day-Wise Plan: "Set up unit test framework, integration test framework, Postman/Newman or equivalent for API contract tests." Deliverable produced: test scaffolding with one passing sample test per layer, verified locally and wired into both CI platforms, plus adr/0009-test-automation-scaffolding.md.</w:t>
      </w:r>
    </w:p>
    <w:p>
      <w:r>
        <w:rPr>
          <w:b w:val="0"/>
          <w:i/>
        </w:rPr>
        <w:t>Next: Day 15 — Quality Gate Checklists (formalize Gate 1-5 checklists as living, reusable checklists for each phase exit). This completes Phase -1, Week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