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C556C4" w:rsidRPr="00B90A16" w:rsidTr="0013357C">
        <w:trPr>
          <w:tblHeader/>
        </w:trPr>
        <w:tc>
          <w:tcPr>
            <w:tcW w:w="1250" w:type="pct"/>
            <w:shd w:val="clear" w:color="auto" w:fill="FFFFFF"/>
            <w:hideMark/>
          </w:tcPr>
          <w:p w:rsidR="00C556C4" w:rsidRPr="00B90A16" w:rsidRDefault="00C556C4" w:rsidP="0013357C">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Method used</w:t>
            </w:r>
          </w:p>
        </w:tc>
        <w:tc>
          <w:tcPr>
            <w:tcW w:w="1250" w:type="pct"/>
            <w:shd w:val="clear" w:color="auto" w:fill="FFFFFF"/>
            <w:hideMark/>
          </w:tcPr>
          <w:p w:rsidR="00C556C4" w:rsidRPr="00B90A16" w:rsidRDefault="00C556C4" w:rsidP="0013357C">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Dataset size</w:t>
            </w:r>
          </w:p>
        </w:tc>
        <w:tc>
          <w:tcPr>
            <w:tcW w:w="1250" w:type="pct"/>
            <w:shd w:val="clear" w:color="auto" w:fill="FFFFFF"/>
            <w:hideMark/>
          </w:tcPr>
          <w:p w:rsidR="00C556C4" w:rsidRPr="00B90A16" w:rsidRDefault="00C556C4" w:rsidP="0013357C">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Testing-set predictive performance</w:t>
            </w:r>
          </w:p>
        </w:tc>
        <w:tc>
          <w:tcPr>
            <w:tcW w:w="1250" w:type="pct"/>
            <w:shd w:val="clear" w:color="auto" w:fill="FFFFFF"/>
            <w:hideMark/>
          </w:tcPr>
          <w:p w:rsidR="00C556C4" w:rsidRPr="00B90A16" w:rsidRDefault="00C556C4" w:rsidP="0013357C">
            <w:pPr>
              <w:spacing w:before="180" w:after="180" w:line="240" w:lineRule="auto"/>
              <w:jc w:val="center"/>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Time taken for the model to be fit</w:t>
            </w:r>
          </w:p>
        </w:tc>
      </w:tr>
      <w:tr w:rsidR="00C556C4" w:rsidRPr="00B90A16" w:rsidTr="0027524F">
        <w:tc>
          <w:tcPr>
            <w:tcW w:w="1250" w:type="pct"/>
            <w:vMerge w:val="restar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xml:space="preserve"> in Python via </w:t>
            </w:r>
            <w:proofErr w:type="spellStart"/>
            <w:r w:rsidRPr="00B90A16">
              <w:rPr>
                <w:rFonts w:ascii="Helvetica" w:eastAsia="Times New Roman" w:hAnsi="Helvetica" w:cs="Times New Roman"/>
                <w:color w:val="2B2B2B"/>
                <w:kern w:val="0"/>
                <w:sz w:val="24"/>
                <w:szCs w:val="24"/>
                <w14:ligatures w14:val="none"/>
              </w:rPr>
              <w:t>scikit</w:t>
            </w:r>
            <w:proofErr w:type="spellEnd"/>
            <w:r w:rsidRPr="00B90A16">
              <w:rPr>
                <w:rFonts w:ascii="Helvetica" w:eastAsia="Times New Roman" w:hAnsi="Helvetica" w:cs="Times New Roman"/>
                <w:color w:val="2B2B2B"/>
                <w:kern w:val="0"/>
                <w:sz w:val="24"/>
                <w:szCs w:val="24"/>
                <w14:ligatures w14:val="none"/>
              </w:rPr>
              <w:t>-learn and 5-fold CV</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0.13</w:t>
            </w:r>
          </w:p>
        </w:tc>
      </w:tr>
      <w:tr w:rsidR="00C556C4" w:rsidRPr="00B90A16" w:rsidTr="0027524F">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0.965</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0.06</w:t>
            </w:r>
          </w:p>
        </w:tc>
      </w:tr>
      <w:tr w:rsidR="00C556C4" w:rsidRPr="00B90A16" w:rsidTr="0027524F">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0.9745</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0.15</w:t>
            </w:r>
          </w:p>
        </w:tc>
      </w:tr>
      <w:tr w:rsidR="00C556C4" w:rsidRPr="00B90A16" w:rsidTr="0027524F">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0.9872</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0.83</w:t>
            </w:r>
          </w:p>
        </w:tc>
      </w:tr>
      <w:tr w:rsidR="00C556C4" w:rsidRPr="00B90A16" w:rsidTr="0027524F">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0.9918</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9.94</w:t>
            </w:r>
          </w:p>
        </w:tc>
      </w:tr>
      <w:tr w:rsidR="00C556C4" w:rsidRPr="00B90A16" w:rsidTr="0027524F">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10000000</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0.9932</w:t>
            </w:r>
          </w:p>
        </w:tc>
        <w:tc>
          <w:tcPr>
            <w:tcW w:w="1250" w:type="pct"/>
            <w:shd w:val="clear" w:color="auto" w:fill="FFFFFF"/>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103.23</w:t>
            </w:r>
          </w:p>
        </w:tc>
      </w:tr>
      <w:tr w:rsidR="00C556C4" w:rsidRPr="00B90A16" w:rsidTr="0013357C">
        <w:tc>
          <w:tcPr>
            <w:tcW w:w="1250" w:type="pct"/>
            <w:vMerge w:val="restar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xml:space="preserve"> in R – direct use of </w:t>
            </w: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with simple cross-validation</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0.8966</w:t>
            </w:r>
          </w:p>
        </w:tc>
        <w:tc>
          <w:tcPr>
            <w:tcW w:w="1250" w:type="pct"/>
            <w:shd w:val="clear" w:color="auto" w:fill="FFFFFF"/>
            <w:hideMark/>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1.08</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0.9365</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2.14</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0.9723</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4.59</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0.9826</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17.43</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0.9859</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128.53</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0.9873</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1424.53</w:t>
            </w:r>
          </w:p>
        </w:tc>
      </w:tr>
      <w:tr w:rsidR="00C556C4" w:rsidRPr="00B90A16" w:rsidTr="0013357C">
        <w:tc>
          <w:tcPr>
            <w:tcW w:w="1250" w:type="pct"/>
            <w:vMerge w:val="restar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xml:space="preserve"> in R – via caret, with 5-fold CV simple cross-validation</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0.8966</w:t>
            </w:r>
          </w:p>
        </w:tc>
        <w:tc>
          <w:tcPr>
            <w:tcW w:w="1250" w:type="pct"/>
            <w:shd w:val="clear" w:color="auto" w:fill="FFFFFF"/>
            <w:hideMark/>
          </w:tcPr>
          <w:p w:rsidR="00C556C4" w:rsidRPr="00B90A16" w:rsidRDefault="0027524F" w:rsidP="0013357C">
            <w:pPr>
              <w:spacing w:before="180" w:after="180" w:line="240" w:lineRule="auto"/>
              <w:rPr>
                <w:rFonts w:ascii="Helvetica" w:eastAsia="Times New Roman" w:hAnsi="Helvetica" w:cs="Times New Roman"/>
                <w:color w:val="2B2B2B"/>
                <w:kern w:val="0"/>
                <w:sz w:val="24"/>
                <w:szCs w:val="24"/>
                <w14:ligatures w14:val="none"/>
              </w:rPr>
            </w:pPr>
            <w:r>
              <w:rPr>
                <w:rFonts w:ascii="Helvetica" w:eastAsia="Times New Roman" w:hAnsi="Helvetica" w:cs="Times New Roman"/>
                <w:color w:val="2B2B2B"/>
                <w:kern w:val="0"/>
                <w:sz w:val="24"/>
                <w:szCs w:val="24"/>
                <w14:ligatures w14:val="none"/>
              </w:rPr>
              <w:t>1.76</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0.9298</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2.59</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0.9763</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4.39</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0.9830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37.14</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0.9852</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130.33</w:t>
            </w:r>
          </w:p>
        </w:tc>
      </w:tr>
      <w:tr w:rsidR="00C556C4" w:rsidRPr="00B90A16" w:rsidTr="0013357C">
        <w:tc>
          <w:tcPr>
            <w:tcW w:w="0" w:type="auto"/>
            <w:vMerge/>
            <w:shd w:val="clear" w:color="auto" w:fill="FFFFFF"/>
            <w:hideMark/>
          </w:tcPr>
          <w:p w:rsidR="00C556C4" w:rsidRPr="00B90A16" w:rsidRDefault="00C556C4" w:rsidP="0013357C">
            <w:pPr>
              <w:spacing w:after="0" w:line="240" w:lineRule="auto"/>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10000000</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0.9869</w:t>
            </w:r>
          </w:p>
        </w:tc>
        <w:tc>
          <w:tcPr>
            <w:tcW w:w="1250" w:type="pct"/>
            <w:shd w:val="clear" w:color="auto" w:fill="FFFFFF"/>
            <w:hideMark/>
          </w:tcPr>
          <w:p w:rsidR="00C556C4" w:rsidRPr="00B90A16" w:rsidRDefault="00C556C4" w:rsidP="0013357C">
            <w:pPr>
              <w:spacing w:before="180" w:after="180" w:line="240" w:lineRule="auto"/>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sidR="0027524F">
              <w:rPr>
                <w:rFonts w:ascii="Helvetica" w:eastAsia="Times New Roman" w:hAnsi="Helvetica" w:cs="Times New Roman"/>
                <w:color w:val="2B2B2B"/>
                <w:kern w:val="0"/>
                <w:sz w:val="24"/>
                <w:szCs w:val="24"/>
                <w14:ligatures w14:val="none"/>
              </w:rPr>
              <w:t>1075.81</w:t>
            </w:r>
          </w:p>
        </w:tc>
      </w:tr>
    </w:tbl>
    <w:p w:rsidR="00C556C4" w:rsidRDefault="00C556C4" w:rsidP="00C556C4"/>
    <w:p w:rsidR="0027524F" w:rsidRDefault="0027524F" w:rsidP="0027524F">
      <w:r>
        <w:t xml:space="preserve">The </w:t>
      </w:r>
      <w:proofErr w:type="spellStart"/>
      <w:r>
        <w:t>XGBoost</w:t>
      </w:r>
      <w:proofErr w:type="spellEnd"/>
      <w:r>
        <w:t xml:space="preserve"> implementation through </w:t>
      </w:r>
      <w:proofErr w:type="spellStart"/>
      <w:r>
        <w:t>scikit</w:t>
      </w:r>
      <w:proofErr w:type="spellEnd"/>
      <w:r>
        <w:t>-learn achieves the best predictive results across all dataset sizes by reaching accuracy scores of up to 0.9932 when processing 10M observations. The implementation demonstrates excellent computational speed because it processes the largest dataset (10M) within 103.23 seconds while the R implementations needed 1424.53 seconds and 1075.81 seconds to com</w:t>
      </w:r>
      <w:bookmarkStart w:id="0" w:name="_GoBack"/>
      <w:bookmarkEnd w:id="0"/>
      <w:r>
        <w:t>plete the same task. The Python implementation demonstrates consistent superior performance across all data scales because it scales efficiently with minimal time increases when data volumes grow tremendously.</w:t>
      </w:r>
    </w:p>
    <w:p w:rsidR="000533A6" w:rsidRDefault="0027524F" w:rsidP="0027524F">
      <w:r>
        <w:t xml:space="preserve">The predictive outcomes of both R implementations appear satisfactory yet their computing performance becomes highly inefficient as the dataset increases in size. The R implementation of </w:t>
      </w:r>
      <w:proofErr w:type="spellStart"/>
      <w:r>
        <w:t>xgboost</w:t>
      </w:r>
      <w:proofErr w:type="spellEnd"/>
      <w:r>
        <w:t xml:space="preserve">() produces slightly better execution times for smaller datasets yet requires 14 times longer processing for the 10M dataset compared to Python. The caret approach in R provides better prediction results than </w:t>
      </w:r>
      <w:proofErr w:type="spellStart"/>
      <w:proofErr w:type="gramStart"/>
      <w:r>
        <w:t>xgboost</w:t>
      </w:r>
      <w:proofErr w:type="spellEnd"/>
      <w:r>
        <w:t>(</w:t>
      </w:r>
      <w:proofErr w:type="gramEnd"/>
      <w:r>
        <w:t>) direct implementation yet delivers results behind Python execution and needs tenfold longer execution duration for large datasets. Longer time requirements in production settings where model retraining or inference needs to be performed on extensive datasets would become a major challenge because of this time difference.</w:t>
      </w:r>
    </w:p>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C4"/>
    <w:rsid w:val="000533A6"/>
    <w:rsid w:val="0027524F"/>
    <w:rsid w:val="007F2649"/>
    <w:rsid w:val="00C5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38DBE-FE70-4EE5-BC73-FD9D9D52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6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2025-05-02T03:54:00Z</dcterms:created>
  <dcterms:modified xsi:type="dcterms:W3CDTF">2025-05-02T04:00:00Z</dcterms:modified>
</cp:coreProperties>
</file>