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Graph-Based</w:t>
      </w:r>
      <w:r>
        <w:t xml:space="preserve"> </w:t>
      </w:r>
      <w:r>
        <w:t xml:space="preserve">Pre-Payment</w:t>
      </w:r>
      <w:r>
        <w:t xml:space="preserve"> </w:t>
      </w:r>
      <w:r>
        <w:t xml:space="preserve">Fraud</w:t>
      </w:r>
      <w:r>
        <w:t xml:space="preserve"> </w:t>
      </w:r>
      <w:r>
        <w:t xml:space="preserve">Risk</w:t>
      </w:r>
      <w:r>
        <w:t xml:space="preserve"> </w:t>
      </w:r>
      <w:r>
        <w:t xml:space="preserve">Assessment</w:t>
      </w:r>
      <w:r>
        <w:t xml:space="preserve"> </w:t>
      </w:r>
      <w:r>
        <w:t xml:space="preserve">for</w:t>
      </w:r>
      <w:r>
        <w:t xml:space="preserve"> </w:t>
      </w:r>
      <w:r>
        <w:t xml:space="preserve">UPI</w:t>
      </w:r>
      <w:r>
        <w:t xml:space="preserve"> </w:t>
      </w:r>
      <w:r>
        <w:t xml:space="preserve">Transactions</w:t>
      </w:r>
      <w:r>
        <w:t xml:space="preserve"> </w:t>
      </w:r>
      <w:r>
        <w:t xml:space="preserve">with</w:t>
      </w:r>
      <w:r>
        <w:t xml:space="preserve"> </w:t>
      </w:r>
      <w:r>
        <w:t xml:space="preserve">Scam</w:t>
      </w:r>
      <w:r>
        <w:t xml:space="preserve"> </w:t>
      </w:r>
      <w:r>
        <w:t xml:space="preserve">Link</w:t>
      </w:r>
      <w:r>
        <w:t xml:space="preserve"> </w:t>
      </w:r>
      <w:r>
        <w:t xml:space="preserve">and</w:t>
      </w:r>
      <w:r>
        <w:t xml:space="preserve"> </w:t>
      </w:r>
      <w:r>
        <w:t xml:space="preserve">QR</w:t>
      </w:r>
      <w:r>
        <w:t xml:space="preserve"> </w:t>
      </w:r>
      <w:r>
        <w:t xml:space="preserve">Analysis</w:t>
      </w:r>
    </w:p>
    <w:p>
      <w:pPr>
        <w:pStyle w:val="AuthorLine"/>
      </w:pPr>
      <w:r>
        <w:t xml:space="preserve">Chinthada Murali Naga Raju, Chigurupati Vanya Kishore, Gudivada Yaswanth Naga Duga Prabhas, Bethapudi Vivek, and K. Kishore Raju</w:t>
      </w:r>
    </w:p>
    <w:p>
      <w:pPr>
        <w:pStyle w:val="Affiliation"/>
      </w:pPr>
      <w:r>
        <w:t xml:space="preserve">Department of Artificial Intelligence and Data Science, Sagi Rama Krishnam Raju Engineering College (A), Bhimavaram, Andhra Pradesh, India (affiliated to Jawaharlal Nehru Technological University, Kakinada)</w:t>
      </w:r>
    </w:p>
    <w:p>
      <w:pPr>
        <w:pStyle w:val="AbstractPara"/>
      </w:pPr>
      <w:r>
        <w:rPr>
          <w:iCs/>
          <w:i/>
        </w:rPr>
        <w:t xml:space="preserve">Abstract</w:t>
      </w:r>
      <w:r>
        <w:t xml:space="preserve">—Payments on India’s Unified Payments Interface (UPI) settle within seconds, so fraud must be addressed before submission, especially authorised push payment (APP) fraud, in which a deceived payer authorises the transfer and may behave normally. We propose an advisory pre-payment risk assessment that combines payer, payee, payer–payee graph and payment-context evidence in ten evidence families. Each family declares its availability and the facts its score rests on, so risk is reported separately from evidence coverage and correlated evidence is not counted twice. On a synthetic corpus of 120,000 payments with 1.183% fraud, the 12-feature model served by the prototype (V1) reaches a held-out area under the precision–recall curve (PR-AUC) of 0.4860. An expanded 47-feature representation (V2), evaluated offline, reaches 0.7326, with a recall of 0.7803 at a false-positive rate of 0.00995 and a social-engineering recall of 65.93% against 19.23% for V1. Because the added V2 channels are simulator-generated, these results describe the classifier under controlled conditions, not real-world UPI performance; the complete verdict system was not evaluated end to end.</w:t>
      </w:r>
    </w:p>
    <w:p>
      <w:pPr>
        <w:pStyle w:val="IndexTerms"/>
      </w:pPr>
      <w:r>
        <w:rPr>
          <w:iCs/>
          <w:i/>
        </w:rPr>
        <w:t xml:space="preserve">Index Terms</w:t>
      </w:r>
      <w:r>
        <w:t xml:space="preserve">—Authorised push payment fraud, evidence aggregation, pre-payment risk assessment, probability calibration, transaction graph, Unified Payments Interface (UPI).</w:t>
      </w:r>
    </w:p>
    <w:p>
      <w:pPr>
        <w:pStyle w:val="Marker"/>
        <w:sectPr>
          <w:footerReference w:type="default" r:id="rId9"/>
          <w:pgSz w:w="11906" w:h="16838"/>
          <w:pgMar w:top="1077" w:right="907" w:bottom="1247" w:left="907" w:header="567" w:footer="567" w:gutter="0"/>
          <w:cols w:num="1" w:space="284"/>
        </w:sectPr>
      </w:pPr>
      <w:r/>
    </w:p>
    <w:bookmarkStart w:id="20" w:name="i.-introduction"/>
    <w:p>
      <w:pPr>
        <w:pStyle w:val="Heading1"/>
      </w:pPr>
      <w:r>
        <w:t xml:space="preserve">I. Introduction</w:t>
      </w:r>
    </w:p>
    <w:p>
      <w:pPr>
        <w:pStyle w:val="FirstParagraph"/>
      </w:pPr>
      <w:r>
        <w:t xml:space="preserve">The Unified Payments Interface (UPI) lets a payer reach a recipient through a virtual payment address (VPA), a mobile number or a QR code and moves funds between bank accounts within seconds [1]. Because settled transfers are hard to reverse, the decision that matters is taken before submission: whether a payment should proceed, proceed with a warning, or be verified first.</w:t>
      </w:r>
    </w:p>
    <w:p>
      <w:pPr>
        <w:pStyle w:val="BodyText"/>
      </w:pPr>
      <w:r>
        <w:t xml:space="preserve">Conventional fraud detection classifies completed transactions against the history of the originating account [2], [3]. This works when an intruder controls the account, but not when the legitimate owner is deceived into authorising the payment, as in authorised push payment (APP) fraud [4]. A deceived payer may pay at a usual hour, from a usual device, for an ordinary amount; the informative signals then describe the recipient, namely how others have paid it, whether its address or QR payload is consistent, and what the accompanying message asks for. Existing graph methods detect fraud over a whole graph rather than assessing one pending payment, and the UPI-specific work we reviewed reports accuracy on transaction features (Section II). Few approaches combine payer, payee and contextual evidence in one assessment, and fewer state how unavailable evidence is represented or how correlated signals are kept from counting as independent corroboration.</w:t>
      </w:r>
    </w:p>
    <w:p>
      <w:pPr>
        <w:pStyle w:val="BodyText"/>
      </w:pPr>
      <w:r>
        <w:t xml:space="preserve">We address this with an advisory decision-support layer that assesses a payment request before submission. It is not a payment service provider (PSP), does not hold or settle funds, and is not integrated with the National Payments Corporation of India (NPCI) or any bank. The contributions concern the pre-payment setting and the treatment of evidence rather than a new learning algorithm:</w:t>
      </w:r>
    </w:p>
    <w:p>
      <w:pPr>
        <w:numPr>
          <w:ilvl w:val="0"/>
          <w:numId w:val="1001"/>
        </w:numPr>
        <w:pStyle w:val="Compact"/>
      </w:pPr>
      <w:r>
        <w:t xml:space="preserve">a pre-payment architecture that combines payer behaviour with payee history, relational evidence from a payer–payee graph, and context from the address, QR payload, amount, message, links and stated purpose;</w:t>
      </w:r>
    </w:p>
    <w:p>
      <w:pPr>
        <w:numPr>
          <w:ilvl w:val="0"/>
          <w:numId w:val="1001"/>
        </w:numPr>
        <w:pStyle w:val="Compact"/>
      </w:pPr>
      <w:r>
        <w:t xml:space="preserve">an evidence-aware aggregation in which each family declares availability and typed facts, so that risk is reported separately from coverage, unavailable families receive no rule-based score, and one observation is not counted as several corroborations;</w:t>
      </w:r>
    </w:p>
    <w:p>
      <w:pPr>
        <w:numPr>
          <w:ilvl w:val="0"/>
          <w:numId w:val="1001"/>
        </w:numPr>
        <w:pStyle w:val="Compact"/>
      </w:pPr>
      <w:r>
        <w:t xml:space="preserve">an incrementally maintained payer–payee graph that supplies explicit, interpretable relational quantities without per-request rebuilding;</w:t>
      </w:r>
    </w:p>
    <w:p>
      <w:pPr>
        <w:numPr>
          <w:ilvl w:val="0"/>
          <w:numId w:val="1001"/>
        </w:numPr>
        <w:pStyle w:val="Compact"/>
      </w:pPr>
      <w:r>
        <w:t xml:space="preserve">an imbalance-aware evaluation of the served 12-feature model (V1) and an offline 47-feature research representation (V2), with validation-only model selection and one held-out test measurement, complemented by software tests of the graph and aggregation logic.</w:t>
      </w:r>
    </w:p>
    <w:bookmarkEnd w:id="20"/>
    <w:bookmarkStart w:id="21" w:name="ii.-related-work"/>
    <w:p>
      <w:pPr>
        <w:pStyle w:val="Heading1"/>
      </w:pPr>
      <w:r>
        <w:t xml:space="preserve">II. Related Work</w:t>
      </w:r>
    </w:p>
    <w:p>
      <w:pPr>
        <w:pStyle w:val="FirstParagraph"/>
      </w:pPr>
      <w:r>
        <w:rPr>
          <w:iCs/>
          <w:i/>
        </w:rPr>
        <w:t xml:space="preserve">Behavioural and UPI-specific detection.</w:t>
      </w:r>
      <w:r>
        <w:t xml:space="preserve"> </w:t>
      </w:r>
      <w:r>
        <w:t xml:space="preserve">Fraud detection is characterised by extreme imbalance, asymmetric error costs and adaptive adversaries [2]. Behavioural models score deviations from an account’s usual amounts, hours, velocity and counterparties, and realistic evaluation must account for limited alert capacity, delayed labels and concept drift [3]. Such features respond to account takeover but carry little signal when a manipulated payer behaves normally. APP fraud has been studied mainly from a regulatory viewpoint [4], and peer-reviewed UPI detection work is scarce: Rani et al. combine synthetic minority oversampling (SMOTE), principal component analysis and XGBoost and compare algorithms by accuracy [5], which remains high at low prevalence even for a classifier that misses most fraud.</w:t>
      </w:r>
    </w:p>
    <w:p>
      <w:pPr>
        <w:pStyle w:val="BodyText"/>
      </w:pPr>
      <w:r>
        <w:rPr>
          <w:iCs/>
          <w:i/>
        </w:rPr>
        <w:t xml:space="preserve">Graph-based and temporal detection.</w:t>
      </w:r>
      <w:r>
        <w:t xml:space="preserve"> </w:t>
      </w:r>
      <w:r>
        <w:t xml:space="preserve">FRAUDAR finds unusually dense subgraphs while bounding camouflage [6]. Graph neural networks (GNNs) learn node representations, for example by selecting trustworthy neighbours under camouflage in CARE-GNN [7] or by learning several behaviour prototypes per class in APGNN [8]. For evolving graphs, Spade+ maintains dense-subgraph detection incrementally under edge insertions and deletions [9], and PGLTSE learns from a continuous-time dynamic graph with gang-aware risk propagation [10]. We share their motivation for incremental and temporally aware processing but reproduce none of them: our graph supplies a few explicit quantities to a per-payment assessment and is used neither for subgraph mining nor for representation learning.</w:t>
      </w:r>
    </w:p>
    <w:p>
      <w:pPr>
        <w:pStyle w:val="BodyText"/>
      </w:pPr>
      <w:r>
        <w:rPr>
          <w:iCs/>
          <w:i/>
        </w:rPr>
        <w:t xml:space="preserve">Methodological basis.</w:t>
      </w:r>
      <w:r>
        <w:t xml:space="preserve"> </w:t>
      </w:r>
      <w:r>
        <w:t xml:space="preserve">Under severe imbalance, precision–recall analysis is more informative than receiver operating characteristic (ROC) analysis [11], and a larger ROC area does not imply a larger precision–recall area [12]; recall at a fixed false-positive budget and alert precision are directly interpretable [3]. Boosted trees are often poorly calibrated, which isotonic or sigmoid post-processing can correct [13], [14], and the Brier score summarises probabilistic accuracy [15]; calibration matters here because probabilities are mapped to evidence scores at fixed breakpoints. Our learner is gradient boosting [16], evaluated on simulated data as is common when labelled payment data are unavailable [17]. Instead of interpolation-based oversampling [18], we keep the data distribution, weight classes during histogram-based training [19], and recalibrate. SHAP [20] and permutation importance [21], both used through scikit-learn [22], provide model-level attributions, whereas payer-facing explanations rely on checkable evidence findings.</w:t>
      </w:r>
    </w:p>
    <w:p>
      <w:pPr>
        <w:pStyle w:val="BodyText"/>
      </w:pPr>
      <w:r>
        <w:rPr>
          <w:iCs/>
          <w:i/>
        </w:rPr>
        <w:t xml:space="preserve">Research gap.</w:t>
      </w:r>
      <w:r>
        <w:t xml:space="preserve"> </w:t>
      </w:r>
      <w:r>
        <w:t xml:space="preserve">As Table I summarises, transaction-level models describe the payer well but weaken under persuasion, and graph, temporal and prototype methods capture relational structure without providing explicit, explainable evidence about a single pending payment. What remains open is a pre-payment assessment that combines complementary evidence families, maintains relational quantities incrementally, represents missing evidence explicitly, avoids double counting, and is evaluated with imbalance-aware and calibration-aware metrics.</w:t>
      </w:r>
    </w:p>
    <w:p>
      <w:pPr>
        <w:pStyle w:val="TableCaption"/>
      </w:pPr>
      <w:r>
        <w:t>TABLE I</w:t>
        <w:br/>
      </w:r>
      <w:r>
        <w:rPr>
          <w:smallCaps/>
        </w:rPr>
        <w:t>Qualitative Summary of Related Work</w:t>
      </w:r>
    </w:p>
    <w:tbl>
      <w:tblPr>
        <w:tblW w:type="dxa" w:w="4904"/>
        <w:tblLook w:firstRow="1" w:lastRow="0" w:firstColumn="0" w:lastColumn="0" w:noHBand="0" w:noVBand="0" w:val="0020"/>
        <w:jc w:val="center"/>
        <w:tblCaption w:val="TABLE I. Qualitative Summary of Related Work"/>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226"/>
        <w:gridCol w:w="931"/>
        <w:gridCol w:w="980"/>
        <w:gridCol w:w="686"/>
        <w:gridCol w:w="1078"/>
      </w:tblGrid>
      <w:tr>
        <w:trPr>
          <w:tblHeader w:val="true"/>
        </w:trPr>
        <w:tc>
          <w:tcPr>
            <w:tcW w:type="dxa" w:w="1226"/>
            <w:tcBorders>
              <w:bottom w:val="single" w:sz="4" w:space="0" w:color="000000"/>
            </w:tcBorders>
          </w:tcPr>
          <w:p>
            <w:pPr>
              <w:pStyle w:val="Compact"/>
              <w:keepNext/>
              <w:spacing w:after="0"/>
              <w:ind w:firstLine="0"/>
              <w:jc w:val="left"/>
            </w:pPr>
            <w:r>
              <w:rPr>
                <w:rFonts w:ascii="Times New Roman" w:hAnsi="Times New Roman"/>
                <w:b/>
                <w:sz w:val="15"/>
              </w:rPr>
              <w:t xml:space="preserve">Work</w:t>
            </w:r>
          </w:p>
        </w:tc>
        <w:tc>
          <w:tcPr>
            <w:tcW w:type="dxa" w:w="931"/>
            <w:tcBorders>
              <w:bottom w:val="single" w:sz="4" w:space="0" w:color="000000"/>
            </w:tcBorders>
          </w:tcPr>
          <w:p>
            <w:pPr>
              <w:pStyle w:val="Compact"/>
              <w:keepNext/>
              <w:spacing w:after="0"/>
              <w:ind w:firstLine="0"/>
              <w:jc w:val="left"/>
            </w:pPr>
            <w:r>
              <w:rPr>
                <w:rFonts w:ascii="Times New Roman" w:hAnsi="Times New Roman"/>
                <w:b/>
                <w:sz w:val="15"/>
              </w:rPr>
              <w:t xml:space="preserve">Graph use</w:t>
            </w:r>
          </w:p>
        </w:tc>
        <w:tc>
          <w:tcPr>
            <w:tcW w:type="dxa" w:w="980"/>
            <w:tcBorders>
              <w:bottom w:val="single" w:sz="4" w:space="0" w:color="000000"/>
            </w:tcBorders>
          </w:tcPr>
          <w:p>
            <w:pPr>
              <w:pStyle w:val="Compact"/>
              <w:keepNext/>
              <w:spacing w:after="0"/>
              <w:ind w:firstLine="0"/>
              <w:jc w:val="left"/>
            </w:pPr>
            <w:r>
              <w:rPr>
                <w:rFonts w:ascii="Times New Roman" w:hAnsi="Times New Roman"/>
                <w:b/>
                <w:sz w:val="15"/>
              </w:rPr>
              <w:t xml:space="preserve">Context evidence</w:t>
            </w:r>
          </w:p>
        </w:tc>
        <w:tc>
          <w:tcPr>
            <w:tcW w:type="dxa" w:w="686"/>
            <w:tcBorders>
              <w:bottom w:val="single" w:sz="4" w:space="0" w:color="000000"/>
            </w:tcBorders>
          </w:tcPr>
          <w:p>
            <w:pPr>
              <w:pStyle w:val="Compact"/>
              <w:keepNext/>
              <w:spacing w:after="0"/>
              <w:ind w:firstLine="0"/>
              <w:jc w:val="left"/>
            </w:pPr>
            <w:r>
              <w:rPr>
                <w:rFonts w:ascii="Times New Roman" w:hAnsi="Times New Roman"/>
                <w:b/>
                <w:sz w:val="15"/>
              </w:rPr>
              <w:t xml:space="preserve">Pre-payment</w:t>
            </w:r>
          </w:p>
        </w:tc>
        <w:tc>
          <w:tcPr>
            <w:tcW w:type="dxa" w:w="1078"/>
            <w:tcBorders>
              <w:bottom w:val="single" w:sz="4" w:space="0" w:color="000000"/>
            </w:tcBorders>
          </w:tcPr>
          <w:p>
            <w:pPr>
              <w:pStyle w:val="Compact"/>
              <w:keepNext/>
              <w:spacing w:after="0"/>
              <w:ind w:firstLine="0"/>
              <w:jc w:val="left"/>
            </w:pPr>
            <w:r>
              <w:rPr>
                <w:rFonts w:ascii="Times New Roman" w:hAnsi="Times New Roman"/>
                <w:b/>
                <w:sz w:val="15"/>
              </w:rPr>
              <w:t xml:space="preserve">Evaluation</w:t>
            </w:r>
          </w:p>
        </w:tc>
      </w:tr>
      <w:tr>
        <w:tc>
          <w:tcPr>
            <w:tcW w:type="dxa" w:w="1226"/>
          </w:tcPr>
          <w:p>
            <w:pPr>
              <w:pStyle w:val="Compact"/>
              <w:keepNext/>
              <w:spacing w:after="0"/>
              <w:ind w:firstLine="0"/>
              <w:jc w:val="left"/>
            </w:pPr>
            <w:r>
              <w:rPr>
                <w:rFonts w:ascii="Times New Roman" w:hAnsi="Times New Roman"/>
                <w:sz w:val="15"/>
              </w:rPr>
              <w:t xml:space="preserve">Dal Pozzolo et al. [3]</w:t>
            </w:r>
          </w:p>
        </w:tc>
        <w:tc>
          <w:tcPr>
            <w:tcW w:type="dxa" w:w="931"/>
          </w:tcPr>
          <w:p>
            <w:pPr>
              <w:pStyle w:val="Compact"/>
              <w:keepNext/>
              <w:spacing w:after="0"/>
              <w:ind w:firstLine="0"/>
              <w:jc w:val="left"/>
            </w:pPr>
            <w:r>
              <w:rPr>
                <w:rFonts w:ascii="Times New Roman" w:hAnsi="Times New Roman"/>
                <w:sz w:val="15"/>
              </w:rPr>
              <w:t xml:space="preserve">None</w:t>
            </w:r>
          </w:p>
        </w:tc>
        <w:tc>
          <w:tcPr>
            <w:tcW w:type="dxa" w:w="980"/>
          </w:tcPr>
          <w:p>
            <w:pPr>
              <w:pStyle w:val="Compact"/>
              <w:keepNext/>
              <w:spacing w:after="0"/>
              <w:ind w:firstLine="0"/>
              <w:jc w:val="left"/>
            </w:pPr>
            <w:r>
              <w:rPr>
                <w:rFonts w:ascii="Times New Roman" w:hAnsi="Times New Roman"/>
                <w:sz w:val="15"/>
              </w:rPr>
              <w:t xml:space="preserve">Not reported</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Alert precision</w:t>
            </w:r>
          </w:p>
        </w:tc>
      </w:tr>
      <w:tr>
        <w:tc>
          <w:tcPr>
            <w:tcW w:type="dxa" w:w="1226"/>
          </w:tcPr>
          <w:p>
            <w:pPr>
              <w:pStyle w:val="Compact"/>
              <w:keepNext/>
              <w:spacing w:after="0"/>
              <w:ind w:firstLine="0"/>
              <w:jc w:val="left"/>
            </w:pPr>
            <w:r>
              <w:rPr>
                <w:rFonts w:ascii="Times New Roman" w:hAnsi="Times New Roman"/>
                <w:sz w:val="15"/>
              </w:rPr>
              <w:t xml:space="preserve">FRAUDAR [6]</w:t>
            </w:r>
          </w:p>
        </w:tc>
        <w:tc>
          <w:tcPr>
            <w:tcW w:type="dxa" w:w="931"/>
          </w:tcPr>
          <w:p>
            <w:pPr>
              <w:pStyle w:val="Compact"/>
              <w:keepNext/>
              <w:spacing w:after="0"/>
              <w:ind w:firstLine="0"/>
              <w:jc w:val="left"/>
            </w:pPr>
            <w:r>
              <w:rPr>
                <w:rFonts w:ascii="Times New Roman" w:hAnsi="Times New Roman"/>
                <w:sz w:val="15"/>
              </w:rPr>
              <w:t xml:space="preserve">Dense subgraphs</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Fraud blocks found</w:t>
            </w:r>
          </w:p>
        </w:tc>
      </w:tr>
      <w:tr>
        <w:tc>
          <w:tcPr>
            <w:tcW w:type="dxa" w:w="1226"/>
          </w:tcPr>
          <w:p>
            <w:pPr>
              <w:pStyle w:val="Compact"/>
              <w:keepNext/>
              <w:spacing w:after="0"/>
              <w:ind w:firstLine="0"/>
              <w:jc w:val="left"/>
            </w:pPr>
            <w:r>
              <w:rPr>
                <w:rFonts w:ascii="Times New Roman" w:hAnsi="Times New Roman"/>
                <w:sz w:val="15"/>
              </w:rPr>
              <w:t xml:space="preserve">CARE-GNN [7]</w:t>
            </w:r>
          </w:p>
        </w:tc>
        <w:tc>
          <w:tcPr>
            <w:tcW w:type="dxa" w:w="931"/>
          </w:tcPr>
          <w:p>
            <w:pPr>
              <w:pStyle w:val="Compact"/>
              <w:keepNext/>
              <w:spacing w:after="0"/>
              <w:ind w:firstLine="0"/>
              <w:jc w:val="left"/>
            </w:pPr>
            <w:r>
              <w:rPr>
                <w:rFonts w:ascii="Times New Roman" w:hAnsi="Times New Roman"/>
                <w:sz w:val="15"/>
              </w:rPr>
              <w:t xml:space="preserve">GNN</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AUC, recall</w:t>
            </w:r>
          </w:p>
        </w:tc>
      </w:tr>
      <w:tr>
        <w:tc>
          <w:tcPr>
            <w:tcW w:type="dxa" w:w="1226"/>
          </w:tcPr>
          <w:p>
            <w:pPr>
              <w:pStyle w:val="Compact"/>
              <w:keepNext/>
              <w:spacing w:after="0"/>
              <w:ind w:firstLine="0"/>
              <w:jc w:val="left"/>
            </w:pPr>
            <w:r>
              <w:rPr>
                <w:rFonts w:ascii="Times New Roman" w:hAnsi="Times New Roman"/>
                <w:sz w:val="15"/>
              </w:rPr>
              <w:t xml:space="preserve">APGNN [8]</w:t>
            </w:r>
          </w:p>
        </w:tc>
        <w:tc>
          <w:tcPr>
            <w:tcW w:type="dxa" w:w="931"/>
          </w:tcPr>
          <w:p>
            <w:pPr>
              <w:pStyle w:val="Compact"/>
              <w:keepNext/>
              <w:spacing w:after="0"/>
              <w:ind w:firstLine="0"/>
              <w:jc w:val="left"/>
            </w:pPr>
            <w:r>
              <w:rPr>
                <w:rFonts w:ascii="Times New Roman" w:hAnsi="Times New Roman"/>
                <w:sz w:val="15"/>
              </w:rPr>
              <w:t xml:space="preserve">Prototype GNN</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Detection, interpretability</w:t>
            </w:r>
          </w:p>
        </w:tc>
      </w:tr>
      <w:tr>
        <w:tc>
          <w:tcPr>
            <w:tcW w:type="dxa" w:w="1226"/>
          </w:tcPr>
          <w:p>
            <w:pPr>
              <w:pStyle w:val="Compact"/>
              <w:keepNext/>
              <w:spacing w:after="0"/>
              <w:ind w:firstLine="0"/>
              <w:jc w:val="left"/>
            </w:pPr>
            <w:r>
              <w:rPr>
                <w:rFonts w:ascii="Times New Roman" w:hAnsi="Times New Roman"/>
                <w:sz w:val="15"/>
              </w:rPr>
              <w:t xml:space="preserve">Spade+ [9]</w:t>
            </w:r>
          </w:p>
        </w:tc>
        <w:tc>
          <w:tcPr>
            <w:tcW w:type="dxa" w:w="931"/>
          </w:tcPr>
          <w:p>
            <w:pPr>
              <w:pStyle w:val="Compact"/>
              <w:keepNext/>
              <w:spacing w:after="0"/>
              <w:ind w:firstLine="0"/>
              <w:jc w:val="left"/>
            </w:pPr>
            <w:r>
              <w:rPr>
                <w:rFonts w:ascii="Times New Roman" w:hAnsi="Times New Roman"/>
                <w:sz w:val="15"/>
              </w:rPr>
              <w:t xml:space="preserve">Incremental peeling</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Real-time community detection</w:t>
            </w:r>
          </w:p>
        </w:tc>
        <w:tc>
          <w:tcPr>
            <w:tcW w:type="dxa" w:w="1078"/>
          </w:tcPr>
          <w:p>
            <w:pPr>
              <w:pStyle w:val="Compact"/>
              <w:keepNext/>
              <w:spacing w:after="0"/>
              <w:ind w:firstLine="0"/>
              <w:jc w:val="left"/>
            </w:pPr>
            <w:r>
              <w:rPr>
                <w:rFonts w:ascii="Times New Roman" w:hAnsi="Times New Roman"/>
                <w:sz w:val="15"/>
              </w:rPr>
              <w:t xml:space="preserve">Detection, update cost</w:t>
            </w:r>
          </w:p>
        </w:tc>
      </w:tr>
      <w:tr>
        <w:tc>
          <w:tcPr>
            <w:tcW w:type="dxa" w:w="1226"/>
          </w:tcPr>
          <w:p>
            <w:pPr>
              <w:pStyle w:val="Compact"/>
              <w:keepNext/>
              <w:spacing w:after="0"/>
              <w:ind w:firstLine="0"/>
              <w:jc w:val="left"/>
            </w:pPr>
            <w:r>
              <w:rPr>
                <w:rFonts w:ascii="Times New Roman" w:hAnsi="Times New Roman"/>
                <w:sz w:val="15"/>
              </w:rPr>
              <w:t xml:space="preserve">PGLTSE [10]</w:t>
            </w:r>
          </w:p>
        </w:tc>
        <w:tc>
          <w:tcPr>
            <w:tcW w:type="dxa" w:w="931"/>
          </w:tcPr>
          <w:p>
            <w:pPr>
              <w:pStyle w:val="Compact"/>
              <w:keepNext/>
              <w:spacing w:after="0"/>
              <w:ind w:firstLine="0"/>
              <w:jc w:val="left"/>
            </w:pPr>
            <w:r>
              <w:rPr>
                <w:rFonts w:ascii="Times New Roman" w:hAnsi="Times New Roman"/>
                <w:sz w:val="15"/>
              </w:rPr>
              <w:t xml:space="preserve">Temporal GNN</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AUC, AUPRC, recall, F1</w:t>
            </w:r>
          </w:p>
        </w:tc>
      </w:tr>
      <w:tr>
        <w:tc>
          <w:tcPr>
            <w:tcW w:type="dxa" w:w="1226"/>
          </w:tcPr>
          <w:p>
            <w:pPr>
              <w:pStyle w:val="Compact"/>
              <w:keepNext/>
              <w:spacing w:after="0"/>
              <w:ind w:firstLine="0"/>
              <w:jc w:val="left"/>
            </w:pPr>
            <w:r>
              <w:rPr>
                <w:rFonts w:ascii="Times New Roman" w:hAnsi="Times New Roman"/>
                <w:sz w:val="15"/>
              </w:rPr>
              <w:t xml:space="preserve">Secure UPI [5]</w:t>
            </w:r>
          </w:p>
        </w:tc>
        <w:tc>
          <w:tcPr>
            <w:tcW w:type="dxa" w:w="931"/>
          </w:tcPr>
          <w:p>
            <w:pPr>
              <w:pStyle w:val="Compact"/>
              <w:keepNext/>
              <w:spacing w:after="0"/>
              <w:ind w:firstLine="0"/>
              <w:jc w:val="left"/>
            </w:pPr>
            <w:r>
              <w:rPr>
                <w:rFonts w:ascii="Times New Roman" w:hAnsi="Times New Roman"/>
                <w:sz w:val="15"/>
              </w:rPr>
              <w:t xml:space="preserve">None</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Not reported</w:t>
            </w:r>
          </w:p>
        </w:tc>
        <w:tc>
          <w:tcPr>
            <w:tcW w:type="dxa" w:w="1078"/>
          </w:tcPr>
          <w:p>
            <w:pPr>
              <w:pStyle w:val="Compact"/>
              <w:keepNext/>
              <w:spacing w:after="0"/>
              <w:ind w:firstLine="0"/>
              <w:jc w:val="left"/>
            </w:pPr>
            <w:r>
              <w:rPr>
                <w:rFonts w:ascii="Times New Roman" w:hAnsi="Times New Roman"/>
                <w:sz w:val="15"/>
              </w:rPr>
              <w:t xml:space="preserve">Accuracy</w:t>
            </w:r>
          </w:p>
        </w:tc>
      </w:tr>
      <w:tr>
        <w:tc>
          <w:tcPr>
            <w:tcW w:type="dxa" w:w="1226"/>
          </w:tcPr>
          <w:p>
            <w:pPr>
              <w:pStyle w:val="Compact"/>
              <w:spacing w:after="0"/>
              <w:ind w:firstLine="0"/>
              <w:jc w:val="left"/>
            </w:pPr>
            <w:r>
              <w:rPr>
                <w:rFonts w:ascii="Times New Roman" w:hAnsi="Times New Roman"/>
                <w:sz w:val="15"/>
              </w:rPr>
              <w:t xml:space="preserve">This work</w:t>
            </w:r>
          </w:p>
        </w:tc>
        <w:tc>
          <w:tcPr>
            <w:tcW w:type="dxa" w:w="931"/>
          </w:tcPr>
          <w:p>
            <w:pPr>
              <w:pStyle w:val="Compact"/>
              <w:spacing w:after="0"/>
              <w:ind w:firstLine="0"/>
              <w:jc w:val="left"/>
            </w:pPr>
            <w:r>
              <w:rPr>
                <w:rFonts w:ascii="Times New Roman" w:hAnsi="Times New Roman"/>
                <w:sz w:val="15"/>
              </w:rPr>
              <w:t xml:space="preserve">Incremental, explicit</w:t>
            </w:r>
          </w:p>
        </w:tc>
        <w:tc>
          <w:tcPr>
            <w:tcW w:type="dxa" w:w="980"/>
          </w:tcPr>
          <w:p>
            <w:pPr>
              <w:pStyle w:val="Compact"/>
              <w:spacing w:after="0"/>
              <w:ind w:firstLine="0"/>
              <w:jc w:val="left"/>
            </w:pPr>
            <w:r>
              <w:rPr>
                <w:rFonts w:ascii="Times New Roman" w:hAnsi="Times New Roman"/>
                <w:sz w:val="15"/>
              </w:rPr>
              <w:t xml:space="preserve">Address/QR, amount, message, link, purpose</w:t>
            </w:r>
          </w:p>
        </w:tc>
        <w:tc>
          <w:tcPr>
            <w:tcW w:type="dxa" w:w="686"/>
          </w:tcPr>
          <w:p>
            <w:pPr>
              <w:pStyle w:val="Compact"/>
              <w:spacing w:after="0"/>
              <w:ind w:firstLine="0"/>
              <w:jc w:val="left"/>
            </w:pPr>
            <w:r>
              <w:rPr>
                <w:rFonts w:ascii="Times New Roman" w:hAnsi="Times New Roman"/>
                <w:sz w:val="15"/>
              </w:rPr>
              <w:t xml:space="preserve">Yes (advisory)</w:t>
            </w:r>
          </w:p>
        </w:tc>
        <w:tc>
          <w:tcPr>
            <w:tcW w:type="dxa" w:w="1078"/>
          </w:tcPr>
          <w:p>
            <w:pPr>
              <w:pStyle w:val="Compact"/>
              <w:spacing w:after="0"/>
              <w:ind w:firstLine="0"/>
              <w:jc w:val="left"/>
            </w:pPr>
            <w:r>
              <w:rPr>
                <w:rFonts w:ascii="Times New Roman" w:hAnsi="Times New Roman"/>
                <w:sz w:val="15"/>
              </w:rPr>
              <w:t xml:space="preserve">PR-AUC, recall at 1% FPR, calibration, per-scenario recall, ablation</w:t>
            </w:r>
          </w:p>
        </w:tc>
      </w:tr>
    </w:tbl>
    <w:p>
      <w:pPr>
        <w:pStyle w:val="TableNote"/>
      </w:pPr>
      <w:r>
        <w:t xml:space="preserve">Datasets and tasks differ, so no numerical comparison is implied.</w:t>
      </w:r>
    </w:p>
    <w:bookmarkEnd w:id="21"/>
    <w:bookmarkStart w:id="32" w:name="Xc017a1168d63128a4a7db4ae242aa880ba6c295"/>
    <w:p>
      <w:pPr>
        <w:pStyle w:val="Heading1"/>
      </w:pPr>
      <w:r>
        <w:t xml:space="preserve">III. Problem Formulation and System Overview</w:t>
      </w:r>
    </w:p>
    <w:bookmarkStart w:id="22" w:name="Xbb42fc5a42f6e9b7911a7a4e727aea89e617c7d"/>
    <w:p>
      <w:pPr>
        <w:pStyle w:val="Heading2"/>
      </w:pPr>
      <w:r>
        <w:t xml:space="preserve">A. Payment Request and Available Information</w:t>
      </w:r>
    </w:p>
    <w:p>
      <w:pPr>
        <w:pStyle w:val="FirstParagraph"/>
      </w:pPr>
      <w:r>
        <w:t xml:space="preserve">A payer about to authorise a push payment issues a request</w:t>
      </w:r>
    </w:p>
    <w:p>
      <w:pPr>
        <w:pStyle w:val="BodyText"/>
      </w:pPr>
      <m:oMathPara>
        <m:oMathParaPr>
          <m:jc m:val="center"/>
        </m:oMathParaPr>
        <m:oMath>
          <m:r>
            <m:t>x</m:t>
          </m:r>
          <m:r>
            <m:rPr>
              <m:sty m:val="p"/>
            </m:rPr>
            <m:t>=</m:t>
          </m:r>
          <m:r>
            <m:rPr>
              <m:sty m:val="p"/>
            </m:rPr>
            <m:t>{</m:t>
          </m:r>
          <m:r>
            <m:t>u</m:t>
          </m:r>
          <m:r>
            <m:rPr>
              <m:sty m:val="p"/>
            </m:rPr>
            <m:t>,</m:t>
          </m:r>
          <m:r>
            <m:t>p</m:t>
          </m:r>
          <m:r>
            <m:rPr>
              <m:sty m:val="p"/>
            </m:rPr>
            <m:t>,</m:t>
          </m:r>
          <m:r>
            <m:t>a</m:t>
          </m:r>
          <m:r>
            <m:rPr>
              <m:sty m:val="p"/>
            </m:rPr>
            <m:t>,</m:t>
          </m:r>
          <m:r>
            <m:t>t</m:t>
          </m:r>
          <m:r>
            <m:rPr>
              <m:sty m:val="p"/>
            </m:rPr>
            <m:t>,</m:t>
          </m:r>
          <m:r>
            <m:t>q</m:t>
          </m:r>
          <m:r>
            <m:rPr>
              <m:sty m:val="p"/>
            </m:rPr>
            <m:t>,</m:t>
          </m:r>
          <m:r>
            <m:t>m</m:t>
          </m:r>
          <m:r>
            <m:rPr>
              <m:sty m:val="p"/>
            </m:rPr>
            <m:t>,</m:t>
          </m:r>
          <m:r>
            <m:t>l</m:t>
          </m:r>
          <m:r>
            <m:rPr>
              <m:sty m:val="p"/>
            </m:rPr>
            <m:t>}</m:t>
          </m:r>
          <m:r>
            <m:t>  </m:t>
          </m:r>
          <m:d>
            <m:dPr>
              <m:begChr m:val="("/>
              <m:endChr m:val=")"/>
              <m:sepChr m:val=""/>
              <m:grow/>
            </m:dPr>
            <m:e>
              <m:r>
                <m:t>1</m:t>
              </m:r>
            </m:e>
          </m:d>
        </m:oMath>
      </m:oMathPara>
    </w:p>
    <w:p>
      <w:pPr>
        <w:pStyle w:val="FirstParagraph"/>
      </w:pPr>
      <w:r>
        <w:t xml:space="preserve">where</w:t>
      </w:r>
      <w:r>
        <w:t xml:space="preserve"> </w:t>
      </w:r>
      <m:oMath>
        <m:r>
          <m:t>u</m:t>
        </m:r>
      </m:oMath>
      <w:r>
        <w:t xml:space="preserve"> </w:t>
      </w:r>
      <w:r>
        <w:t xml:space="preserve">is the payer,</w:t>
      </w:r>
      <w:r>
        <w:t xml:space="preserve"> </w:t>
      </w:r>
      <m:oMath>
        <m:r>
          <m:t>p</m:t>
        </m:r>
      </m:oMath>
      <w:r>
        <w:t xml:space="preserve"> </w:t>
      </w:r>
      <w:r>
        <w:t xml:space="preserve">the payee identifier (VPA, mobile number, or address decoded from a QR payload),</w:t>
      </w:r>
      <w:r>
        <w:t xml:space="preserve"> </w:t>
      </w:r>
      <m:oMath>
        <m:r>
          <m:t>a</m:t>
        </m:r>
      </m:oMath>
      <w:r>
        <w:t xml:space="preserve"> </w:t>
      </w:r>
      <w:r>
        <w:t xml:space="preserve">the amount,</w:t>
      </w:r>
      <w:r>
        <w:t xml:space="preserve"> </w:t>
      </w:r>
      <m:oMath>
        <m:r>
          <m:t>t</m:t>
        </m:r>
      </m:oMath>
      <w:r>
        <w:t xml:space="preserve"> </w:t>
      </w:r>
      <w:r>
        <w:t xml:space="preserve">the assessment time,</w:t>
      </w:r>
      <w:r>
        <w:t xml:space="preserve"> </w:t>
      </w:r>
      <m:oMath>
        <m:r>
          <m:t>q</m:t>
        </m:r>
      </m:oMath>
      <w:r>
        <w:t xml:space="preserve"> </w:t>
      </w:r>
      <w:r>
        <w:t xml:space="preserve">the raw QR payload,</w:t>
      </w:r>
      <w:r>
        <w:t xml:space="preserve"> </w:t>
      </w:r>
      <m:oMath>
        <m:r>
          <m:t>m</m:t>
        </m:r>
      </m:oMath>
      <w:r>
        <w:t xml:space="preserve"> </w:t>
      </w:r>
      <w:r>
        <w:t xml:space="preserve">the message that prompted the payment and</w:t>
      </w:r>
      <w:r>
        <w:t xml:space="preserve"> </w:t>
      </w:r>
      <m:oMath>
        <m:r>
          <m:t>l</m:t>
        </m:r>
      </m:oMath>
      <w:r>
        <w:t xml:space="preserve"> </w:t>
      </w:r>
      <w:r>
        <w:t xml:space="preserve">its links. Any component other than</w:t>
      </w:r>
      <w:r>
        <w:t xml:space="preserve"> </w:t>
      </w:r>
      <m:oMath>
        <m:r>
          <m:t>p</m:t>
        </m:r>
      </m:oMath>
      <w:r>
        <w:t xml:space="preserve"> </w:t>
      </w:r>
      <w:r>
        <w:t xml:space="preserve">and</w:t>
      </w:r>
      <w:r>
        <w:t xml:space="preserve"> </w:t>
      </w:r>
      <m:oMath>
        <m:r>
          <m:t>t</m:t>
        </m:r>
      </m:oMath>
      <w:r>
        <w:t xml:space="preserve"> </w:t>
      </w:r>
      <w:r>
        <w:t xml:space="preserve">may be absent; for example, a QR code without an embedded amount leaves</w:t>
      </w:r>
      <w:r>
        <w:t xml:space="preserve"> </w:t>
      </w:r>
      <m:oMath>
        <m:r>
          <m:t>a</m:t>
        </m:r>
      </m:oMath>
      <w:r>
        <w:t xml:space="preserve"> </w:t>
      </w:r>
      <w:r>
        <w:t xml:space="preserve">unknown. The system returns, before submission, a risk score</w:t>
      </w:r>
      <w:r>
        <w:t xml:space="preserve"> </w:t>
      </w:r>
      <m:oMath>
        <m:r>
          <m:t>R</m:t>
        </m:r>
        <m:r>
          <m:rPr>
            <m:sty m:val="p"/>
          </m:rPr>
          <m:t>∈</m:t>
        </m:r>
        <m:r>
          <m:rPr>
            <m:sty m:val="p"/>
          </m:rPr>
          <m:t>{</m:t>
        </m:r>
        <m:r>
          <m:t>0</m:t>
        </m:r>
        <m:r>
          <m:rPr>
            <m:sty m:val="p"/>
          </m:rPr>
          <m:t>,</m:t>
        </m:r>
        <m:r>
          <m:rPr>
            <m:sty m:val="p"/>
          </m:rPr>
          <m:t>…</m:t>
        </m:r>
        <m:r>
          <m:rPr>
            <m:sty m:val="p"/>
          </m:rPr>
          <m:t>,</m:t>
        </m:r>
        <m:r>
          <m:t>99</m:t>
        </m:r>
        <m:r>
          <m:rPr>
            <m:sty m:val="p"/>
          </m:rPr>
          <m:t>}</m:t>
        </m:r>
      </m:oMath>
      <w:r>
        <w:t xml:space="preserve">, a coverage (evidence-confidence) score</w:t>
      </w:r>
      <w:r>
        <w:t xml:space="preserve"> </w:t>
      </w:r>
      <m:oMath>
        <m:r>
          <m:t>C</m:t>
        </m:r>
        <m:r>
          <m:rPr>
            <m:sty m:val="p"/>
          </m:rPr>
          <m:t>∈</m:t>
        </m:r>
        <m:r>
          <m:rPr>
            <m:sty m:val="p"/>
          </m:rPr>
          <m:t>{</m:t>
        </m:r>
        <m:r>
          <m:t>0</m:t>
        </m:r>
        <m:r>
          <m:rPr>
            <m:sty m:val="p"/>
          </m:rPr>
          <m:t>,</m:t>
        </m:r>
        <m:r>
          <m:rPr>
            <m:sty m:val="p"/>
          </m:rPr>
          <m:t>…</m:t>
        </m:r>
        <m:r>
          <m:rPr>
            <m:sty m:val="p"/>
          </m:rPr>
          <m:t>,</m:t>
        </m:r>
        <m:r>
          <m:t>100</m:t>
        </m:r>
        <m:r>
          <m:rPr>
            <m:sty m:val="p"/>
          </m:rPr>
          <m:t>}</m:t>
        </m:r>
      </m:oMath>
      <w:r>
        <w:t xml:space="preserve"> </w:t>
      </w:r>
      <w:r>
        <w:t xml:space="preserve">and an advisory verdict</w:t>
      </w:r>
      <w:r>
        <w:t xml:space="preserve"> </w:t>
      </w:r>
      <m:oMath>
        <m:r>
          <m:t>V</m:t>
        </m:r>
        <m:r>
          <m:rPr>
            <m:sty m:val="p"/>
          </m:rPr>
          <m:t>∈</m:t>
        </m:r>
        <m:r>
          <m:rPr>
            <m:sty m:val="p"/>
          </m:rPr>
          <m:t>{</m:t>
        </m:r>
      </m:oMath>
      <w:r>
        <w:t xml:space="preserve">APPROVE, WARN, STEP_UP, BLOCK</w:t>
      </w:r>
      <m:oMath>
        <m:r>
          <m:rPr>
            <m:sty m:val="p"/>
          </m:rPr>
          <m:t>}</m:t>
        </m:r>
      </m:oMath>
      <w:r>
        <w:t xml:space="preserve">. APPROVE means only that risk is below the intervention threshold, not that the payment is safe.</w:t>
      </w:r>
    </w:p>
    <w:p>
      <w:pPr>
        <w:pStyle w:val="BodyText"/>
      </w:pPr>
      <w:r>
        <w:t xml:space="preserve">Let</w:t>
      </w:r>
      <w:r>
        <w:t xml:space="preserve"> </w:t>
      </w:r>
      <m:oMath>
        <m:r>
          <m:t>τ</m:t>
        </m:r>
        <m:d>
          <m:dPr>
            <m:begChr m:val="("/>
            <m:endChr m:val=")"/>
            <m:sepChr m:val=""/>
            <m:grow/>
          </m:dPr>
          <m:e>
            <m:r>
              <m:t>o</m:t>
            </m:r>
          </m:e>
        </m:d>
      </m:oMath>
      <w:r>
        <w:t xml:space="preserve"> </w:t>
      </w:r>
      <w:r>
        <w:t xml:space="preserve">be the time of observation</w:t>
      </w:r>
      <w:r>
        <w:t xml:space="preserve"> </w:t>
      </w:r>
      <m:oMath>
        <m:r>
          <m:t>o</m:t>
        </m:r>
      </m:oMath>
      <w:r>
        <w:t xml:space="preserve"> </w:t>
      </w:r>
      <w:r>
        <w:t xml:space="preserve">in the ledger</w:t>
      </w:r>
      <w:r>
        <w:t xml:space="preserve"> </w:t>
      </w:r>
      <m:oMath>
        <m:r>
          <m:rPr>
            <m:sty m:val="p"/>
            <m:scr m:val="script"/>
          </m:rPr>
          <m:t>H</m:t>
        </m:r>
      </m:oMath>
      <w:r>
        <w:t xml:space="preserve">. The assessment may use only</w:t>
      </w:r>
    </w:p>
    <w:p>
      <w:pPr>
        <w:pStyle w:val="BodyText"/>
      </w:pPr>
      <m:oMathPara>
        <m:oMathParaPr>
          <m:jc m:val="center"/>
        </m:oMathParaPr>
        <m:oMath>
          <m:sSub>
            <m:e>
              <m:r>
                <m:rPr>
                  <m:sty m:val="p"/>
                  <m:scr m:val="script"/>
                </m:rPr>
                <m:t>H</m:t>
              </m:r>
            </m:e>
            <m:sub>
              <m:r>
                <m:rPr>
                  <m:sty m:val="p"/>
                </m:rPr>
                <m:t>&lt;</m:t>
              </m:r>
              <m:r>
                <m:t>t</m:t>
              </m:r>
            </m:sub>
          </m:sSub>
          <m:r>
            <m:rPr>
              <m:sty m:val="p"/>
            </m:rPr>
            <m:t>=</m:t>
          </m:r>
          <m:r>
            <m:rPr>
              <m:sty m:val="p"/>
            </m:rPr>
            <m:t>{</m:t>
          </m:r>
          <m:r>
            <m:t>o</m:t>
          </m:r>
          <m:r>
            <m:rPr>
              <m:sty m:val="p"/>
            </m:rPr>
            <m:t>∈</m:t>
          </m:r>
          <m:r>
            <m:rPr>
              <m:sty m:val="p"/>
              <m:scr m:val="script"/>
            </m:rPr>
            <m:t>H</m:t>
          </m:r>
          <m:r>
            <m:rPr>
              <m:sty m:val="p"/>
            </m:rPr>
            <m:t>:</m:t>
          </m:r>
          <m:r>
            <m:t>τ</m:t>
          </m:r>
          <m:d>
            <m:dPr>
              <m:begChr m:val="("/>
              <m:endChr m:val=")"/>
              <m:sepChr m:val=""/>
              <m:grow/>
            </m:dPr>
            <m:e>
              <m:r>
                <m:t>o</m:t>
              </m:r>
            </m:e>
          </m:d>
          <m:r>
            <m:rPr>
              <m:sty m:val="p"/>
            </m:rPr>
            <m:t>&lt;</m:t>
          </m:r>
          <m:r>
            <m:t>t</m:t>
          </m:r>
          <m:r>
            <m:rPr>
              <m:sty m:val="p"/>
            </m:rPr>
            <m:t>}</m:t>
          </m:r>
          <m:r>
            <m:t>  </m:t>
          </m:r>
          <m:d>
            <m:dPr>
              <m:begChr m:val="("/>
              <m:endChr m:val=")"/>
              <m:sepChr m:val=""/>
              <m:grow/>
            </m:dPr>
            <m:e>
              <m:r>
                <m:t>2</m:t>
              </m:r>
            </m:e>
          </m:d>
        </m:oMath>
      </m:oMathPara>
    </w:p>
    <w:p>
      <w:pPr>
        <w:pStyle w:val="FirstParagraph"/>
      </w:pPr>
      <w:r>
        <w:t xml:space="preserve">comprising the payer’s confirmed payments, imported statement rows and payments confirmed by other users, together with the payer profile, the pair history of</w:t>
      </w:r>
      <w:r>
        <w:t xml:space="preserve"> </w:t>
      </w:r>
      <m:oMath>
        <m:d>
          <m:dPr>
            <m:begChr m:val="("/>
            <m:endChr m:val=")"/>
            <m:sepChr m:val=""/>
            <m:grow/>
          </m:dPr>
          <m:e>
            <m:r>
              <m:t>u</m:t>
            </m:r>
            <m:r>
              <m:rPr>
                <m:sty m:val="p"/>
              </m:rPr>
              <m:t>,</m:t>
            </m:r>
            <m:r>
              <m:t>p</m:t>
            </m:r>
          </m:e>
        </m:d>
      </m:oMath>
      <w:r>
        <w:t xml:space="preserve">, the payee history of</w:t>
      </w:r>
      <w:r>
        <w:t xml:space="preserve"> </w:t>
      </w:r>
      <m:oMath>
        <m:r>
          <m:t>p</m:t>
        </m:r>
      </m:oMath>
      <w:r>
        <w:t xml:space="preserve"> </w:t>
      </w:r>
      <w:r>
        <w:t xml:space="preserve">and a payer–payee graph</w:t>
      </w:r>
      <w:r>
        <w:t xml:space="preserve"> </w:t>
      </w:r>
      <m:oMath>
        <m:sSub>
          <m:e>
            <m:r>
              <m:rPr>
                <m:sty m:val="p"/>
                <m:scr m:val="script"/>
              </m:rPr>
              <m:t>G</m:t>
            </m:r>
          </m:e>
          <m:sub>
            <m:r>
              <m:rPr>
                <m:sty m:val="p"/>
              </m:rPr>
              <m:t>&lt;</m:t>
            </m:r>
            <m:r>
              <m:t>t</m:t>
            </m:r>
          </m:sub>
        </m:sSub>
      </m:oMath>
      <w:r>
        <w:t xml:space="preserve"> </w:t>
      </w:r>
      <w:r>
        <w:t xml:space="preserve">built from the same observations. Settlement outcomes, later complaints and the fraud label are unavailable at</w:t>
      </w:r>
      <w:r>
        <w:t xml:space="preserve"> </w:t>
      </w:r>
      <m:oMath>
        <m:r>
          <m:t>t</m:t>
        </m:r>
      </m:oMath>
      <w:r>
        <w:t xml:space="preserve"> </w:t>
      </w:r>
      <w:r>
        <w:t xml:space="preserve">by construction.</w:t>
      </w:r>
    </w:p>
    <w:bookmarkEnd w:id="22"/>
    <w:bookmarkStart w:id="23" w:name="b.-design-constraints"/>
    <w:p>
      <w:pPr>
        <w:pStyle w:val="Heading2"/>
      </w:pPr>
      <w:r>
        <w:t xml:space="preserve">B. Design Constraints</w:t>
      </w:r>
    </w:p>
    <w:p>
      <w:pPr>
        <w:pStyle w:val="FirstParagraph"/>
      </w:pPr>
      <w:r>
        <w:t xml:space="preserve">The design follows six constraints. (i) No post-decision information: the observation for</w:t>
      </w:r>
      <w:r>
        <w:t xml:space="preserve"> </w:t>
      </w:r>
      <m:oMath>
        <m:r>
          <m:t>x</m:t>
        </m:r>
      </m:oMath>
      <w:r>
        <w:t xml:space="preserve"> </w:t>
      </w:r>
      <w:r>
        <w:t xml:space="preserve">is written only after the payer confirms the payment. (ii) Missing is not safe: an unreadable source cannot make an assessment more favourable. (iii) Missing is not fraud: an unavailable family adds no rule-based score, and a measured absence, such as an address never seen paid, is a low-weight finding that cannot reach WARN alone. (iv) No double counting: one observation reported by several components is not independent corroboration. (v) Every non-zero rule-based contribution to risk is a named finding, and risk and availability are reported separately. (vi) The assessment reads maintained state and never recomputes history or the graph per request. No payee is presented as verified by a bank, PSP or NPCI; an optional provider-verification interface exists but was not configured, so no payee in this study is externally verified.</w:t>
      </w:r>
    </w:p>
    <w:p>
      <w:pPr>
        <w:pStyle w:val="BodyText"/>
      </w:pPr>
      <w:r>
        <w:t xml:space="preserve">To make (ii) and (iii) operational, each family</w:t>
      </w:r>
      <w:r>
        <w:t xml:space="preserve"> </w:t>
      </w:r>
      <m:oMath>
        <m:r>
          <m:t>i</m:t>
        </m:r>
      </m:oMath>
      <w:r>
        <w:t xml:space="preserve"> </w:t>
      </w:r>
      <w:r>
        <w:t xml:space="preserve">reports an availability flag and a score,</w:t>
      </w:r>
    </w:p>
    <w:p>
      <w:pPr>
        <w:pStyle w:val="BodyText"/>
      </w:pPr>
      <m:oMathPara>
        <m:oMathParaPr>
          <m:jc m:val="center"/>
        </m:oMathParaPr>
        <m:oMath>
          <m:sSub>
            <m:e>
              <m:r>
                <m:t>a</m:t>
              </m:r>
            </m:e>
            <m:sub>
              <m:r>
                <m:t>i</m:t>
              </m:r>
            </m:sub>
          </m:sSub>
          <m:r>
            <m:rPr>
              <m:sty m:val="p"/>
            </m:rPr>
            <m:t>=</m:t>
          </m:r>
          <m:r>
            <m:t>1</m:t>
          </m:r>
          <m:r>
            <m:rPr>
              <m:sty m:val="p"/>
            </m:rPr>
            <m:t>⇒</m:t>
          </m:r>
          <m:sSub>
            <m:e>
              <m:r>
                <m:t>z</m:t>
              </m:r>
            </m:e>
            <m:sub>
              <m:r>
                <m:t>i</m:t>
              </m:r>
            </m:sub>
          </m:sSub>
          <m:r>
            <m:rPr>
              <m:sty m:val="p"/>
            </m:rPr>
            <m:t>∈</m:t>
          </m:r>
          <m:r>
            <m:rPr>
              <m:sty m:val="p"/>
            </m:rPr>
            <m:t>{</m:t>
          </m:r>
          <m:r>
            <m:t>0</m:t>
          </m:r>
          <m:r>
            <m:rPr>
              <m:sty m:val="p"/>
            </m:rPr>
            <m:t>,</m:t>
          </m:r>
          <m:r>
            <m:rPr>
              <m:sty m:val="p"/>
            </m:rPr>
            <m:t>…</m:t>
          </m:r>
          <m:r>
            <m:rPr>
              <m:sty m:val="p"/>
            </m:rPr>
            <m:t>,</m:t>
          </m:r>
          <m:r>
            <m:t>100</m:t>
          </m:r>
          <m:r>
            <m:rPr>
              <m:sty m:val="p"/>
            </m:rPr>
            <m:t>}</m:t>
          </m:r>
          <m:r>
            <m:rPr>
              <m:sty m:val="p"/>
            </m:rPr>
            <m:t>,</m:t>
          </m:r>
          <m:r>
            <m:t>  </m:t>
          </m:r>
          <m:sSub>
            <m:e>
              <m:r>
                <m:t>a</m:t>
              </m:r>
            </m:e>
            <m:sub>
              <m:r>
                <m:t>i</m:t>
              </m:r>
            </m:sub>
          </m:sSub>
          <m:r>
            <m:rPr>
              <m:sty m:val="p"/>
            </m:rPr>
            <m:t>=</m:t>
          </m:r>
          <m:r>
            <m:t>0</m:t>
          </m:r>
          <m:r>
            <m:rPr>
              <m:sty m:val="p"/>
            </m:rPr>
            <m:t>⇒</m:t>
          </m:r>
          <m:sSub>
            <m:e>
              <m:r>
                <m:t>z</m:t>
              </m:r>
            </m:e>
            <m:sub>
              <m:r>
                <m:t>i</m:t>
              </m:r>
            </m:sub>
          </m:sSub>
          <m:r>
            <m:rPr>
              <m:sty m:val="p"/>
            </m:rPr>
            <m:t>=</m:t>
          </m:r>
          <m:r>
            <m:rPr>
              <m:sty m:val="p"/>
            </m:rPr>
            <m:t>⊥</m:t>
          </m:r>
          <m:r>
            <m:t>  </m:t>
          </m:r>
          <m:d>
            <m:dPr>
              <m:begChr m:val="("/>
              <m:endChr m:val=")"/>
              <m:sepChr m:val=""/>
              <m:grow/>
            </m:dPr>
            <m:e>
              <m:r>
                <m:t>3</m:t>
              </m:r>
            </m:e>
          </m:d>
        </m:oMath>
      </m:oMathPara>
    </w:p>
    <w:p>
      <w:pPr>
        <w:pStyle w:val="FirstParagraph"/>
      </w:pPr>
      <w:r>
        <w:t xml:space="preserve">so that</w:t>
      </w:r>
      <w:r>
        <w:t xml:space="preserve"> </w:t>
      </w:r>
      <w:r>
        <w:t xml:space="preserve">“</w:t>
      </w:r>
      <w:r>
        <w:t xml:space="preserve">looked and found nothing</w:t>
      </w:r>
      <w:r>
        <w:t xml:space="preserve">”</w:t>
      </w:r>
      <w:r>
        <w:t xml:space="preserve"> </w:t>
      </w:r>
      <w:r>
        <w:t xml:space="preserve">(</w:t>
      </w:r>
      <m:oMath>
        <m:sSub>
          <m:e>
            <m:r>
              <m:t>a</m:t>
            </m:r>
          </m:e>
          <m:sub>
            <m:r>
              <m:t>i</m:t>
            </m:r>
          </m:sub>
        </m:sSub>
        <m:r>
          <m:rPr>
            <m:sty m:val="p"/>
          </m:rPr>
          <m:t>=</m:t>
        </m:r>
        <m:r>
          <m:t>1</m:t>
        </m:r>
      </m:oMath>
      <w:r>
        <w:t xml:space="preserve">,</w:t>
      </w:r>
      <w:r>
        <w:t xml:space="preserve"> </w:t>
      </w:r>
      <m:oMath>
        <m:sSub>
          <m:e>
            <m:r>
              <m:t>z</m:t>
            </m:r>
          </m:e>
          <m:sub>
            <m:r>
              <m:t>i</m:t>
            </m:r>
          </m:sub>
        </m:sSub>
        <m:r>
          <m:rPr>
            <m:sty m:val="p"/>
          </m:rPr>
          <m:t>=</m:t>
        </m:r>
        <m:r>
          <m:t>0</m:t>
        </m:r>
      </m:oMath>
      <w:r>
        <w:t xml:space="preserve">) differs from</w:t>
      </w:r>
      <w:r>
        <w:t xml:space="preserve"> </w:t>
      </w:r>
      <w:r>
        <w:t xml:space="preserve">“</w:t>
      </w:r>
      <w:r>
        <w:t xml:space="preserve">could not look</w:t>
      </w:r>
      <w:r>
        <w:t xml:space="preserve">”</w:t>
      </w:r>
      <w:r>
        <w:t xml:space="preserve"> </w:t>
      </w:r>
      <w:r>
        <w:t xml:space="preserve">(</w:t>
      </w:r>
      <m:oMath>
        <m:sSub>
          <m:e>
            <m:r>
              <m:t>a</m:t>
            </m:r>
          </m:e>
          <m:sub>
            <m:r>
              <m:t>i</m:t>
            </m:r>
          </m:sub>
        </m:sSub>
        <m:r>
          <m:rPr>
            <m:sty m:val="p"/>
          </m:rPr>
          <m:t>=</m:t>
        </m:r>
        <m:r>
          <m:t>0</m:t>
        </m:r>
      </m:oMath>
      <w:r>
        <w:t xml:space="preserve">). The relationship status of</w:t>
      </w:r>
      <w:r>
        <w:t xml:space="preserve"> </w:t>
      </w:r>
      <m:oMath>
        <m:d>
          <m:dPr>
            <m:begChr m:val="("/>
            <m:endChr m:val=")"/>
            <m:sepChr m:val=""/>
            <m:grow/>
          </m:dPr>
          <m:e>
            <m:r>
              <m:t>u</m:t>
            </m:r>
            <m:r>
              <m:rPr>
                <m:sty m:val="p"/>
              </m:rPr>
              <m:t>,</m:t>
            </m:r>
            <m:r>
              <m:t>p</m:t>
            </m:r>
          </m:e>
        </m:d>
      </m:oMath>
      <w:r>
        <w:t xml:space="preserve"> </w:t>
      </w:r>
      <w:r>
        <w:t xml:space="preserve">is ESTABLISHED if the pair history is non-empty, NEW if the payer’s history is readable but contains no payment to</w:t>
      </w:r>
      <w:r>
        <w:t xml:space="preserve"> </w:t>
      </w:r>
      <m:oMath>
        <m:r>
          <m:t>p</m:t>
        </m:r>
      </m:oMath>
      <w:r>
        <w:t xml:space="preserve">, and UNKNOWN if no authenticated payer is available; NEW is thus a measured absence and UNKNOWN an absent measurement. Statement rows that show only a truncated VPA or a counterparty name are recorded as partial identity and never promoted to an established relationship.</w:t>
      </w:r>
    </w:p>
    <w:bookmarkEnd w:id="23"/>
    <w:bookmarkStart w:id="27" w:name="c.-architecture"/>
    <w:p>
      <w:pPr>
        <w:pStyle w:val="Heading2"/>
      </w:pPr>
      <w:r>
        <w:t xml:space="preserve">C. Architecture</w:t>
      </w:r>
    </w:p>
    <w:p>
      <w:pPr>
        <w:pStyle w:val="FirstParagraph"/>
      </w:pPr>
      <w:r>
        <w:t xml:space="preserve">Fig. 1 shows the architecture. A client decodes a QR code or accepts a typed address and optionally collects the amount, stated purpose and message. A read-only assessment service evaluates the ten families and aggregates them; a persistent store holds the observation ledger, per-payee reputation aggregates, the incremental graph and payer profiles. Writes occur only on a separate observation path, when a payment is confirmed or a statement is imported, so the request being assessed cannot influence the state it is assessed against. Every recorded payment carries a provenance label and a deduplication key, all addresses pass through one normalisation function, and timestamps are normalised to Indian Standard Time (IST).</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2254627"/>
            <wp:effectExtent b="0" l="0" r="0" t="0"/>
            <wp:docPr descr="Fig. 1. Architecture of the pre-payment assessment. Solid arrows denote the read-only assessment path; the dashed arrow is the observation path, which writes only after confirmation or statement import. The served classifier family uses V1; V2 is frozen and evaluated offline." title="" id="25" name="Picture"/>
            <a:graphic>
              <a:graphicData uri="http://schemas.openxmlformats.org/drawingml/2006/picture">
                <pic:pic>
                  <pic:nvPicPr>
                    <pic:cNvPr descr="fig/fig1_arch.png" id="26" name="Picture"/>
                    <pic:cNvPicPr>
                      <a:picLocks noChangeArrowheads="1" noChangeAspect="1"/>
                    </pic:cNvPicPr>
                  </pic:nvPicPr>
                  <pic:blipFill>
                    <a:blip r:embed="rId24"/>
                    <a:stretch>
                      <a:fillRect/>
                    </a:stretch>
                  </pic:blipFill>
                  <pic:spPr bwMode="auto">
                    <a:xfrm>
                      <a:off x="0" y="0"/>
                      <a:ext cx="5334000" cy="2254627"/>
                    </a:xfrm>
                    <a:prstGeom prst="rect">
                      <a:avLst/>
                    </a:prstGeom>
                    <a:noFill/>
                    <a:ln w="9525">
                      <a:noFill/>
                      <a:headEnd/>
                      <a:tailEnd/>
                    </a:ln>
                  </pic:spPr>
                </pic:pic>
              </a:graphicData>
            </a:graphic>
          </wp:inline>
        </w:drawing>
      </w:r>
    </w:p>
    <w:p>
      <w:pPr>
        <w:pStyle w:val="ImageCaption"/>
      </w:pPr>
      <w:r>
        <w:t xml:space="preserve">Fig. 1. Architecture of the pre-payment assessment. Solid arrows denote the read-only assessment path; the dashed arrow is the observation path, which writes only after confirmation or statement import. The served classifier family uses V1; V2 is frozen and evaluated offline.</w:t>
      </w:r>
    </w:p>
    <w:p>
      <w:pPr>
        <w:pStyle w:val="Marker"/>
        <w:sectPr>
          <w:type w:val="continuous"/>
          <w:pgSz w:w="11906" w:h="16838"/>
          <w:pgMar w:top="1077" w:right="907" w:bottom="1247" w:left="907" w:header="567" w:footer="567" w:gutter="0"/>
          <w:cols w:num="1" w:space="284"/>
        </w:sectPr>
      </w:pPr>
      <w:r/>
    </w:p>
    <w:p>
      <w:pPr>
        <w:pStyle w:val="BodyText"/>
      </w:pPr>
      <w:r>
        <w:t xml:space="preserve">Each family returns a record</w:t>
      </w:r>
      <w:r>
        <w:t xml:space="preserve"> </w:t>
      </w:r>
      <m:oMath>
        <m:sSub>
          <m:e>
            <m:r>
              <m:t>e</m:t>
            </m:r>
          </m:e>
          <m:sub>
            <m:r>
              <m:t>i</m:t>
            </m:r>
          </m:sub>
        </m:sSub>
        <m:r>
          <m:rPr>
            <m:sty m:val="p"/>
          </m:rPr>
          <m:t>=</m:t>
        </m:r>
        <m:d>
          <m:dPr>
            <m:begChr m:val="("/>
            <m:endChr m:val=")"/>
            <m:sepChr m:val=""/>
            <m:grow/>
          </m:dPr>
          <m:e>
            <m:sSub>
              <m:e>
                <m:r>
                  <m:t>a</m:t>
                </m:r>
              </m:e>
              <m:sub>
                <m:r>
                  <m:t>i</m:t>
                </m:r>
              </m:sub>
            </m:sSub>
            <m:r>
              <m:rPr>
                <m:sty m:val="p"/>
              </m:rPr>
              <m:t>,</m:t>
            </m:r>
            <m:sSub>
              <m:e>
                <m:r>
                  <m:t>z</m:t>
                </m:r>
              </m:e>
              <m:sub>
                <m:r>
                  <m:t>i</m:t>
                </m:r>
              </m:sub>
            </m:sSub>
            <m:r>
              <m:rPr>
                <m:sty m:val="p"/>
              </m:rPr>
              <m:t>,</m:t>
            </m:r>
            <m:sSub>
              <m:e>
                <m:r>
                  <m:t>Γ</m:t>
                </m:r>
              </m:e>
              <m:sub>
                <m:r>
                  <m:t>i</m:t>
                </m:r>
              </m:sub>
            </m:sSub>
            <m:r>
              <m:rPr>
                <m:sty m:val="p"/>
              </m:rPr>
              <m:t>,</m:t>
            </m:r>
            <m:sSub>
              <m:e>
                <m:r>
                  <m:t>Φ</m:t>
                </m:r>
              </m:e>
              <m:sub>
                <m:r>
                  <m:t>i</m:t>
                </m:r>
              </m:sub>
            </m:sSub>
          </m:e>
        </m:d>
      </m:oMath>
      <w:r>
        <w:t xml:space="preserve"> </w:t>
      </w:r>
      <w:r>
        <w:t xml:space="preserve">of availability, score, findings</w:t>
      </w:r>
      <w:r>
        <w:t xml:space="preserve"> </w:t>
      </w:r>
      <m:oMath>
        <m:sSub>
          <m:e>
            <m:r>
              <m:t>Γ</m:t>
            </m:r>
          </m:e>
          <m:sub>
            <m:r>
              <m:t>i</m:t>
            </m:r>
          </m:sub>
        </m:sSub>
      </m:oMath>
      <w:r>
        <w:t xml:space="preserve"> </w:t>
      </w:r>
      <w:r>
        <w:t xml:space="preserve">and facts</w:t>
      </w:r>
      <w:r>
        <w:t xml:space="preserve"> </w:t>
      </w:r>
      <m:oMath>
        <m:sSub>
          <m:e>
            <m:r>
              <m:t>Φ</m:t>
            </m:r>
          </m:e>
          <m:sub>
            <m:r>
              <m:t>i</m:t>
            </m:r>
          </m:sub>
        </m:sSub>
      </m:oMath>
      <w:r>
        <w:t xml:space="preserve">. Facts come from a closed vocabulary of fourteen observations (five payer-side, four payee-side and five contextual, e.g., HOUR_ANOMALY, PAYEE_SHAPE, GRAPH_POSITION) and identify</w:t>
      </w:r>
      <w:r>
        <w:t xml:space="preserve"> </w:t>
      </w:r>
      <w:r>
        <w:rPr>
          <w:iCs/>
          <w:i/>
        </w:rPr>
        <w:t xml:space="preserve">what</w:t>
      </w:r>
      <w:r>
        <w:t xml:space="preserve"> </w:t>
      </w:r>
      <w:r>
        <w:t xml:space="preserve">was observed independently of</w:t>
      </w:r>
      <w:r>
        <w:t xml:space="preserve"> </w:t>
      </w:r>
      <w:r>
        <w:rPr>
          <w:iCs/>
          <w:i/>
        </w:rPr>
        <w:t xml:space="preserve">which</w:t>
      </w:r>
      <w:r>
        <w:t xml:space="preserve"> </w:t>
      </w:r>
      <w:r>
        <w:t xml:space="preserve">family observed it. Table II summarises the families. Payee history reads reputation aggregates across all observed payers (observation age, distinct and repeat payers, amount uniformity, reports); a never-observed address remains available and receives a 6-point</w:t>
      </w:r>
      <w:r>
        <w:t xml:space="preserve"> </w:t>
      </w:r>
      <w:r>
        <w:t xml:space="preserve">“</w:t>
      </w:r>
      <w:r>
        <w:t xml:space="preserve">unseen payee</w:t>
      </w:r>
      <w:r>
        <w:t xml:space="preserve">”</w:t>
      </w:r>
      <w:r>
        <w:t xml:space="preserve"> </w:t>
      </w:r>
      <w:r>
        <w:t xml:space="preserve">finding, well below the 22-point WARN threshold. Payer behaviour compares the request with the payer’s profile. The relationship family is informational and always scores zero. Address and QR checks address form, confusable characters, whether a QR payload is a payment request, and whether its displayed name matches its address. The remaining contextual families examine the amount against the rail limit, coercive cues in a supplied message, URLs, and the stated purpose.</w:t>
      </w:r>
    </w:p>
    <w:p>
      <w:pPr>
        <w:pStyle w:val="Marker"/>
        <w:sectPr>
          <w:type w:val="continuous"/>
          <w:pgSz w:w="11906" w:h="16838"/>
          <w:pgMar w:top="1077" w:right="907" w:bottom="1247" w:left="907" w:header="567" w:footer="567" w:gutter="0"/>
          <w:cols w:num="2" w:space="284"/>
        </w:sectPr>
      </w:pPr>
      <w:r/>
    </w:p>
    <w:p>
      <w:pPr>
        <w:pStyle w:val="TableCaption"/>
      </w:pPr>
      <w:r>
        <w:t>TABLE II</w:t>
        <w:br/>
      </w:r>
      <w:r>
        <w:rPr>
          <w:smallCaps/>
        </w:rPr>
        <w:t>Evidence Families, Availability, Contribution to Risk and Coverage Weight</w:t>
      </w:r>
    </w:p>
    <w:tbl>
      <w:tblPr>
        <w:tblW w:type="dxa" w:w="10092"/>
        <w:tblLook w:firstRow="1" w:lastRow="0" w:firstColumn="0" w:lastColumn="0" w:noHBand="0" w:noVBand="0" w:val="0020"/>
        <w:jc w:val="center"/>
        <w:tblCaption w:val="TABLE II. Evidence Families, Availability, Contribution to Risk and Coverage Weight"/>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715"/>
        <w:gridCol w:w="2623"/>
        <w:gridCol w:w="5046"/>
        <w:gridCol w:w="706"/>
      </w:tblGrid>
      <w:tr>
        <w:trPr>
          <w:tblHeader w:val="true"/>
        </w:trPr>
        <w:tc>
          <w:tcPr>
            <w:tcW w:type="dxa" w:w="1715"/>
            <w:tcBorders>
              <w:bottom w:val="single" w:sz="4" w:space="0" w:color="000000"/>
            </w:tcBorders>
          </w:tcPr>
          <w:p>
            <w:pPr>
              <w:pStyle w:val="Compact"/>
              <w:keepNext/>
              <w:spacing w:after="0"/>
              <w:ind w:firstLine="0"/>
              <w:jc w:val="left"/>
            </w:pPr>
            <w:r>
              <w:rPr>
                <w:rFonts w:ascii="Times New Roman" w:hAnsi="Times New Roman"/>
                <w:b/>
                <w:sz w:val="15"/>
              </w:rPr>
              <w:t xml:space="preserve">Family</w:t>
            </w:r>
          </w:p>
        </w:tc>
        <w:tc>
          <w:tcPr>
            <w:tcW w:type="dxa" w:w="2623"/>
            <w:tcBorders>
              <w:bottom w:val="single" w:sz="4" w:space="0" w:color="000000"/>
            </w:tcBorders>
          </w:tcPr>
          <w:p>
            <w:pPr>
              <w:pStyle w:val="Compact"/>
              <w:keepNext/>
              <w:spacing w:after="0"/>
              <w:ind w:firstLine="0"/>
              <w:jc w:val="left"/>
            </w:pPr>
            <w:r>
              <w:rPr>
                <w:rFonts w:ascii="Times New Roman" w:hAnsi="Times New Roman"/>
                <w:b/>
                <w:sz w:val="15"/>
              </w:rPr>
              <w:t xml:space="preserve">Available when</w:t>
            </w:r>
          </w:p>
        </w:tc>
        <w:tc>
          <w:tcPr>
            <w:tcW w:type="dxa" w:w="5046"/>
            <w:tcBorders>
              <w:bottom w:val="single" w:sz="4" w:space="0" w:color="000000"/>
            </w:tcBorders>
          </w:tcPr>
          <w:p>
            <w:pPr>
              <w:pStyle w:val="Compact"/>
              <w:keepNext/>
              <w:spacing w:after="0"/>
              <w:ind w:firstLine="0"/>
              <w:jc w:val="left"/>
            </w:pPr>
            <w:r>
              <w:rPr>
                <w:rFonts w:ascii="Times New Roman" w:hAnsi="Times New Roman"/>
                <w:b/>
                <w:sz w:val="15"/>
              </w:rPr>
              <w:t xml:space="preserve">Contribution to risk</w:t>
            </w:r>
          </w:p>
        </w:tc>
        <w:tc>
          <w:tcPr>
            <w:tcW w:type="dxa" w:w="706"/>
            <w:tcBorders>
              <w:bottom w:val="single" w:sz="4" w:space="0" w:color="000000"/>
            </w:tcBorders>
          </w:tcPr>
          <w:p>
            <w:pPr>
              <w:pStyle w:val="Compact"/>
              <w:keepNext/>
              <w:spacing w:after="0"/>
              <w:ind w:firstLine="0"/>
              <w:jc w:val="left"/>
            </w:pPr>
            <w:r>
              <w:rPr>
                <w:rFonts w:ascii="Times New Roman" w:hAnsi="Times New Roman"/>
                <w:b/>
                <w:sz w:val="15"/>
              </w:rPr>
              <w:t xml:space="preserve">Weight</w:t>
            </w:r>
          </w:p>
        </w:tc>
      </w:tr>
      <w:tr>
        <w:tc>
          <w:tcPr>
            <w:tcW w:type="dxa" w:w="1715"/>
          </w:tcPr>
          <w:p>
            <w:pPr>
              <w:pStyle w:val="Compact"/>
              <w:keepNext/>
              <w:spacing w:after="0"/>
              <w:ind w:firstLine="0"/>
              <w:jc w:val="left"/>
            </w:pPr>
            <w:r>
              <w:rPr>
                <w:rFonts w:ascii="Times New Roman" w:hAnsi="Times New Roman"/>
                <w:sz w:val="15"/>
              </w:rPr>
              <w:t xml:space="preserve">Payee history</w:t>
            </w:r>
          </w:p>
        </w:tc>
        <w:tc>
          <w:tcPr>
            <w:tcW w:type="dxa" w:w="2623"/>
          </w:tcPr>
          <w:p>
            <w:pPr>
              <w:pStyle w:val="Compact"/>
              <w:keepNext/>
              <w:spacing w:after="0"/>
              <w:ind w:firstLine="0"/>
              <w:jc w:val="left"/>
            </w:pPr>
            <w:r>
              <w:rPr>
                <w:rFonts w:ascii="Times New Roman" w:hAnsi="Times New Roman"/>
                <w:sz w:val="15"/>
              </w:rPr>
              <w:t xml:space="preserve">An address can be read</w:t>
            </w:r>
          </w:p>
        </w:tc>
        <w:tc>
          <w:tcPr>
            <w:tcW w:type="dxa" w:w="5046"/>
          </w:tcPr>
          <w:p>
            <w:pPr>
              <w:pStyle w:val="Compact"/>
              <w:keepNext/>
              <w:spacing w:after="0"/>
              <w:ind w:firstLine="0"/>
              <w:jc w:val="left"/>
            </w:pPr>
            <w:r>
              <w:rPr>
                <w:rFonts w:ascii="Times New Roman" w:hAnsi="Times New Roman"/>
                <w:sz w:val="15"/>
              </w:rPr>
              <w:t xml:space="preserve">Scored; unseen payee: 6-point finding; blocked payee: hard block</w:t>
            </w:r>
          </w:p>
        </w:tc>
        <w:tc>
          <w:tcPr>
            <w:tcW w:type="dxa" w:w="706"/>
          </w:tcPr>
          <w:p>
            <w:pPr>
              <w:pStyle w:val="Compact"/>
              <w:keepNext/>
              <w:spacing w:after="0"/>
              <w:ind w:firstLine="0"/>
              <w:jc w:val="left"/>
            </w:pPr>
            <w:r>
              <w:rPr>
                <w:rFonts w:ascii="Times New Roman" w:hAnsi="Times New Roman"/>
                <w:sz w:val="15"/>
              </w:rPr>
              <w:t xml:space="preserve">24</w:t>
            </w:r>
          </w:p>
        </w:tc>
      </w:tr>
      <w:tr>
        <w:tc>
          <w:tcPr>
            <w:tcW w:type="dxa" w:w="1715"/>
          </w:tcPr>
          <w:p>
            <w:pPr>
              <w:pStyle w:val="Compact"/>
              <w:keepNext/>
              <w:spacing w:after="0"/>
              <w:ind w:firstLine="0"/>
              <w:jc w:val="left"/>
            </w:pPr>
            <w:r>
              <w:rPr>
                <w:rFonts w:ascii="Times New Roman" w:hAnsi="Times New Roman"/>
                <w:sz w:val="15"/>
              </w:rPr>
              <w:t xml:space="preserve">Relationship</w:t>
            </w:r>
          </w:p>
        </w:tc>
        <w:tc>
          <w:tcPr>
            <w:tcW w:type="dxa" w:w="2623"/>
          </w:tcPr>
          <w:p>
            <w:pPr>
              <w:pStyle w:val="Compact"/>
              <w:keepNext/>
              <w:spacing w:after="0"/>
              <w:ind w:firstLine="0"/>
              <w:jc w:val="left"/>
            </w:pPr>
            <w:r>
              <w:rPr>
                <w:rFonts w:ascii="Times New Roman" w:hAnsi="Times New Roman"/>
                <w:sz w:val="15"/>
              </w:rPr>
              <w:t xml:space="preserve">Authenticated payer present</w:t>
            </w:r>
          </w:p>
        </w:tc>
        <w:tc>
          <w:tcPr>
            <w:tcW w:type="dxa" w:w="5046"/>
          </w:tcPr>
          <w:p>
            <w:pPr>
              <w:pStyle w:val="Compact"/>
              <w:keepNext/>
              <w:spacing w:after="0"/>
              <w:ind w:firstLine="0"/>
              <w:jc w:val="left"/>
            </w:pPr>
            <w:r>
              <w:rPr>
                <w:rFonts w:ascii="Times New Roman" w:hAnsi="Times New Roman"/>
                <w:sz w:val="15"/>
              </w:rPr>
              <w:t xml:space="preserve">Informational (score fixed at 0); fact PAYEE_FAMILIARITY</w:t>
            </w:r>
          </w:p>
        </w:tc>
        <w:tc>
          <w:tcPr>
            <w:tcW w:type="dxa" w:w="706"/>
          </w:tcPr>
          <w:p>
            <w:pPr>
              <w:pStyle w:val="Compact"/>
              <w:keepNext/>
              <w:spacing w:after="0"/>
              <w:ind w:firstLine="0"/>
              <w:jc w:val="left"/>
            </w:pPr>
            <w:r>
              <w:rPr>
                <w:rFonts w:ascii="Times New Roman" w:hAnsi="Times New Roman"/>
                <w:sz w:val="15"/>
              </w:rPr>
              <w:t xml:space="preserve">18</w:t>
            </w:r>
          </w:p>
        </w:tc>
      </w:tr>
      <w:tr>
        <w:tc>
          <w:tcPr>
            <w:tcW w:type="dxa" w:w="1715"/>
          </w:tcPr>
          <w:p>
            <w:pPr>
              <w:pStyle w:val="Compact"/>
              <w:keepNext/>
              <w:spacing w:after="0"/>
              <w:ind w:firstLine="0"/>
              <w:jc w:val="left"/>
            </w:pPr>
            <w:r>
              <w:rPr>
                <w:rFonts w:ascii="Times New Roman" w:hAnsi="Times New Roman"/>
                <w:sz w:val="15"/>
              </w:rPr>
              <w:t xml:space="preserve">Payer behaviour</w:t>
            </w:r>
          </w:p>
        </w:tc>
        <w:tc>
          <w:tcPr>
            <w:tcW w:type="dxa" w:w="2623"/>
          </w:tcPr>
          <w:p>
            <w:pPr>
              <w:pStyle w:val="Compact"/>
              <w:keepNext/>
              <w:spacing w:after="0"/>
              <w:ind w:firstLine="0"/>
              <w:jc w:val="left"/>
            </w:pPr>
            <w:r>
              <w:rPr>
                <w:rFonts w:ascii="Times New Roman" w:hAnsi="Times New Roman"/>
                <w:sz w:val="15"/>
              </w:rPr>
              <w:t xml:space="preserve">Payer profile exists</w:t>
            </w:r>
          </w:p>
        </w:tc>
        <w:tc>
          <w:tcPr>
            <w:tcW w:type="dxa" w:w="5046"/>
          </w:tcPr>
          <w:p>
            <w:pPr>
              <w:pStyle w:val="Compact"/>
              <w:keepNext/>
              <w:spacing w:after="0"/>
              <w:ind w:firstLine="0"/>
              <w:jc w:val="left"/>
            </w:pPr>
            <w:r>
              <w:rPr>
                <w:rFonts w:ascii="Times New Roman" w:hAnsi="Times New Roman"/>
                <w:sz w:val="15"/>
              </w:rPr>
              <w:t xml:space="preserve">0 if raw score below 25, else 12–52</w:t>
            </w:r>
          </w:p>
        </w:tc>
        <w:tc>
          <w:tcPr>
            <w:tcW w:type="dxa" w:w="706"/>
          </w:tcPr>
          <w:p>
            <w:pPr>
              <w:pStyle w:val="Compact"/>
              <w:keepNext/>
              <w:spacing w:after="0"/>
              <w:ind w:firstLine="0"/>
              <w:jc w:val="left"/>
            </w:pPr>
            <w:r>
              <w:rPr>
                <w:rFonts w:ascii="Times New Roman" w:hAnsi="Times New Roman"/>
                <w:sz w:val="15"/>
              </w:rPr>
              <w:t xml:space="preserve">16</w:t>
            </w:r>
          </w:p>
        </w:tc>
      </w:tr>
      <w:tr>
        <w:tc>
          <w:tcPr>
            <w:tcW w:type="dxa" w:w="1715"/>
          </w:tcPr>
          <w:p>
            <w:pPr>
              <w:pStyle w:val="Compact"/>
              <w:keepNext/>
              <w:spacing w:after="0"/>
              <w:ind w:firstLine="0"/>
              <w:jc w:val="left"/>
            </w:pPr>
            <w:r>
              <w:rPr>
                <w:rFonts w:ascii="Times New Roman" w:hAnsi="Times New Roman"/>
                <w:sz w:val="15"/>
              </w:rPr>
              <w:t xml:space="preserve">Classifier (V1 served)</w:t>
            </w:r>
          </w:p>
        </w:tc>
        <w:tc>
          <w:tcPr>
            <w:tcW w:type="dxa" w:w="2623"/>
          </w:tcPr>
          <w:p>
            <w:pPr>
              <w:pStyle w:val="Compact"/>
              <w:keepNext/>
              <w:spacing w:after="0"/>
              <w:ind w:firstLine="0"/>
              <w:jc w:val="left"/>
            </w:pPr>
            <w:r>
              <w:rPr>
                <w:rFonts w:ascii="Times New Roman" w:hAnsi="Times New Roman"/>
                <w:sz w:val="15"/>
              </w:rPr>
              <w:t xml:space="preserve">Amount known, profile, at least 5 prior payments</w:t>
            </w:r>
          </w:p>
        </w:tc>
        <w:tc>
          <w:tcPr>
            <w:tcW w:type="dxa" w:w="5046"/>
          </w:tcPr>
          <w:p>
            <w:pPr>
              <w:pStyle w:val="Compact"/>
              <w:keepNext/>
              <w:spacing w:after="0"/>
              <w:ind w:firstLine="0"/>
              <w:jc w:val="left"/>
            </w:pPr>
            <w:r>
              <w:rPr>
                <w:rFonts w:ascii="Times New Roman" w:hAnsi="Times New Roman"/>
                <w:sz w:val="15"/>
              </w:rPr>
              <w:t xml:space="preserve">0–18 below threshold; 30–66 above; facts attributed counterfactually</w:t>
            </w:r>
          </w:p>
        </w:tc>
        <w:tc>
          <w:tcPr>
            <w:tcW w:type="dxa" w:w="706"/>
          </w:tcPr>
          <w:p>
            <w:pPr>
              <w:pStyle w:val="Compact"/>
              <w:keepNext/>
              <w:spacing w:after="0"/>
              <w:ind w:firstLine="0"/>
              <w:jc w:val="left"/>
            </w:pPr>
            <w:r>
              <w:rPr>
                <w:rFonts w:ascii="Times New Roman" w:hAnsi="Times New Roman"/>
                <w:sz w:val="15"/>
              </w:rPr>
              <w:t xml:space="preserve">12</w:t>
            </w:r>
          </w:p>
        </w:tc>
      </w:tr>
      <w:tr>
        <w:tc>
          <w:tcPr>
            <w:tcW w:type="dxa" w:w="1715"/>
          </w:tcPr>
          <w:p>
            <w:pPr>
              <w:pStyle w:val="Compact"/>
              <w:keepNext/>
              <w:spacing w:after="0"/>
              <w:ind w:firstLine="0"/>
              <w:jc w:val="left"/>
            </w:pPr>
            <w:r>
              <w:rPr>
                <w:rFonts w:ascii="Times New Roman" w:hAnsi="Times New Roman"/>
                <w:sz w:val="15"/>
              </w:rPr>
              <w:t xml:space="preserve">Address and QR</w:t>
            </w:r>
          </w:p>
        </w:tc>
        <w:tc>
          <w:tcPr>
            <w:tcW w:type="dxa" w:w="2623"/>
          </w:tcPr>
          <w:p>
            <w:pPr>
              <w:pStyle w:val="Compact"/>
              <w:keepNext/>
              <w:spacing w:after="0"/>
              <w:ind w:firstLine="0"/>
              <w:jc w:val="left"/>
            </w:pPr>
            <w:r>
              <w:rPr>
                <w:rFonts w:ascii="Times New Roman" w:hAnsi="Times New Roman"/>
                <w:sz w:val="15"/>
              </w:rPr>
              <w:t xml:space="preserve">Always</w:t>
            </w:r>
          </w:p>
        </w:tc>
        <w:tc>
          <w:tcPr>
            <w:tcW w:type="dxa" w:w="5046"/>
          </w:tcPr>
          <w:p>
            <w:pPr>
              <w:pStyle w:val="Compact"/>
              <w:keepNext/>
              <w:spacing w:after="0"/>
              <w:ind w:firstLine="0"/>
              <w:jc w:val="left"/>
            </w:pPr>
            <w:r>
              <w:rPr>
                <w:rFonts w:ascii="Times New Roman" w:hAnsi="Times New Roman"/>
                <w:sz w:val="15"/>
              </w:rPr>
              <w:t xml:space="preserve">Scored; malformed address or non-payment payload: hard block</w:t>
            </w:r>
          </w:p>
        </w:tc>
        <w:tc>
          <w:tcPr>
            <w:tcW w:type="dxa" w:w="706"/>
          </w:tcPr>
          <w:p>
            <w:pPr>
              <w:pStyle w:val="Compact"/>
              <w:keepNext/>
              <w:spacing w:after="0"/>
              <w:ind w:firstLine="0"/>
              <w:jc w:val="left"/>
            </w:pPr>
            <w:r>
              <w:rPr>
                <w:rFonts w:ascii="Times New Roman" w:hAnsi="Times New Roman"/>
                <w:sz w:val="15"/>
              </w:rPr>
              <w:t xml:space="preserve">11</w:t>
            </w:r>
          </w:p>
        </w:tc>
      </w:tr>
      <w:tr>
        <w:tc>
          <w:tcPr>
            <w:tcW w:type="dxa" w:w="1715"/>
          </w:tcPr>
          <w:p>
            <w:pPr>
              <w:pStyle w:val="Compact"/>
              <w:keepNext/>
              <w:spacing w:after="0"/>
              <w:ind w:firstLine="0"/>
              <w:jc w:val="left"/>
            </w:pPr>
            <w:r>
              <w:rPr>
                <w:rFonts w:ascii="Times New Roman" w:hAnsi="Times New Roman"/>
                <w:sz w:val="15"/>
              </w:rPr>
              <w:t xml:space="preserve">Graph</w:t>
            </w:r>
          </w:p>
        </w:tc>
        <w:tc>
          <w:tcPr>
            <w:tcW w:type="dxa" w:w="2623"/>
          </w:tcPr>
          <w:p>
            <w:pPr>
              <w:pStyle w:val="Compact"/>
              <w:keepNext/>
              <w:spacing w:after="0"/>
              <w:ind w:firstLine="0"/>
              <w:jc w:val="left"/>
            </w:pPr>
            <w:r>
              <w:rPr>
                <w:rFonts w:ascii="Times New Roman" w:hAnsi="Times New Roman"/>
                <w:sz w:val="15"/>
              </w:rPr>
              <w:t xml:space="preserve">Payee present in graph</w:t>
            </w:r>
          </w:p>
        </w:tc>
        <w:tc>
          <w:tcPr>
            <w:tcW w:type="dxa" w:w="5046"/>
          </w:tcPr>
          <w:p>
            <w:pPr>
              <w:pStyle w:val="Compact"/>
              <w:keepNext/>
              <w:spacing w:after="0"/>
              <w:ind w:firstLine="0"/>
              <w:jc w:val="left"/>
            </w:pPr>
            <w:r>
              <w:rPr>
                <w:rFonts w:ascii="Times New Roman" w:hAnsi="Times New Roman"/>
                <w:sz w:val="15"/>
              </w:rPr>
              <w:t xml:space="preserve">Position findings only (fact GRAPH_POSITION)</w:t>
            </w:r>
          </w:p>
        </w:tc>
        <w:tc>
          <w:tcPr>
            <w:tcW w:type="dxa" w:w="706"/>
          </w:tcPr>
          <w:p>
            <w:pPr>
              <w:pStyle w:val="Compact"/>
              <w:keepNext/>
              <w:spacing w:after="0"/>
              <w:ind w:firstLine="0"/>
              <w:jc w:val="left"/>
            </w:pPr>
            <w:r>
              <w:rPr>
                <w:rFonts w:ascii="Times New Roman" w:hAnsi="Times New Roman"/>
                <w:sz w:val="15"/>
              </w:rPr>
              <w:t xml:space="preserve">8</w:t>
            </w:r>
          </w:p>
        </w:tc>
      </w:tr>
      <w:tr>
        <w:tc>
          <w:tcPr>
            <w:tcW w:type="dxa" w:w="1715"/>
          </w:tcPr>
          <w:p>
            <w:pPr>
              <w:pStyle w:val="Compact"/>
              <w:keepNext/>
              <w:spacing w:after="0"/>
              <w:ind w:firstLine="0"/>
              <w:jc w:val="left"/>
            </w:pPr>
            <w:r>
              <w:rPr>
                <w:rFonts w:ascii="Times New Roman" w:hAnsi="Times New Roman"/>
                <w:sz w:val="15"/>
              </w:rPr>
              <w:t xml:space="preserve">Amount context</w:t>
            </w:r>
          </w:p>
        </w:tc>
        <w:tc>
          <w:tcPr>
            <w:tcW w:type="dxa" w:w="2623"/>
          </w:tcPr>
          <w:p>
            <w:pPr>
              <w:pStyle w:val="Compact"/>
              <w:keepNext/>
              <w:spacing w:after="0"/>
              <w:ind w:firstLine="0"/>
              <w:jc w:val="left"/>
            </w:pPr>
            <w:r>
              <w:rPr>
                <w:rFonts w:ascii="Times New Roman" w:hAnsi="Times New Roman"/>
                <w:sz w:val="15"/>
              </w:rPr>
              <w:t xml:space="preserve">Amount known</w:t>
            </w:r>
          </w:p>
        </w:tc>
        <w:tc>
          <w:tcPr>
            <w:tcW w:type="dxa" w:w="5046"/>
          </w:tcPr>
          <w:p>
            <w:pPr>
              <w:pStyle w:val="Compact"/>
              <w:keepNext/>
              <w:spacing w:after="0"/>
              <w:ind w:firstLine="0"/>
              <w:jc w:val="left"/>
            </w:pPr>
            <w:r>
              <w:rPr>
                <w:rFonts w:ascii="Times New Roman" w:hAnsi="Times New Roman"/>
                <w:sz w:val="15"/>
              </w:rPr>
              <w:t xml:space="preserve">Scored; above rail limit: hard block</w:t>
            </w:r>
          </w:p>
        </w:tc>
        <w:tc>
          <w:tcPr>
            <w:tcW w:type="dxa" w:w="706"/>
          </w:tcPr>
          <w:p>
            <w:pPr>
              <w:pStyle w:val="Compact"/>
              <w:keepNext/>
              <w:spacing w:after="0"/>
              <w:ind w:firstLine="0"/>
              <w:jc w:val="left"/>
            </w:pPr>
            <w:r>
              <w:rPr>
                <w:rFonts w:ascii="Times New Roman" w:hAnsi="Times New Roman"/>
                <w:sz w:val="15"/>
              </w:rPr>
              <w:t xml:space="preserve">5</w:t>
            </w:r>
          </w:p>
        </w:tc>
      </w:tr>
      <w:tr>
        <w:tc>
          <w:tcPr>
            <w:tcW w:type="dxa" w:w="1715"/>
          </w:tcPr>
          <w:p>
            <w:pPr>
              <w:pStyle w:val="Compact"/>
              <w:keepNext/>
              <w:spacing w:after="0"/>
              <w:ind w:firstLine="0"/>
              <w:jc w:val="left"/>
            </w:pPr>
            <w:r>
              <w:rPr>
                <w:rFonts w:ascii="Times New Roman" w:hAnsi="Times New Roman"/>
                <w:sz w:val="15"/>
              </w:rPr>
              <w:t xml:space="preserve">Message pressure</w:t>
            </w:r>
          </w:p>
        </w:tc>
        <w:tc>
          <w:tcPr>
            <w:tcW w:type="dxa" w:w="2623"/>
          </w:tcPr>
          <w:p>
            <w:pPr>
              <w:pStyle w:val="Compact"/>
              <w:keepNext/>
              <w:spacing w:after="0"/>
              <w:ind w:firstLine="0"/>
              <w:jc w:val="left"/>
            </w:pPr>
            <w:r>
              <w:rPr>
                <w:rFonts w:ascii="Times New Roman" w:hAnsi="Times New Roman"/>
                <w:sz w:val="15"/>
              </w:rPr>
              <w:t xml:space="preserve">Message supplied</w:t>
            </w:r>
          </w:p>
        </w:tc>
        <w:tc>
          <w:tcPr>
            <w:tcW w:type="dxa" w:w="5046"/>
          </w:tcPr>
          <w:p>
            <w:pPr>
              <w:pStyle w:val="Compact"/>
              <w:keepNext/>
              <w:spacing w:after="0"/>
              <w:ind w:firstLine="0"/>
              <w:jc w:val="left"/>
            </w:pPr>
            <w:r>
              <w:rPr>
                <w:rFonts w:ascii="Times New Roman" w:hAnsi="Times New Roman"/>
                <w:sz w:val="15"/>
              </w:rPr>
              <w:t xml:space="preserve">Scored; 0 if only weak cues</w:t>
            </w:r>
          </w:p>
        </w:tc>
        <w:tc>
          <w:tcPr>
            <w:tcW w:type="dxa" w:w="706"/>
          </w:tcPr>
          <w:p>
            <w:pPr>
              <w:pStyle w:val="Compact"/>
              <w:keepNext/>
              <w:spacing w:after="0"/>
              <w:ind w:firstLine="0"/>
              <w:jc w:val="left"/>
            </w:pPr>
            <w:r>
              <w:rPr>
                <w:rFonts w:ascii="Times New Roman" w:hAnsi="Times New Roman"/>
                <w:sz w:val="15"/>
              </w:rPr>
              <w:t xml:space="preserve">3</w:t>
            </w:r>
          </w:p>
        </w:tc>
      </w:tr>
      <w:tr>
        <w:tc>
          <w:tcPr>
            <w:tcW w:type="dxa" w:w="1715"/>
          </w:tcPr>
          <w:p>
            <w:pPr>
              <w:pStyle w:val="Compact"/>
              <w:keepNext/>
              <w:spacing w:after="0"/>
              <w:ind w:firstLine="0"/>
              <w:jc w:val="left"/>
            </w:pPr>
            <w:r>
              <w:rPr>
                <w:rFonts w:ascii="Times New Roman" w:hAnsi="Times New Roman"/>
                <w:sz w:val="15"/>
              </w:rPr>
              <w:t xml:space="preserve">Link safety</w:t>
            </w:r>
          </w:p>
        </w:tc>
        <w:tc>
          <w:tcPr>
            <w:tcW w:type="dxa" w:w="2623"/>
          </w:tcPr>
          <w:p>
            <w:pPr>
              <w:pStyle w:val="Compact"/>
              <w:keepNext/>
              <w:spacing w:after="0"/>
              <w:ind w:firstLine="0"/>
              <w:jc w:val="left"/>
            </w:pPr>
            <w:r>
              <w:rPr>
                <w:rFonts w:ascii="Times New Roman" w:hAnsi="Times New Roman"/>
                <w:sz w:val="15"/>
              </w:rPr>
              <w:t xml:space="preserve">Always (0 if no link)</w:t>
            </w:r>
          </w:p>
        </w:tc>
        <w:tc>
          <w:tcPr>
            <w:tcW w:type="dxa" w:w="5046"/>
          </w:tcPr>
          <w:p>
            <w:pPr>
              <w:pStyle w:val="Compact"/>
              <w:keepNext/>
              <w:spacing w:after="0"/>
              <w:ind w:firstLine="0"/>
              <w:jc w:val="left"/>
            </w:pPr>
            <w:r>
              <w:rPr>
                <w:rFonts w:ascii="Times New Roman" w:hAnsi="Times New Roman"/>
                <w:sz w:val="15"/>
              </w:rPr>
              <w:t xml:space="preserve">Scored</w:t>
            </w:r>
          </w:p>
        </w:tc>
        <w:tc>
          <w:tcPr>
            <w:tcW w:type="dxa" w:w="706"/>
          </w:tcPr>
          <w:p>
            <w:pPr>
              <w:pStyle w:val="Compact"/>
              <w:keepNext/>
              <w:spacing w:after="0"/>
              <w:ind w:firstLine="0"/>
              <w:jc w:val="left"/>
            </w:pPr>
            <w:r>
              <w:rPr>
                <w:rFonts w:ascii="Times New Roman" w:hAnsi="Times New Roman"/>
                <w:sz w:val="15"/>
              </w:rPr>
              <w:t xml:space="preserve">2</w:t>
            </w:r>
          </w:p>
        </w:tc>
      </w:tr>
      <w:tr>
        <w:tc>
          <w:tcPr>
            <w:tcW w:type="dxa" w:w="1715"/>
          </w:tcPr>
          <w:p>
            <w:pPr>
              <w:pStyle w:val="Compact"/>
              <w:spacing w:after="0"/>
              <w:ind w:firstLine="0"/>
              <w:jc w:val="left"/>
            </w:pPr>
            <w:r>
              <w:rPr>
                <w:rFonts w:ascii="Times New Roman" w:hAnsi="Times New Roman"/>
                <w:sz w:val="15"/>
              </w:rPr>
              <w:t xml:space="preserve">Stated intent</w:t>
            </w:r>
          </w:p>
        </w:tc>
        <w:tc>
          <w:tcPr>
            <w:tcW w:type="dxa" w:w="2623"/>
          </w:tcPr>
          <w:p>
            <w:pPr>
              <w:pStyle w:val="Compact"/>
              <w:spacing w:after="0"/>
              <w:ind w:firstLine="0"/>
              <w:jc w:val="left"/>
            </w:pPr>
            <w:r>
              <w:rPr>
                <w:rFonts w:ascii="Times New Roman" w:hAnsi="Times New Roman"/>
                <w:sz w:val="15"/>
              </w:rPr>
              <w:t xml:space="preserve">Purpose stated</w:t>
            </w:r>
          </w:p>
        </w:tc>
        <w:tc>
          <w:tcPr>
            <w:tcW w:type="dxa" w:w="5046"/>
          </w:tcPr>
          <w:p>
            <w:pPr>
              <w:pStyle w:val="Compact"/>
              <w:spacing w:after="0"/>
              <w:ind w:firstLine="0"/>
              <w:jc w:val="left"/>
            </w:pPr>
            <w:r>
              <w:rPr>
                <w:rFonts w:ascii="Times New Roman" w:hAnsi="Times New Roman"/>
                <w:sz w:val="15"/>
              </w:rPr>
              <w:t xml:space="preserve">Scored</w:t>
            </w:r>
          </w:p>
        </w:tc>
        <w:tc>
          <w:tcPr>
            <w:tcW w:type="dxa" w:w="706"/>
          </w:tcPr>
          <w:p>
            <w:pPr>
              <w:pStyle w:val="Compact"/>
              <w:spacing w:after="0"/>
              <w:ind w:firstLine="0"/>
              <w:jc w:val="left"/>
            </w:pPr>
            <w:r>
              <w:rPr>
                <w:rFonts w:ascii="Times New Roman" w:hAnsi="Times New Roman"/>
                <w:sz w:val="15"/>
              </w:rPr>
              <w:t xml:space="preserve">1</w:t>
            </w:r>
          </w:p>
        </w:tc>
      </w:tr>
    </w:tbl>
    <w:p>
      <w:pPr>
        <w:pStyle w:val="TableNote"/>
      </w:pPr>
      <w:r>
        <w:t xml:space="preserve">Weights</w:t>
      </w:r>
      <w:r>
        <w:t xml:space="preserve"> </w:t>
      </w:r>
      <m:oMath>
        <m:sSub>
          <m:e>
            <m:r>
              <m:t>c</m:t>
            </m:r>
          </m:e>
          <m:sub>
            <m:r>
              <m:t>i</m:t>
            </m:r>
          </m:sub>
        </m:sSub>
      </m:oMath>
      <w:r>
        <w:t xml:space="preserve"> </w:t>
      </w:r>
      <w:r>
        <w:t xml:space="preserve">value availability for the coverage score (10) only; they sum to 100 and never enter risk.</w:t>
      </w:r>
    </w:p>
    <w:p>
      <w:pPr>
        <w:pStyle w:val="Marker"/>
        <w:sectPr>
          <w:type w:val="continuous"/>
          <w:pgSz w:w="11906" w:h="16838"/>
          <w:pgMar w:top="1077" w:right="907" w:bottom="1247" w:left="907" w:header="567" w:footer="567" w:gutter="0"/>
          <w:cols w:num="1" w:space="284"/>
        </w:sectPr>
      </w:pPr>
      <w:r/>
    </w:p>
    <w:bookmarkEnd w:id="27"/>
    <w:bookmarkStart w:id="31" w:name="d.-incremental-payerpayee-graph"/>
    <w:p>
      <w:pPr>
        <w:pStyle w:val="Heading2"/>
      </w:pPr>
      <w:r>
        <w:t xml:space="preserve">D. Incremental Payer–Payee Graph</w:t>
      </w:r>
    </w:p>
    <w:p>
      <w:pPr>
        <w:pStyle w:val="FirstParagraph"/>
      </w:pPr>
      <w:r>
        <w:t xml:space="preserve">Each recorded payment from</w:t>
      </w:r>
      <w:r>
        <w:t xml:space="preserve"> </w:t>
      </w:r>
      <m:oMath>
        <m:r>
          <m:t>u</m:t>
        </m:r>
      </m:oMath>
      <w:r>
        <w:t xml:space="preserve"> </w:t>
      </w:r>
      <w:r>
        <w:t xml:space="preserve">to</w:t>
      </w:r>
      <w:r>
        <w:t xml:space="preserve"> </w:t>
      </w:r>
      <m:oMath>
        <m:r>
          <m:t>p</m:t>
        </m:r>
      </m:oMath>
      <w:r>
        <w:t xml:space="preserve"> </w:t>
      </w:r>
      <w:r>
        <w:t xml:space="preserve">updates a directed edge carrying a payment count and first and last timestamps, updates a per-payee record (distinct payers, repeat payers, payment count, first and last arrival and activity), and merges the components of</w:t>
      </w:r>
      <w:r>
        <w:t xml:space="preserve"> </w:t>
      </w:r>
      <m:oMath>
        <m:r>
          <m:t>u</m:t>
        </m:r>
      </m:oMath>
      <w:r>
        <w:t xml:space="preserve"> </w:t>
      </w:r>
      <w:r>
        <w:t xml:space="preserve">and</w:t>
      </w:r>
      <w:r>
        <w:t xml:space="preserve"> </w:t>
      </w:r>
      <m:oMath>
        <m:r>
          <m:t>p</m:t>
        </m:r>
      </m:oMath>
      <w:r>
        <w:t xml:space="preserve"> </w:t>
      </w:r>
      <w:r>
        <w:t xml:space="preserve">in a union–find structure. These updates share the database transaction that records the payment, so the graph cannot drift from the ledger, and components only merge, matching an append-only ledger. The assessment reads shape quantities through one indexed lookup and overlap through a bounded two-hop query. With</w:t>
      </w:r>
      <w:r>
        <w:t xml:space="preserve"> </w:t>
      </w:r>
      <m:oMath>
        <m:r>
          <m:t>P</m:t>
        </m:r>
        <m:d>
          <m:dPr>
            <m:begChr m:val="("/>
            <m:endChr m:val=")"/>
            <m:sepChr m:val=""/>
            <m:grow/>
          </m:dPr>
          <m:e>
            <m:r>
              <m:t>p</m:t>
            </m:r>
          </m:e>
        </m:d>
      </m:oMath>
      <w:r>
        <w:t xml:space="preserve"> </w:t>
      </w:r>
      <w:r>
        <w:t xml:space="preserve">the payers of</w:t>
      </w:r>
      <w:r>
        <w:t xml:space="preserve"> </w:t>
      </w:r>
      <m:oMath>
        <m:r>
          <m:t>p</m:t>
        </m:r>
      </m:oMath>
      <w:r>
        <w:t xml:space="preserve"> </w:t>
      </w:r>
      <w:r>
        <w:t xml:space="preserve">in</w:t>
      </w:r>
      <w:r>
        <w:t xml:space="preserve"> </w:t>
      </w:r>
      <m:oMath>
        <m:sSub>
          <m:e>
            <m:r>
              <m:rPr>
                <m:sty m:val="p"/>
                <m:scr m:val="script"/>
              </m:rPr>
              <m:t>G</m:t>
            </m:r>
          </m:e>
          <m:sub>
            <m:r>
              <m:rPr>
                <m:sty m:val="p"/>
              </m:rPr>
              <m:t>&lt;</m:t>
            </m:r>
            <m:r>
              <m:t>t</m:t>
            </m:r>
          </m:sub>
        </m:sSub>
      </m:oMath>
      <w:r>
        <w:t xml:space="preserve">, the overlap with a peer</w:t>
      </w:r>
      <w:r>
        <w:t xml:space="preserve"> </w:t>
      </w:r>
      <m:oMath>
        <m:r>
          <m:t>p</m:t>
        </m:r>
        <m:r>
          <m:rPr>
            <m:sty m:val="p"/>
          </m:rPr>
          <m:t>′</m:t>
        </m:r>
      </m:oMath>
      <w:r>
        <w:t xml:space="preserve"> </w:t>
      </w:r>
      <w:r>
        <w:t xml:space="preserve">is</w:t>
      </w:r>
    </w:p>
    <w:p>
      <w:pPr>
        <w:pStyle w:val="BodyText"/>
      </w:pPr>
      <m:oMathPara>
        <m:oMathParaPr>
          <m:jc m:val="center"/>
        </m:oMathParaPr>
        <m:oMath>
          <m:r>
            <m:t>ω</m:t>
          </m:r>
          <m:d>
            <m:dPr>
              <m:begChr m:val="("/>
              <m:endChr m:val=")"/>
              <m:sepChr m:val=""/>
              <m:grow/>
            </m:dPr>
            <m:e>
              <m:r>
                <m:t>p</m:t>
              </m:r>
              <m:r>
                <m:rPr>
                  <m:sty m:val="p"/>
                </m:rPr>
                <m:t>,</m:t>
              </m:r>
              <m:r>
                <m:t>p</m:t>
              </m:r>
              <m:r>
                <m:rPr>
                  <m:sty m:val="p"/>
                </m:rPr>
                <m:t>′</m:t>
              </m:r>
            </m:e>
          </m:d>
          <m:r>
            <m:rPr>
              <m:sty m:val="p"/>
            </m:rPr>
            <m:t>=</m:t>
          </m:r>
          <m:f>
            <m:fPr>
              <m:type m:val="bar"/>
            </m:fPr>
            <m:num>
              <m:d>
                <m:dPr>
                  <m:begChr m:val="|"/>
                  <m:endChr m:val="|"/>
                  <m:sepChr m:val=""/>
                  <m:grow/>
                </m:dPr>
                <m:e>
                  <m:r>
                    <m:t>P</m:t>
                  </m:r>
                  <m:d>
                    <m:dPr>
                      <m:begChr m:val="("/>
                      <m:endChr m:val=")"/>
                      <m:sepChr m:val=""/>
                      <m:grow/>
                    </m:dPr>
                    <m:e>
                      <m:r>
                        <m:t>p</m:t>
                      </m:r>
                    </m:e>
                  </m:d>
                  <m:r>
                    <m:rPr>
                      <m:sty m:val="p"/>
                    </m:rPr>
                    <m:t>∩</m:t>
                  </m:r>
                  <m:r>
                    <m:t>P</m:t>
                  </m:r>
                  <m:d>
                    <m:dPr>
                      <m:begChr m:val="("/>
                      <m:endChr m:val=")"/>
                      <m:sepChr m:val=""/>
                      <m:grow/>
                    </m:dPr>
                    <m:e>
                      <m:r>
                        <m:t>p</m:t>
                      </m:r>
                      <m:r>
                        <m:rPr>
                          <m:sty m:val="p"/>
                        </m:rPr>
                        <m:t>′</m:t>
                      </m:r>
                    </m:e>
                  </m:d>
                </m:e>
              </m:d>
            </m:num>
            <m:den>
              <m:r>
                <m:rPr>
                  <m:sty m:val="p"/>
                </m:rPr>
                <m:t>min</m:t>
              </m:r>
              <m:d>
                <m:dPr>
                  <m:begChr m:val="("/>
                  <m:endChr m:val=")"/>
                  <m:sepChr m:val=""/>
                  <m:grow/>
                </m:dPr>
                <m:e>
                  <m:d>
                    <m:dPr>
                      <m:begChr m:val="|"/>
                      <m:endChr m:val="|"/>
                      <m:sepChr m:val=""/>
                      <m:grow/>
                    </m:dPr>
                    <m:e>
                      <m:r>
                        <m:t>P</m:t>
                      </m:r>
                      <m:d>
                        <m:dPr>
                          <m:begChr m:val="("/>
                          <m:endChr m:val=")"/>
                          <m:sepChr m:val=""/>
                          <m:grow/>
                        </m:dPr>
                        <m:e>
                          <m:r>
                            <m:t>p</m:t>
                          </m:r>
                        </m:e>
                      </m:d>
                    </m:e>
                  </m:d>
                  <m:r>
                    <m:rPr>
                      <m:sty m:val="p"/>
                    </m:rPr>
                    <m:t>,</m:t>
                  </m:r>
                  <m:d>
                    <m:dPr>
                      <m:begChr m:val="|"/>
                      <m:endChr m:val="|"/>
                      <m:sepChr m:val=""/>
                      <m:grow/>
                    </m:dPr>
                    <m:e>
                      <m:r>
                        <m:t>P</m:t>
                      </m:r>
                      <m:d>
                        <m:dPr>
                          <m:begChr m:val="("/>
                          <m:endChr m:val=")"/>
                          <m:sepChr m:val=""/>
                          <m:grow/>
                        </m:dPr>
                        <m:e>
                          <m:r>
                            <m:t>p</m:t>
                          </m:r>
                          <m:r>
                            <m:rPr>
                              <m:sty m:val="p"/>
                            </m:rPr>
                            <m:t>′</m:t>
                          </m:r>
                        </m:e>
                      </m:d>
                    </m:e>
                  </m:d>
                </m:e>
              </m:d>
            </m:den>
          </m:f>
          <m:r>
            <m:t>  </m:t>
          </m:r>
          <m:d>
            <m:dPr>
              <m:begChr m:val="("/>
              <m:endChr m:val=")"/>
              <m:sepChr m:val=""/>
              <m:grow/>
            </m:dPr>
            <m:e>
              <m:r>
                <m:t>4</m:t>
              </m:r>
            </m:e>
          </m:d>
        </m:oMath>
      </m:oMathPara>
    </w:p>
    <w:p>
      <w:pPr>
        <w:pStyle w:val="FirstParagraph"/>
      </w:pPr>
      <w:r>
        <w:t xml:space="preserve">For the peer</w:t>
      </w:r>
      <w:r>
        <w:t xml:space="preserve"> </w:t>
      </w:r>
      <m:oMath>
        <m:sSup>
          <m:e>
            <m:r>
              <m:t>p</m:t>
            </m:r>
          </m:e>
          <m:sup>
            <m:r>
              <m:rPr>
                <m:sty m:val="p"/>
              </m:rPr>
              <m:t>⋆</m:t>
            </m:r>
          </m:sup>
        </m:sSup>
      </m:oMath>
      <w:r>
        <w:t xml:space="preserve"> </w:t>
      </w:r>
      <w:r>
        <w:t xml:space="preserve">sharing the most payers, overlap is read only if both addresses have at least ten payers, and it is discounted when the peer’s repeat ratio is at least 0.1. A</w:t>
      </w:r>
      <w:r>
        <w:t xml:space="preserve"> </w:t>
      </w:r>
      <w:r>
        <w:rPr>
          <w:iCs/>
          <w:i/>
        </w:rPr>
        <w:t xml:space="preserve">position</w:t>
      </w:r>
      <w:r>
        <w:t xml:space="preserve"> </w:t>
      </w:r>
      <w:r>
        <w:t xml:space="preserve">finding fires when</w:t>
      </w:r>
      <w:r>
        <w:t xml:space="preserve"> </w:t>
      </w:r>
      <m:oMath>
        <m:d>
          <m:dPr>
            <m:begChr m:val="|"/>
            <m:endChr m:val="|"/>
            <m:sepChr m:val=""/>
            <m:grow/>
          </m:dPr>
          <m:e>
            <m:r>
              <m:t>P</m:t>
            </m:r>
            <m:d>
              <m:dPr>
                <m:begChr m:val="("/>
                <m:endChr m:val=")"/>
                <m:sepChr m:val=""/>
                <m:grow/>
              </m:dPr>
              <m:e>
                <m:r>
                  <m:t>p</m:t>
                </m:r>
              </m:e>
            </m:d>
            <m:r>
              <m:rPr>
                <m:sty m:val="p"/>
              </m:rPr>
              <m:t>∩</m:t>
            </m:r>
            <m:r>
              <m:t>P</m:t>
            </m:r>
            <m:d>
              <m:dPr>
                <m:begChr m:val="("/>
                <m:endChr m:val=")"/>
                <m:sepChr m:val=""/>
                <m:grow/>
              </m:dPr>
              <m:e>
                <m:sSup>
                  <m:e>
                    <m:r>
                      <m:t>p</m:t>
                    </m:r>
                  </m:e>
                  <m:sup>
                    <m:r>
                      <m:rPr>
                        <m:sty m:val="p"/>
                      </m:rPr>
                      <m:t>⋆</m:t>
                    </m:r>
                  </m:sup>
                </m:sSup>
              </m:e>
            </m:d>
          </m:e>
        </m:d>
        <m:r>
          <m:rPr>
            <m:sty m:val="p"/>
          </m:rPr>
          <m:t>≥</m:t>
        </m:r>
        <m:r>
          <m:t>4</m:t>
        </m:r>
      </m:oMath>
      <w:r>
        <w:t xml:space="preserve">,</w:t>
      </w:r>
      <w:r>
        <w:t xml:space="preserve"> </w:t>
      </w:r>
      <m:oMath>
        <m:r>
          <m:t>ω</m:t>
        </m:r>
        <m:d>
          <m:dPr>
            <m:begChr m:val="("/>
            <m:endChr m:val=")"/>
            <m:sepChr m:val=""/>
            <m:grow/>
          </m:dPr>
          <m:e>
            <m:r>
              <m:t>p</m:t>
            </m:r>
            <m:r>
              <m:rPr>
                <m:sty m:val="p"/>
              </m:rPr>
              <m:t>,</m:t>
            </m:r>
            <m:sSup>
              <m:e>
                <m:r>
                  <m:t>p</m:t>
                </m:r>
              </m:e>
              <m:sup>
                <m:r>
                  <m:rPr>
                    <m:sty m:val="p"/>
                  </m:rPr>
                  <m:t>⋆</m:t>
                </m:r>
              </m:sup>
            </m:sSup>
          </m:e>
        </m:d>
        <m:r>
          <m:rPr>
            <m:sty m:val="p"/>
          </m:rPr>
          <m:t>≥</m:t>
        </m:r>
        <m:r>
          <m:t>0.6</m:t>
        </m:r>
      </m:oMath>
      <w:r>
        <w:t xml:space="preserve"> </w:t>
      </w:r>
      <w:r>
        <w:t xml:space="preserve">and the repeat ratio of</w:t>
      </w:r>
      <w:r>
        <w:t xml:space="preserve"> </w:t>
      </w:r>
      <m:oMath>
        <m:r>
          <m:t>p</m:t>
        </m:r>
      </m:oMath>
      <w:r>
        <w:t xml:space="preserve"> </w:t>
      </w:r>
      <w:r>
        <w:t xml:space="preserve">is below 0.1 (Fig. 2): many payers shared with one other address, almost none returning, which is consistent with collection accounts drawing on a common victim pool rather than with merchants whose customers return.</w:t>
      </w:r>
      <w:r>
        <w:t xml:space="preserve"> </w:t>
      </w:r>
      <w:r>
        <w:rPr>
          <w:iCs/>
          <w:i/>
        </w:rPr>
        <w:t xml:space="preserve">Shape</w:t>
      </w:r>
      <w:r>
        <w:t xml:space="preserve"> </w:t>
      </w:r>
      <w:r>
        <w:t xml:space="preserve">findings (many one-time payers, compressed arrivals, a high rate of new payers) restate what payee history already scores, so they carry zero weight and share the PAYEE_SHAPE fact. Component size is recorded but never used as a finding. The component is explicit graph analytics: it learns no embeddings and captures only patterns specified in advance, in exchange for findings that can be named and computed within one request on a small, partially observed graph.</w:t>
      </w:r>
    </w:p>
    <w:p>
      <w:pPr>
        <w:pStyle w:val="CaptionedFigure"/>
      </w:pPr>
      <w:r>
        <w:drawing>
          <wp:inline>
            <wp:extent cx="2651760" cy="1710501"/>
            <wp:effectExtent b="0" l="0" r="0" t="0"/>
            <wp:docPr descr="Fig. 2. Illustrative graph update (not experimental data). (a) Payees X and Y share payer C, so the overlap ratio is 0.5. (b) After D→X the shared set is {C, D} and the ratio is 1.0. No finding fires, because each address needs at least ten payers." title="" id="29" name="Picture"/>
            <a:graphic>
              <a:graphicData uri="http://schemas.openxmlformats.org/drawingml/2006/picture">
                <pic:pic>
                  <pic:nvPicPr>
                    <pic:cNvPr descr="fig/fig3_graph.png" id="30" name="Picture"/>
                    <pic:cNvPicPr>
                      <a:picLocks noChangeArrowheads="1" noChangeAspect="1"/>
                    </pic:cNvPicPr>
                  </pic:nvPicPr>
                  <pic:blipFill>
                    <a:blip r:embed="rId28"/>
                    <a:stretch>
                      <a:fillRect/>
                    </a:stretch>
                  </pic:blipFill>
                  <pic:spPr bwMode="auto">
                    <a:xfrm>
                      <a:off x="0" y="0"/>
                      <a:ext cx="2651760" cy="1710501"/>
                    </a:xfrm>
                    <a:prstGeom prst="rect">
                      <a:avLst/>
                    </a:prstGeom>
                    <a:noFill/>
                    <a:ln w="9525">
                      <a:noFill/>
                      <a:headEnd/>
                      <a:tailEnd/>
                    </a:ln>
                  </pic:spPr>
                </pic:pic>
              </a:graphicData>
            </a:graphic>
          </wp:inline>
        </w:drawing>
      </w:r>
    </w:p>
    <w:p>
      <w:pPr>
        <w:pStyle w:val="ImageCaption"/>
      </w:pPr>
      <w:r>
        <w:t xml:space="preserve">Fig. 2. Illustrative graph update (not experimental data). (a) Payees X and Y share payer C, so the overlap ratio is 0.5. (b) After D→X the shared set is {C, D} and the ratio is 1.0. No finding fires, because each address needs at least ten payers.</w:t>
      </w:r>
    </w:p>
    <w:bookmarkEnd w:id="31"/>
    <w:bookmarkEnd w:id="32"/>
    <w:bookmarkStart w:id="36" w:name="iv.-dataset-and-feature-representation"/>
    <w:p>
      <w:pPr>
        <w:pStyle w:val="Heading1"/>
      </w:pPr>
      <w:r>
        <w:t xml:space="preserve">IV. Dataset and Feature Representation</w:t>
      </w:r>
    </w:p>
    <w:bookmarkStart w:id="33" w:name="a.-synthetic-corpus"/>
    <w:p>
      <w:pPr>
        <w:pStyle w:val="Heading2"/>
      </w:pPr>
      <w:r>
        <w:t xml:space="preserve">A. Synthetic Corpus</w:t>
      </w:r>
    </w:p>
    <w:p>
      <w:pPr>
        <w:pStyle w:val="FirstParagraph"/>
      </w:pPr>
      <w:r>
        <w:t xml:space="preserve">Labelled UPI fraud data held by banks, PSPs and NPCI are not public, and no such data were used. The classifier is trained and evaluated on a corpus from a purpose-written simulator in the tradition of agent-based payment simulators [17], which gives a known generating process and seed-level reproducibility but cannot establish performance on real UPI traffic. The corpus contains 120,000 transactions from 2,000 simulated payers (nominal fraud rate 0.012, seed 42), of which 1,419 are fraudulent, a prevalence of 1.183% (Table III). Payers have a log-normal typical amount (median about Rs 270), a usual hour, a daily rate and habitual payees; a 12% segment makes large routine payments so that large amounts are not almost exclusively fraudulent, and all amounts respect the UPI per-transaction limit.</w:t>
      </w:r>
    </w:p>
    <w:p>
      <w:pPr>
        <w:pStyle w:val="BodyText"/>
      </w:pPr>
      <w:r>
        <w:t xml:space="preserve">Fraud is drawn from four scenarios in fixed proportions: social engineering (SE) 50%, mule collection (MC) 22%, account takeover (AT) 20% and card testing (CT) 8%. These proportions are simulator settings, not estimates of real fraud composition. Labels come from the generating process, and the scenarios deliberately overlap with legitimate behaviour: legitimate payers sometimes send large amounts to new payees, some AT payments go to known payees, and some SE payees are aged accounts resembling small merchants. Two separability artefacts present in earlier generator versions were removed. The corpus is row-level: each row samples the evidence state at the moment one payment is about to be made, rather than replaying a time-ordered ledger through the running system.</w:t>
      </w:r>
    </w:p>
    <w:p>
      <w:pPr>
        <w:pStyle w:val="TableCaption"/>
      </w:pPr>
      <w:r>
        <w:t>TABLE III</w:t>
        <w:br/>
      </w:r>
      <w:r>
        <w:rPr>
          <w:smallCaps/>
        </w:rPr>
        <w:t>Dataset and Feature Representations (Synthetic Corpus, Seed 42)</w:t>
      </w:r>
    </w:p>
    <w:tbl>
      <w:tblPr>
        <w:tblW w:type="dxa" w:w="4904"/>
        <w:tblLook w:firstRow="1" w:lastRow="0" w:firstColumn="0" w:lastColumn="0" w:noHBand="0" w:noVBand="0" w:val="0020"/>
        <w:jc w:val="center"/>
        <w:tblCaption w:val="TABLE III. Dataset and Feature Representations (Synthetic Corpus, Seed 42)"/>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2059"/>
        <w:gridCol w:w="2844"/>
      </w:tblGrid>
      <w:tr>
        <w:trPr>
          <w:tblHeader w:val="true"/>
        </w:trPr>
        <w:tc>
          <w:tcPr>
            <w:tcW w:type="dxa" w:w="2059"/>
            <w:tcBorders>
              <w:bottom w:val="single" w:sz="4" w:space="0" w:color="000000"/>
            </w:tcBorders>
          </w:tcPr>
          <w:p>
            <w:pPr>
              <w:pStyle w:val="Compact"/>
              <w:keepNext/>
              <w:spacing w:after="0"/>
              <w:ind w:firstLine="0"/>
              <w:jc w:val="left"/>
            </w:pPr>
            <w:r>
              <w:rPr>
                <w:rFonts w:ascii="Times New Roman" w:hAnsi="Times New Roman"/>
                <w:b/>
                <w:sz w:val="15"/>
              </w:rPr>
              <w:t xml:space="preserve">Item</w:t>
            </w:r>
          </w:p>
        </w:tc>
        <w:tc>
          <w:tcPr>
            <w:tcW w:type="dxa" w:w="2844"/>
            <w:tcBorders>
              <w:bottom w:val="single" w:sz="4" w:space="0" w:color="000000"/>
            </w:tcBorders>
          </w:tcPr>
          <w:p>
            <w:pPr>
              <w:pStyle w:val="Compact"/>
              <w:keepNext/>
              <w:spacing w:after="0"/>
              <w:ind w:firstLine="0"/>
              <w:jc w:val="left"/>
            </w:pPr>
            <w:r>
              <w:rPr>
                <w:rFonts w:ascii="Times New Roman" w:hAnsi="Times New Roman"/>
                <w:b/>
                <w:sz w:val="15"/>
              </w:rPr>
              <w:t xml:space="preserve">Value</w:t>
            </w:r>
          </w:p>
        </w:tc>
      </w:tr>
      <w:tr>
        <w:tc>
          <w:tcPr>
            <w:tcW w:type="dxa" w:w="2059"/>
          </w:tcPr>
          <w:p>
            <w:pPr>
              <w:pStyle w:val="Compact"/>
              <w:keepNext/>
              <w:spacing w:after="0"/>
              <w:ind w:firstLine="0"/>
              <w:jc w:val="left"/>
            </w:pPr>
            <w:r>
              <w:rPr>
                <w:rFonts w:ascii="Times New Roman" w:hAnsi="Times New Roman"/>
                <w:sz w:val="15"/>
              </w:rPr>
              <w:t xml:space="preserve">Transactions / simulated payers</w:t>
            </w:r>
          </w:p>
        </w:tc>
        <w:tc>
          <w:tcPr>
            <w:tcW w:type="dxa" w:w="2844"/>
          </w:tcPr>
          <w:p>
            <w:pPr>
              <w:pStyle w:val="Compact"/>
              <w:keepNext/>
              <w:spacing w:after="0"/>
              <w:ind w:firstLine="0"/>
              <w:jc w:val="left"/>
            </w:pPr>
            <w:r>
              <w:rPr>
                <w:rFonts w:ascii="Times New Roman" w:hAnsi="Times New Roman"/>
                <w:sz w:val="15"/>
              </w:rPr>
              <w:t xml:space="preserve">120,000 / 2,000</w:t>
            </w:r>
          </w:p>
        </w:tc>
      </w:tr>
      <w:tr>
        <w:tc>
          <w:tcPr>
            <w:tcW w:type="dxa" w:w="2059"/>
          </w:tcPr>
          <w:p>
            <w:pPr>
              <w:pStyle w:val="Compact"/>
              <w:keepNext/>
              <w:spacing w:after="0"/>
              <w:ind w:firstLine="0"/>
              <w:jc w:val="left"/>
            </w:pPr>
            <w:r>
              <w:rPr>
                <w:rFonts w:ascii="Times New Roman" w:hAnsi="Times New Roman"/>
                <w:sz w:val="15"/>
              </w:rPr>
              <w:t xml:space="preserve">Fraudulent transactions</w:t>
            </w:r>
          </w:p>
        </w:tc>
        <w:tc>
          <w:tcPr>
            <w:tcW w:type="dxa" w:w="2844"/>
          </w:tcPr>
          <w:p>
            <w:pPr>
              <w:pStyle w:val="Compact"/>
              <w:keepNext/>
              <w:spacing w:after="0"/>
              <w:ind w:firstLine="0"/>
              <w:jc w:val="left"/>
            </w:pPr>
            <w:r>
              <w:rPr>
                <w:rFonts w:ascii="Times New Roman" w:hAnsi="Times New Roman"/>
                <w:sz w:val="15"/>
              </w:rPr>
              <w:t xml:space="preserve">1,419 (1.183%)</w:t>
            </w:r>
          </w:p>
        </w:tc>
      </w:tr>
      <w:tr>
        <w:tc>
          <w:tcPr>
            <w:tcW w:type="dxa" w:w="2059"/>
          </w:tcPr>
          <w:p>
            <w:pPr>
              <w:pStyle w:val="Compact"/>
              <w:keepNext/>
              <w:spacing w:after="0"/>
              <w:ind w:firstLine="0"/>
              <w:jc w:val="left"/>
            </w:pPr>
            <w:r>
              <w:rPr>
                <w:rFonts w:ascii="Times New Roman" w:hAnsi="Times New Roman"/>
                <w:sz w:val="15"/>
              </w:rPr>
              <w:t xml:space="preserve">Train / validation / test rows</w:t>
            </w:r>
          </w:p>
        </w:tc>
        <w:tc>
          <w:tcPr>
            <w:tcW w:type="dxa" w:w="2844"/>
          </w:tcPr>
          <w:p>
            <w:pPr>
              <w:pStyle w:val="Compact"/>
              <w:keepNext/>
              <w:spacing w:after="0"/>
              <w:ind w:firstLine="0"/>
              <w:jc w:val="left"/>
            </w:pPr>
            <w:r>
              <w:rPr>
                <w:rFonts w:ascii="Times New Roman" w:hAnsi="Times New Roman"/>
                <w:sz w:val="15"/>
              </w:rPr>
              <w:t xml:space="preserve">72,000 / 18,000 / 30,000</w:t>
            </w:r>
          </w:p>
        </w:tc>
      </w:tr>
      <w:tr>
        <w:tc>
          <w:tcPr>
            <w:tcW w:type="dxa" w:w="2059"/>
          </w:tcPr>
          <w:p>
            <w:pPr>
              <w:pStyle w:val="Compact"/>
              <w:keepNext/>
              <w:spacing w:after="0"/>
              <w:ind w:firstLine="0"/>
              <w:jc w:val="left"/>
            </w:pPr>
            <w:r>
              <w:rPr>
                <w:rFonts w:ascii="Times New Roman" w:hAnsi="Times New Roman"/>
                <w:sz w:val="15"/>
              </w:rPr>
              <w:t xml:space="preserve">Fraudulent rows per split</w:t>
            </w:r>
          </w:p>
        </w:tc>
        <w:tc>
          <w:tcPr>
            <w:tcW w:type="dxa" w:w="2844"/>
          </w:tcPr>
          <w:p>
            <w:pPr>
              <w:pStyle w:val="Compact"/>
              <w:keepNext/>
              <w:spacing w:after="0"/>
              <w:ind w:firstLine="0"/>
              <w:jc w:val="left"/>
            </w:pPr>
            <w:r>
              <w:rPr>
                <w:rFonts w:ascii="Times New Roman" w:hAnsi="Times New Roman"/>
                <w:sz w:val="15"/>
              </w:rPr>
              <w:t xml:space="preserve">851 / 213 / 355</w:t>
            </w:r>
          </w:p>
        </w:tc>
      </w:tr>
      <w:tr>
        <w:tc>
          <w:tcPr>
            <w:tcW w:type="dxa" w:w="2059"/>
          </w:tcPr>
          <w:p>
            <w:pPr>
              <w:pStyle w:val="Compact"/>
              <w:keepNext/>
              <w:spacing w:after="0"/>
              <w:ind w:firstLine="0"/>
              <w:jc w:val="left"/>
            </w:pPr>
            <w:r>
              <w:rPr>
                <w:rFonts w:ascii="Times New Roman" w:hAnsi="Times New Roman"/>
                <w:sz w:val="15"/>
              </w:rPr>
              <w:t xml:space="preserve">Test fraud by scenario</w:t>
            </w:r>
          </w:p>
        </w:tc>
        <w:tc>
          <w:tcPr>
            <w:tcW w:type="dxa" w:w="2844"/>
          </w:tcPr>
          <w:p>
            <w:pPr>
              <w:pStyle w:val="Compact"/>
              <w:keepNext/>
              <w:spacing w:after="0"/>
              <w:ind w:firstLine="0"/>
              <w:jc w:val="left"/>
            </w:pPr>
            <w:r>
              <w:rPr>
                <w:rFonts w:ascii="Times New Roman" w:hAnsi="Times New Roman"/>
                <w:sz w:val="15"/>
              </w:rPr>
              <w:t xml:space="preserve">SE 182, MC 80, AT 73, CT 20</w:t>
            </w:r>
          </w:p>
        </w:tc>
      </w:tr>
      <w:tr>
        <w:tc>
          <w:tcPr>
            <w:tcW w:type="dxa" w:w="2059"/>
          </w:tcPr>
          <w:p>
            <w:pPr>
              <w:pStyle w:val="Compact"/>
              <w:keepNext/>
              <w:spacing w:after="0"/>
              <w:ind w:firstLine="0"/>
              <w:jc w:val="left"/>
            </w:pPr>
            <w:r>
              <w:rPr>
                <w:rFonts w:ascii="Times New Roman" w:hAnsi="Times New Roman"/>
                <w:sz w:val="15"/>
              </w:rPr>
              <w:t xml:space="preserve">Rows with hidden payee history</w:t>
            </w:r>
          </w:p>
        </w:tc>
        <w:tc>
          <w:tcPr>
            <w:tcW w:type="dxa" w:w="2844"/>
          </w:tcPr>
          <w:p>
            <w:pPr>
              <w:pStyle w:val="Compact"/>
              <w:keepNext/>
              <w:spacing w:after="0"/>
              <w:ind w:firstLine="0"/>
              <w:jc w:val="left"/>
            </w:pPr>
            <w:r>
              <w:rPr>
                <w:rFonts w:ascii="Times New Roman" w:hAnsi="Times New Roman"/>
                <w:sz w:val="15"/>
              </w:rPr>
              <w:t xml:space="preserve">29,376 (24.48%)</w:t>
            </w:r>
          </w:p>
        </w:tc>
      </w:tr>
      <w:tr>
        <w:tc>
          <w:tcPr>
            <w:tcW w:type="dxa" w:w="2059"/>
          </w:tcPr>
          <w:p>
            <w:pPr>
              <w:pStyle w:val="Compact"/>
              <w:keepNext/>
              <w:spacing w:after="0"/>
              <w:ind w:firstLine="0"/>
              <w:jc w:val="left"/>
            </w:pPr>
            <w:r>
              <w:rPr>
                <w:rFonts w:ascii="Times New Roman" w:hAnsi="Times New Roman"/>
                <w:sz w:val="15"/>
              </w:rPr>
              <w:t xml:space="preserve">V1 (served baseline)</w:t>
            </w:r>
          </w:p>
        </w:tc>
        <w:tc>
          <w:tcPr>
            <w:tcW w:type="dxa" w:w="2844"/>
          </w:tcPr>
          <w:p>
            <w:pPr>
              <w:pStyle w:val="Compact"/>
              <w:keepNext/>
              <w:spacing w:after="0"/>
              <w:ind w:firstLine="0"/>
              <w:jc w:val="left"/>
            </w:pPr>
            <w:r>
              <w:rPr>
                <w:rFonts w:ascii="Times New Roman" w:hAnsi="Times New Roman"/>
                <w:sz w:val="15"/>
              </w:rPr>
              <w:t xml:space="preserve">12 features: payer timing, amount, velocity, payee; threshold 0.1174</w:t>
            </w:r>
          </w:p>
        </w:tc>
      </w:tr>
      <w:tr>
        <w:tc>
          <w:tcPr>
            <w:tcW w:type="dxa" w:w="2059"/>
          </w:tcPr>
          <w:p>
            <w:pPr>
              <w:pStyle w:val="Compact"/>
              <w:spacing w:after="0"/>
              <w:ind w:firstLine="0"/>
              <w:jc w:val="left"/>
            </w:pPr>
            <w:r>
              <w:rPr>
                <w:rFonts w:ascii="Times New Roman" w:hAnsi="Times New Roman"/>
                <w:sz w:val="15"/>
              </w:rPr>
              <w:t xml:space="preserve">V2 (research, offline)</w:t>
            </w:r>
          </w:p>
        </w:tc>
        <w:tc>
          <w:tcPr>
            <w:tcW w:type="dxa" w:w="2844"/>
          </w:tcPr>
          <w:p>
            <w:pPr>
              <w:pStyle w:val="Compact"/>
              <w:spacing w:after="0"/>
              <w:ind w:firstLine="0"/>
              <w:jc w:val="left"/>
            </w:pPr>
            <w:r>
              <w:rPr>
                <w:rFonts w:ascii="Times New Roman" w:hAnsi="Times New Roman"/>
                <w:sz w:val="15"/>
              </w:rPr>
              <w:t xml:space="preserve">47 features in 9 groups: V1 groups + phone-address flag, relationship, graph, message, link, intent; threshold 0.1123</w:t>
            </w:r>
          </w:p>
        </w:tc>
      </w:tr>
    </w:tbl>
    <w:p>
      <w:pPr>
        <w:pStyle w:val="TableNote"/>
      </w:pPr>
      <w:r>
        <w:t xml:space="preserve">Both representations use the same learner and calibration; missing values stay NaN with explicit availability flags. SE, MC, AT, CT: social engineering, mule collection, account takeover, card testing.</w:t>
      </w:r>
    </w:p>
    <w:bookmarkEnd w:id="33"/>
    <w:bookmarkStart w:id="34" w:name="b.-v1-features-and-missing-evidence"/>
    <w:p>
      <w:pPr>
        <w:pStyle w:val="Heading2"/>
      </w:pPr>
      <w:r>
        <w:t xml:space="preserve">B. V1 Features and Missing Evidence</w:t>
      </w:r>
    </w:p>
    <w:p>
      <w:pPr>
        <w:pStyle w:val="FirstParagraph"/>
      </w:pPr>
      <w:r>
        <w:t xml:space="preserve">V1 has twelve features. Seven describe the payer and payment (amount; amount over the payer’s median prior payment; a night indicator for hours before 06:00 or from 22:00; circular distance from the payer’s usual hour; seconds since the last payment, capped at one day; payments in the last hour; payments today relative to the daily average). Five describe the payee: payer-relative novelty (payee_is_new), payee age, distinct payers, repeat ratio (payers who paid more than once over distinct payers, measurable only with at least five payers) and a history-availability flag.</w:t>
      </w:r>
    </w:p>
    <w:p>
      <w:pPr>
        <w:pStyle w:val="BodyText"/>
      </w:pPr>
      <w:r>
        <w:t xml:space="preserve">A deployment observes a payee only after one of its users, or an imported statement, records a payment to it. An earlier pipeline substituted constants for missing payee values, in effect describing every unknown address as moderately established; the current pipeline substitutes nothing. Unavailable payee history leaves the three history values missing (NaN) with the availability flag set to 0, and the histogram-based learner routes missing values natively [19], [22]. The simulator reproduces unavailability with an observation mask whose visibility probability rises with the payee’s distinct-payer count (half-saturation at nine payers). It hides payee history on 24.48% of rows, where simulated prevalence is 1.729% against 1.005% on visible rows. This difference follows from the masking rule, which ties visibility to payer count, and is not evidence that missing history indicates fraud. Because the availability flag is itself a classifier input, missingness can influence the learned probability; the pipeline reports this bias on every run and automated tests bound it. One V1 encoding limitation is retained unchanged: when the usual hour is unknown, the hour-distance feature is 0, indistinguishable from a payment at exactly the usual hour, and V2 inherits this encoding.</w:t>
      </w:r>
    </w:p>
    <w:bookmarkEnd w:id="34"/>
    <w:bookmarkStart w:id="35" w:name="c.-v2-representation"/>
    <w:p>
      <w:pPr>
        <w:pStyle w:val="Heading2"/>
      </w:pPr>
      <w:r>
        <w:t xml:space="preserve">C. V2 Representation</w:t>
      </w:r>
    </w:p>
    <w:p>
      <w:pPr>
        <w:pStyle w:val="FirstParagraph"/>
      </w:pPr>
      <w:r>
        <w:t xml:space="preserve">V2 extends V1 to 47 features in nine groups: payer timing (2), amount (2), velocity (3), payee (5, adding a phone-number-address flag), relationship (4: novelty, prior payments to the payee, days since the first such payment, availability), graph (7: arrival span, lifespan, payments per day, component size, shared-payer peak, overlap ratio, availability), message (18: ten coercion-cue indicators, a coercion probability and score, a weak-cues flag, four text statistics, availability), link (3) and stated intent (3). The V2 generator reproduces the V1 columns bit-for-bit and draws every added column from a separate random stream; an automated check asserts that the V1 columns are unchanged.</w:t>
      </w:r>
    </w:p>
    <w:p>
      <w:pPr>
        <w:pStyle w:val="BodyText"/>
      </w:pPr>
      <w:r>
        <w:t xml:space="preserve">The added channels are simulated. Whether a message is present, its kind, whether it carries a link and which purpose is stated are drawn from scenario-conditional probabilities chosen by the designers and overlapping by design (a message accompanies 55% of legitimate and 62% of SE rows). Message texts come from a pool of 1,022 templates written for the project (364 scam, 557 hard negatives, 101 easy negatives), and one message feature comes from a coercion model fitted on the same pool. Graph features are not computed by running the incremental graph over a simulated ledger; they are sampled per row from distributions that mirror the production gates (the group is missing whenever payee history is hidden, and overlap is missing below the ten-payer gate). The V2 experiment therefore measures the contribution of simulated graph-derived and contextual channels, while the graph implementation itself is validated by software tests. V2 gains are evidence about the architecture under the simulator’s assumptions, not about production performance.</w:t>
      </w:r>
    </w:p>
    <w:bookmarkEnd w:id="35"/>
    <w:bookmarkEnd w:id="36"/>
    <w:bookmarkStart w:id="41" w:name="v.-model-and-evidence-aggregation"/>
    <w:p>
      <w:pPr>
        <w:pStyle w:val="Heading1"/>
      </w:pPr>
      <w:r>
        <w:t xml:space="preserve">V. Model and Evidence Aggregation</w:t>
      </w:r>
    </w:p>
    <w:bookmarkStart w:id="37" w:name="a.-calibrated-classifier"/>
    <w:p>
      <w:pPr>
        <w:pStyle w:val="Heading2"/>
      </w:pPr>
      <w:r>
        <w:t xml:space="preserve">A. Calibrated Classifier</w:t>
      </w:r>
    </w:p>
    <w:p>
      <w:pPr>
        <w:pStyle w:val="FirstParagraph"/>
      </w:pPr>
      <w:r>
        <w:t xml:space="preserve">Both representations use histogram-based gradient-boosted trees [16], [19] as implemented in scikit-learn [22] (300 iterations, learning rate 0.08, at most 31 leaves, balanced class weights, fixed random state), wrapped in five-fold isotonic calibration, which averages the calibrated outputs of five booster–calibrator pairs. Imbalance handling is kept explicit: the data keep their 1.183% prevalence and each split is stratified; balanced class weights rescale each class’s loss contribution; no SMOTE [18], random over- or undersampling, or generative minority sampling is used; and isotonic calibration returns the weighted scores to the observed probability scale. The V2 configuration was fixed on validation only. Four model families were compared on the full V2 features (the V1-configured gradient boosting, a random forest, extremely randomised trees and balanced logistic regression, the last three with median imputation) by validation PR-AUC and then validation recall at 1% FPR, and a validation feature-group ablation selected the full nine-group set. The chosen model was fitted, calibrated, thresholded on validation, and frozen with a fingerprint of the generators, message corpus and coercion weights; its record states that no test rows were used in any decision.</w:t>
      </w:r>
    </w:p>
    <w:p>
      <w:pPr>
        <w:pStyle w:val="BodyText"/>
      </w:pPr>
      <w:r>
        <w:t xml:space="preserve">The threshold</w:t>
      </w:r>
      <w:r>
        <w:t xml:space="preserve"> </w:t>
      </w:r>
      <m:oMath>
        <m:r>
          <m:t>θ</m:t>
        </m:r>
      </m:oMath>
      <w:r>
        <w:t xml:space="preserve"> </w:t>
      </w:r>
      <w:r>
        <w:t xml:space="preserve">is the value with the highest validation recall among thresholds whose validation false-positive rate (FPR) does not exceed 1%, applied unchanged to the test split: 0.1174 for V1 and 0.1123 for V2. An independent re-derivation of the V1 threshold agrees with the stored value to four decimal places. The classifier threshold is distinct from the verdict bands below.</w:t>
      </w:r>
    </w:p>
    <w:bookmarkEnd w:id="37"/>
    <w:bookmarkStart w:id="38" w:name="b.-classifier-evidence-score"/>
    <w:p>
      <w:pPr>
        <w:pStyle w:val="Heading2"/>
      </w:pPr>
      <w:r>
        <w:t xml:space="preserve">B. Classifier Evidence Score</w:t>
      </w:r>
    </w:p>
    <w:p>
      <w:pPr>
        <w:pStyle w:val="FirstParagraph"/>
      </w:pPr>
      <w:r>
        <w:t xml:space="preserve">Measurements are mapped to scores by the clamped linear map</w:t>
      </w:r>
    </w:p>
    <w:p>
      <w:pPr>
        <w:pStyle w:val="BodyText"/>
      </w:pPr>
      <m:oMathPara>
        <m:oMathParaPr>
          <m:jc m:val="center"/>
        </m:oMathParaPr>
        <m:oMath>
          <m:r>
            <m:t>g</m:t>
          </m:r>
          <m:d>
            <m:dPr>
              <m:begChr m:val="("/>
              <m:endChr m:val=")"/>
              <m:sepChr m:val=""/>
              <m:grow/>
            </m:dPr>
            <m:e>
              <m:r>
                <m:t>v</m:t>
              </m:r>
              <m:r>
                <m:rPr>
                  <m:sty m:val="p"/>
                </m:rPr>
                <m:t>;</m:t>
              </m:r>
              <m:sSub>
                <m:e>
                  <m:r>
                    <m:t>v</m:t>
                  </m:r>
                </m:e>
                <m:sub>
                  <m:r>
                    <m:t>0</m:t>
                  </m:r>
                </m:sub>
              </m:sSub>
              <m:r>
                <m:rPr>
                  <m:sty m:val="p"/>
                </m:rPr>
                <m:t>,</m:t>
              </m:r>
              <m:sSub>
                <m:e>
                  <m:r>
                    <m:t>v</m:t>
                  </m:r>
                </m:e>
                <m:sub>
                  <m:r>
                    <m:t>1</m:t>
                  </m:r>
                </m:sub>
              </m:sSub>
              <m:r>
                <m:rPr>
                  <m:sty m:val="p"/>
                </m:rPr>
                <m:t>,</m:t>
              </m:r>
              <m:sSub>
                <m:e>
                  <m:r>
                    <m:t>y</m:t>
                  </m:r>
                </m:e>
                <m:sub>
                  <m:r>
                    <m:t>0</m:t>
                  </m:r>
                </m:sub>
              </m:sSub>
              <m:r>
                <m:rPr>
                  <m:sty m:val="p"/>
                </m:rPr>
                <m:t>,</m:t>
              </m:r>
              <m:sSub>
                <m:e>
                  <m:r>
                    <m:t>y</m:t>
                  </m:r>
                </m:e>
                <m:sub>
                  <m:r>
                    <m:t>1</m:t>
                  </m:r>
                </m:sub>
              </m:sSub>
            </m:e>
          </m:d>
          <m:r>
            <m:rPr>
              <m:sty m:val="p"/>
            </m:rPr>
            <m:t>=</m:t>
          </m:r>
          <m:sSub>
            <m:e>
              <m:r>
                <m:t>y</m:t>
              </m:r>
            </m:e>
            <m:sub>
              <m:r>
                <m:t>0</m:t>
              </m:r>
            </m:sub>
          </m:sSub>
          <m:r>
            <m:rPr>
              <m:sty m:val="p"/>
            </m:rPr>
            <m:t>+</m:t>
          </m:r>
          <m:d>
            <m:dPr>
              <m:begChr m:val="("/>
              <m:endChr m:val=")"/>
              <m:sepChr m:val=""/>
              <m:grow/>
            </m:dPr>
            <m:e>
              <m:sSub>
                <m:e>
                  <m:r>
                    <m:t>y</m:t>
                  </m:r>
                </m:e>
                <m:sub>
                  <m:r>
                    <m:t>1</m:t>
                  </m:r>
                </m:sub>
              </m:sSub>
              <m:r>
                <m:rPr>
                  <m:sty m:val="p"/>
                </m:rPr>
                <m:t>−</m:t>
              </m:r>
              <m:sSub>
                <m:e>
                  <m:r>
                    <m:t>y</m:t>
                  </m:r>
                </m:e>
                <m:sub>
                  <m:r>
                    <m:t>0</m:t>
                  </m:r>
                </m:sub>
              </m:sSub>
            </m:e>
          </m:d>
          <m:r>
            <m:t> </m:t>
          </m:r>
          <m:r>
            <m:rPr>
              <m:sty m:val="p"/>
            </m:rPr>
            <m:t>c</m:t>
          </m:r>
          <m:r>
            <m:rPr>
              <m:sty m:val="p"/>
            </m:rPr>
            <m:t>l</m:t>
          </m:r>
          <m:r>
            <m:rPr>
              <m:sty m:val="p"/>
            </m:rPr>
            <m:t>i</m:t>
          </m:r>
          <m:r>
            <m:rPr>
              <m:sty m:val="p"/>
            </m:rPr>
            <m:t>p</m:t>
          </m:r>
          <m:r>
            <m:t>​</m:t>
          </m:r>
          <m:d>
            <m:dPr>
              <m:begChr m:val="("/>
              <m:endChr m:val=")"/>
              <m:sepChr m:val=""/>
              <m:grow/>
            </m:dPr>
            <m:e>
              <m:f>
                <m:fPr>
                  <m:type m:val="bar"/>
                </m:fPr>
                <m:num>
                  <m:r>
                    <m:t>v</m:t>
                  </m:r>
                  <m:r>
                    <m:rPr>
                      <m:sty m:val="p"/>
                    </m:rPr>
                    <m:t>−</m:t>
                  </m:r>
                  <m:sSub>
                    <m:e>
                      <m:r>
                        <m:t>v</m:t>
                      </m:r>
                    </m:e>
                    <m:sub>
                      <m:r>
                        <m:t>0</m:t>
                      </m:r>
                    </m:sub>
                  </m:sSub>
                </m:num>
                <m:den>
                  <m:sSub>
                    <m:e>
                      <m:r>
                        <m:t>v</m:t>
                      </m:r>
                    </m:e>
                    <m:sub>
                      <m:r>
                        <m:t>1</m:t>
                      </m:r>
                    </m:sub>
                  </m:sSub>
                  <m:r>
                    <m:rPr>
                      <m:sty m:val="p"/>
                    </m:rPr>
                    <m:t>−</m:t>
                  </m:r>
                  <m:sSub>
                    <m:e>
                      <m:r>
                        <m:t>v</m:t>
                      </m:r>
                    </m:e>
                    <m:sub>
                      <m:r>
                        <m:t>0</m:t>
                      </m:r>
                    </m:sub>
                  </m:sSub>
                </m:den>
              </m:f>
              <m:r>
                <m:rPr>
                  <m:sty m:val="p"/>
                </m:rPr>
                <m:t>,</m:t>
              </m:r>
              <m:r>
                <m:t>0</m:t>
              </m:r>
              <m:r>
                <m:rPr>
                  <m:sty m:val="p"/>
                </m:rPr>
                <m:t>,</m:t>
              </m:r>
              <m:r>
                <m:t>1</m:t>
              </m:r>
            </m:e>
          </m:d>
          <m:r>
            <m:t>  </m:t>
          </m:r>
          <m:d>
            <m:dPr>
              <m:begChr m:val="("/>
              <m:endChr m:val=")"/>
              <m:sepChr m:val=""/>
              <m:grow/>
            </m:dPr>
            <m:e>
              <m:r>
                <m:t>5</m:t>
              </m:r>
            </m:e>
          </m:d>
        </m:oMath>
      </m:oMathPara>
    </w:p>
    <w:p>
      <w:pPr>
        <w:pStyle w:val="FirstParagraph"/>
      </w:pPr>
      <w:r>
        <w:t xml:space="preserve">With</w:t>
      </w:r>
      <w:r>
        <w:t xml:space="preserve"> </w:t>
      </w:r>
      <m:oMath>
        <m:r>
          <m:t>π</m:t>
        </m:r>
        <m:d>
          <m:dPr>
            <m:begChr m:val="("/>
            <m:endChr m:val=")"/>
            <m:sepChr m:val=""/>
            <m:grow/>
          </m:dPr>
          <m:e>
            <m:r>
              <m:t>x</m:t>
            </m:r>
          </m:e>
        </m:d>
      </m:oMath>
      <w:r>
        <w:t xml:space="preserve"> </w:t>
      </w:r>
      <w:r>
        <w:t xml:space="preserve">the calibrated probability, the classifier family scores</w:t>
      </w:r>
    </w:p>
    <w:p>
      <w:pPr>
        <w:pStyle w:val="BodyText"/>
      </w:pPr>
      <m:oMathPara>
        <m:oMathParaPr>
          <m:jc m:val="center"/>
        </m:oMathParaPr>
        <m:oMath>
          <m:sSub>
            <m:e>
              <m:r>
                <m:t>z</m:t>
              </m:r>
            </m:e>
            <m:sub>
              <m:r>
                <m:rPr>
                  <m:sty m:val="p"/>
                </m:rPr>
                <m:t>m</m:t>
              </m:r>
              <m:r>
                <m:rPr>
                  <m:sty m:val="p"/>
                </m:rPr>
                <m:t>l</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r</m:t>
                    </m:r>
                    <m:r>
                      <m:rPr>
                        <m:sty m:val="p"/>
                      </m:rPr>
                      <m:t>o</m:t>
                    </m:r>
                    <m:r>
                      <m:rPr>
                        <m:sty m:val="p"/>
                      </m:rPr>
                      <m:t>u</m:t>
                    </m:r>
                    <m:r>
                      <m:rPr>
                        <m:sty m:val="p"/>
                      </m:rPr>
                      <m:t>n</m:t>
                    </m:r>
                    <m:r>
                      <m:rPr>
                        <m:sty m:val="p"/>
                      </m:rPr>
                      <m:t>d</m:t>
                    </m:r>
                    <m:r>
                      <m:t> </m:t>
                    </m:r>
                    <m:r>
                      <m:t>g</m:t>
                    </m:r>
                    <m:d>
                      <m:dPr>
                        <m:begChr m:val="("/>
                        <m:endChr m:val=")"/>
                        <m:sepChr m:val=""/>
                        <m:grow/>
                      </m:dPr>
                      <m:e>
                        <m:r>
                          <m:t>π</m:t>
                        </m:r>
                        <m:r>
                          <m:rPr>
                            <m:sty m:val="p"/>
                          </m:rPr>
                          <m:t>;</m:t>
                        </m:r>
                        <m:r>
                          <m:t>0</m:t>
                        </m:r>
                        <m:r>
                          <m:rPr>
                            <m:sty m:val="p"/>
                          </m:rPr>
                          <m:t>,</m:t>
                        </m:r>
                        <m:r>
                          <m:t>θ</m:t>
                        </m:r>
                        <m:r>
                          <m:rPr>
                            <m:sty m:val="p"/>
                          </m:rPr>
                          <m:t>,</m:t>
                        </m:r>
                        <m:r>
                          <m:t>0</m:t>
                        </m:r>
                        <m:r>
                          <m:rPr>
                            <m:sty m:val="p"/>
                          </m:rPr>
                          <m:t>,</m:t>
                        </m:r>
                        <m:r>
                          <m:t>18</m:t>
                        </m:r>
                      </m:e>
                    </m:d>
                    <m:r>
                      <m:rPr>
                        <m:sty m:val="p"/>
                      </m:rPr>
                      <m:t>,</m:t>
                    </m:r>
                  </m:e>
                  <m:e>
                    <m:r>
                      <m:t>π</m:t>
                    </m:r>
                    <m:r>
                      <m:rPr>
                        <m:sty m:val="p"/>
                      </m:rPr>
                      <m:t>&lt;</m:t>
                    </m:r>
                    <m:r>
                      <m:t>θ</m:t>
                    </m:r>
                  </m:e>
                </m:mr>
                <m:mr>
                  <m:e>
                    <m:r>
                      <m:rPr>
                        <m:sty m:val="p"/>
                      </m:rPr>
                      <m:t>r</m:t>
                    </m:r>
                    <m:r>
                      <m:rPr>
                        <m:sty m:val="p"/>
                      </m:rPr>
                      <m:t>o</m:t>
                    </m:r>
                    <m:r>
                      <m:rPr>
                        <m:sty m:val="p"/>
                      </m:rPr>
                      <m:t>u</m:t>
                    </m:r>
                    <m:r>
                      <m:rPr>
                        <m:sty m:val="p"/>
                      </m:rPr>
                      <m:t>n</m:t>
                    </m:r>
                    <m:r>
                      <m:rPr>
                        <m:sty m:val="p"/>
                      </m:rPr>
                      <m:t>d</m:t>
                    </m:r>
                    <m:r>
                      <m:t> </m:t>
                    </m:r>
                    <m:r>
                      <m:t>g</m:t>
                    </m:r>
                    <m:d>
                      <m:dPr>
                        <m:begChr m:val="("/>
                        <m:endChr m:val=")"/>
                        <m:sepChr m:val=""/>
                        <m:grow/>
                      </m:dPr>
                      <m:e>
                        <m:r>
                          <m:t>π</m:t>
                        </m:r>
                        <m:r>
                          <m:rPr>
                            <m:sty m:val="p"/>
                          </m:rPr>
                          <m:t>;</m:t>
                        </m:r>
                        <m:r>
                          <m:t>θ</m:t>
                        </m:r>
                        <m:r>
                          <m:rPr>
                            <m:sty m:val="p"/>
                          </m:rPr>
                          <m:t>,</m:t>
                        </m:r>
                        <m:r>
                          <m:t>0.8</m:t>
                        </m:r>
                        <m:r>
                          <m:rPr>
                            <m:sty m:val="p"/>
                          </m:rPr>
                          <m:t>,</m:t>
                        </m:r>
                        <m:r>
                          <m:t>30</m:t>
                        </m:r>
                        <m:r>
                          <m:rPr>
                            <m:sty m:val="p"/>
                          </m:rPr>
                          <m:t>,</m:t>
                        </m:r>
                        <m:r>
                          <m:t>66</m:t>
                        </m:r>
                      </m:e>
                    </m:d>
                    <m:r>
                      <m:rPr>
                        <m:sty m:val="p"/>
                      </m:rPr>
                      <m:t>,</m:t>
                    </m:r>
                  </m:e>
                  <m:e>
                    <m:r>
                      <m:t>π</m:t>
                    </m:r>
                    <m:r>
                      <m:rPr>
                        <m:sty m:val="p"/>
                      </m:rPr>
                      <m:t>≥</m:t>
                    </m:r>
                    <m:r>
                      <m:t>θ</m:t>
                    </m:r>
                  </m:e>
                </m:mr>
              </m:m>
            </m:e>
          </m:d>
          <m:r>
            <m:t>  </m:t>
          </m:r>
          <m:d>
            <m:dPr>
              <m:begChr m:val="("/>
              <m:endChr m:val=")"/>
              <m:sepChr m:val=""/>
              <m:grow/>
            </m:dPr>
            <m:e>
              <m:r>
                <m:t>6</m:t>
              </m:r>
            </m:e>
          </m:d>
        </m:oMath>
      </m:oMathPara>
    </w:p>
    <w:p>
      <w:pPr>
        <w:pStyle w:val="FirstParagraph"/>
      </w:pPr>
      <w:r>
        <w:t xml:space="preserve">Its ceiling of 66 lies below the BLOCK boundary of 70, so the classifier cannot block a payment on its own. Declaring every fact the classifier reads would let one probability supply up to six corroborations, so facts are attributed counterfactually. A probe</w:t>
      </w:r>
      <w:r>
        <w:t xml:space="preserve"> </w:t>
      </w:r>
      <m:oMath>
        <m:sSup>
          <m:e>
            <m:r>
              <m:t>ϕ</m:t>
            </m:r>
          </m:e>
          <m:sup>
            <m:d>
              <m:dPr>
                <m:begChr m:val="("/>
                <m:endChr m:val=")"/>
                <m:sepChr m:val=""/>
                <m:grow/>
              </m:dPr>
              <m:e>
                <m:r>
                  <m:rPr>
                    <m:sty m:val="p"/>
                  </m:rPr>
                  <m:t>−</m:t>
                </m:r>
                <m:r>
                  <m:t>v</m:t>
                </m:r>
              </m:e>
            </m:d>
          </m:sup>
        </m:sSup>
        <m:d>
          <m:dPr>
            <m:begChr m:val="("/>
            <m:endChr m:val=")"/>
            <m:sepChr m:val=""/>
            <m:grow/>
          </m:dPr>
          <m:e>
            <m:r>
              <m:t>x</m:t>
            </m:r>
          </m:e>
        </m:d>
      </m:oMath>
      <w:r>
        <w:t xml:space="preserve"> </w:t>
      </w:r>
      <w:r>
        <w:t xml:space="preserve">neutralises the inputs behind fact</w:t>
      </w:r>
      <w:r>
        <w:t xml:space="preserve"> </w:t>
      </w:r>
      <m:oMath>
        <m:r>
          <m:t>v</m:t>
        </m:r>
      </m:oMath>
      <w:r>
        <w:t xml:space="preserve"> </w:t>
      </w:r>
      <w:r>
        <w:t xml:space="preserve">(payee-history inputs set to missing, payer-side inputs set to the payer’s ordinary values), and</w:t>
      </w:r>
    </w:p>
    <w:p>
      <w:pPr>
        <w:pStyle w:val="BodyText"/>
      </w:pPr>
      <m:oMathPara>
        <m:oMathParaPr>
          <m:jc m:val="center"/>
        </m:oMathParaPr>
        <m:oMath>
          <m:r>
            <m:t>v</m:t>
          </m:r>
          <m:r>
            <m:rPr>
              <m:sty m:val="p"/>
            </m:rPr>
            <m:t>∈</m:t>
          </m:r>
          <m:sSub>
            <m:e>
              <m:r>
                <m:t>Φ</m:t>
              </m:r>
            </m:e>
            <m:sub>
              <m:r>
                <m:rPr>
                  <m:sty m:val="p"/>
                </m:rPr>
                <m:t>m</m:t>
              </m:r>
              <m:r>
                <m:rPr>
                  <m:sty m:val="p"/>
                </m:rPr>
                <m:t>l</m:t>
              </m:r>
            </m:sub>
          </m:sSub>
          <m:r>
            <m:rPr>
              <m:sty m:val="p"/>
            </m:rPr>
            <m:t>⇔</m:t>
          </m:r>
          <m:r>
            <m:t>π</m:t>
          </m:r>
          <m:d>
            <m:dPr>
              <m:begChr m:val="("/>
              <m:endChr m:val=")"/>
              <m:sepChr m:val=""/>
              <m:grow/>
            </m:dPr>
            <m:e>
              <m:r>
                <m:t>x</m:t>
              </m:r>
            </m:e>
          </m:d>
          <m:r>
            <m:rPr>
              <m:sty m:val="p"/>
            </m:rPr>
            <m:t>−</m:t>
          </m:r>
          <m:r>
            <m:t>π</m:t>
          </m:r>
          <m:r>
            <m:t>​</m:t>
          </m:r>
          <m:d>
            <m:dPr>
              <m:begChr m:val="("/>
              <m:endChr m:val=")"/>
              <m:sepChr m:val=""/>
              <m:grow/>
            </m:dPr>
            <m:e>
              <m:sSup>
                <m:e>
                  <m:r>
                    <m:t>ϕ</m:t>
                  </m:r>
                </m:e>
                <m:sup>
                  <m:d>
                    <m:dPr>
                      <m:begChr m:val="("/>
                      <m:endChr m:val=")"/>
                      <m:sepChr m:val=""/>
                      <m:grow/>
                    </m:dPr>
                    <m:e>
                      <m:r>
                        <m:rPr>
                          <m:sty m:val="p"/>
                        </m:rPr>
                        <m:t>−</m:t>
                      </m:r>
                      <m:r>
                        <m:t>v</m:t>
                      </m:r>
                    </m:e>
                  </m:d>
                </m:sup>
              </m:sSup>
              <m:d>
                <m:dPr>
                  <m:begChr m:val="("/>
                  <m:endChr m:val=")"/>
                  <m:sepChr m:val=""/>
                  <m:grow/>
                </m:dPr>
                <m:e>
                  <m:r>
                    <m:t>x</m:t>
                  </m:r>
                </m:e>
              </m:d>
            </m:e>
          </m:d>
          <m:r>
            <m:rPr>
              <m:sty m:val="p"/>
            </m:rPr>
            <m:t>≥</m:t>
          </m:r>
          <m:r>
            <m:rPr>
              <m:sty m:val="p"/>
            </m:rPr>
            <m:t>max</m:t>
          </m:r>
          <m:d>
            <m:dPr>
              <m:begChr m:val="("/>
              <m:endChr m:val=")"/>
              <m:sepChr m:val=""/>
              <m:grow/>
            </m:dPr>
            <m:e>
              <m:r>
                <m:t>0.01</m:t>
              </m:r>
              <m:r>
                <m:rPr>
                  <m:sty m:val="p"/>
                </m:rPr>
                <m:t>,</m:t>
              </m:r>
              <m:r>
                <m:t>0.15</m:t>
              </m:r>
              <m:r>
                <m:t> </m:t>
              </m:r>
              <m:r>
                <m:t>π</m:t>
              </m:r>
              <m:d>
                <m:dPr>
                  <m:begChr m:val="("/>
                  <m:endChr m:val=")"/>
                  <m:sepChr m:val=""/>
                  <m:grow/>
                </m:dPr>
                <m:e>
                  <m:r>
                    <m:t>x</m:t>
                  </m:r>
                </m:e>
              </m:d>
            </m:e>
          </m:d>
          <m:r>
            <m:t>  </m:t>
          </m:r>
          <m:d>
            <m:dPr>
              <m:begChr m:val="("/>
              <m:endChr m:val=")"/>
              <m:sepChr m:val=""/>
              <m:grow/>
            </m:dPr>
            <m:e>
              <m:r>
                <m:t>7</m:t>
              </m:r>
            </m:e>
          </m:d>
        </m:oMath>
      </m:oMathPara>
    </w:p>
    <w:p>
      <w:pPr>
        <w:pStyle w:val="FirstParagraph"/>
      </w:pPr>
      <w:r>
        <w:t xml:space="preserve">The probes never change</w:t>
      </w:r>
      <w:r>
        <w:t xml:space="preserve"> </w:t>
      </w:r>
      <m:oMath>
        <m:sSub>
          <m:e>
            <m:r>
              <m:t>z</m:t>
            </m:r>
          </m:e>
          <m:sub>
            <m:r>
              <m:rPr>
                <m:sty m:val="p"/>
              </m:rPr>
              <m:t>m</m:t>
            </m:r>
            <m:r>
              <m:rPr>
                <m:sty m:val="p"/>
              </m:rPr>
              <m:t>l</m:t>
            </m:r>
          </m:sub>
        </m:sSub>
      </m:oMath>
      <w:r>
        <w:t xml:space="preserve">.</w:t>
      </w:r>
    </w:p>
    <w:bookmarkEnd w:id="38"/>
    <w:bookmarkStart w:id="39" w:name="X8433654f2f252edf0391b94a8b69c759b457991"/>
    <w:p>
      <w:pPr>
        <w:pStyle w:val="Heading2"/>
      </w:pPr>
      <w:r>
        <w:t xml:space="preserve">C. Risk, Corroboration, Coverage and Verdict</w:t>
      </w:r>
    </w:p>
    <w:p>
      <w:pPr>
        <w:pStyle w:val="FirstParagraph"/>
      </w:pPr>
      <w:r>
        <w:t xml:space="preserve">Let</w:t>
      </w:r>
      <w:r>
        <w:t xml:space="preserve"> </w:t>
      </w:r>
      <m:oMath>
        <m:sSub>
          <m:e>
            <m:r>
              <m:t>z</m:t>
            </m:r>
          </m:e>
          <m:sub>
            <m:d>
              <m:dPr>
                <m:begChr m:val="("/>
                <m:endChr m:val=")"/>
                <m:sepChr m:val=""/>
                <m:grow/>
              </m:dPr>
              <m:e>
                <m:r>
                  <m:t>1</m:t>
                </m:r>
              </m:e>
            </m:d>
          </m:sub>
        </m:sSub>
        <m:r>
          <m:rPr>
            <m:sty m:val="p"/>
          </m:rPr>
          <m:t>≥</m:t>
        </m:r>
        <m:r>
          <m:rPr>
            <m:sty m:val="p"/>
          </m:rPr>
          <m:t>…</m:t>
        </m:r>
        <m:r>
          <m:rPr>
            <m:sty m:val="p"/>
          </m:rPr>
          <m:t>≥</m:t>
        </m:r>
        <m:sSub>
          <m:e>
            <m:r>
              <m:t>z</m:t>
            </m:r>
          </m:e>
          <m:sub>
            <m:d>
              <m:dPr>
                <m:begChr m:val="("/>
                <m:endChr m:val=")"/>
                <m:sepChr m:val=""/>
                <m:grow/>
              </m:dPr>
              <m:e>
                <m:r>
                  <m:t>n</m:t>
                </m:r>
              </m:e>
            </m:d>
          </m:sub>
        </m:sSub>
      </m:oMath>
      <w:r>
        <w:t xml:space="preserve"> </w:t>
      </w:r>
      <w:r>
        <w:t xml:space="preserve">be the scores of active families (</w:t>
      </w:r>
      <m:oMath>
        <m:sSub>
          <m:e>
            <m:r>
              <m:t>a</m:t>
            </m:r>
          </m:e>
          <m:sub>
            <m:r>
              <m:t>i</m:t>
            </m:r>
          </m:sub>
        </m:sSub>
        <m:r>
          <m:rPr>
            <m:sty m:val="p"/>
          </m:rPr>
          <m:t>=</m:t>
        </m:r>
        <m:r>
          <m:t>1</m:t>
        </m:r>
      </m:oMath>
      <w:r>
        <w:t xml:space="preserve">,</w:t>
      </w:r>
      <w:r>
        <w:t xml:space="preserve"> </w:t>
      </w:r>
      <m:oMath>
        <m:sSub>
          <m:e>
            <m:r>
              <m:t>z</m:t>
            </m:r>
          </m:e>
          <m:sub>
            <m:r>
              <m:t>i</m:t>
            </m:r>
          </m:sub>
        </m:sSub>
        <m:r>
          <m:rPr>
            <m:sty m:val="p"/>
          </m:rPr>
          <m:t>&gt;</m:t>
        </m:r>
        <m:r>
          <m:t>0</m:t>
        </m:r>
      </m:oMath>
      <w:r>
        <w:t xml:space="preserve">). The base risk is a damped maximum,</w:t>
      </w:r>
    </w:p>
    <w:p>
      <w:pPr>
        <w:pStyle w:val="BodyText"/>
      </w:pPr>
      <m:oMathPara>
        <m:oMathParaPr>
          <m:jc m:val="center"/>
        </m:oMathParaPr>
        <m:oMath>
          <m:sSub>
            <m:e>
              <m:r>
                <m:t>R</m:t>
              </m:r>
            </m:e>
            <m:sub>
              <m:r>
                <m:t>0</m:t>
              </m:r>
            </m:sub>
          </m:sSub>
          <m:r>
            <m:rPr>
              <m:sty m:val="p"/>
            </m:rPr>
            <m:t>=</m:t>
          </m:r>
          <m:r>
            <m:rPr>
              <m:sty m:val="p"/>
            </m:rPr>
            <m:t>min</m:t>
          </m:r>
          <m:d>
            <m:dPr>
              <m:begChr m:val="("/>
              <m:endChr m:val=")"/>
              <m:sepChr m:val=""/>
              <m:grow/>
            </m:dPr>
            <m:e>
              <m:r>
                <m:t>99</m:t>
              </m:r>
              <m:r>
                <m:rPr>
                  <m:sty m:val="p"/>
                </m:rPr>
                <m:t>,</m:t>
              </m:r>
              <m:r>
                <m:t> </m:t>
              </m:r>
              <m:r>
                <m:rPr>
                  <m:sty m:val="p"/>
                </m:rPr>
                <m:t>r</m:t>
              </m:r>
              <m:r>
                <m:rPr>
                  <m:sty m:val="p"/>
                </m:rPr>
                <m:t>o</m:t>
              </m:r>
              <m:r>
                <m:rPr>
                  <m:sty m:val="p"/>
                </m:rPr>
                <m:t>u</m:t>
              </m:r>
              <m:r>
                <m:rPr>
                  <m:sty m:val="p"/>
                </m:rPr>
                <m:t>n</m:t>
              </m:r>
              <m:r>
                <m:rPr>
                  <m:sty m:val="p"/>
                </m:rPr>
                <m:t>d</m:t>
              </m:r>
              <m:d>
                <m:dPr>
                  <m:begChr m:val="("/>
                  <m:endChr m:val=")"/>
                  <m:sepChr m:val=""/>
                  <m:grow/>
                </m:dPr>
                <m:e>
                  <m:sSub>
                    <m:e>
                      <m:r>
                        <m:t>z</m:t>
                      </m:r>
                    </m:e>
                    <m:sub>
                      <m:d>
                        <m:dPr>
                          <m:begChr m:val="("/>
                          <m:endChr m:val=")"/>
                          <m:sepChr m:val=""/>
                          <m:grow/>
                        </m:dPr>
                        <m:e>
                          <m:r>
                            <m:t>1</m:t>
                          </m:r>
                        </m:e>
                      </m:d>
                    </m:sub>
                  </m:sSub>
                  <m:r>
                    <m:rPr>
                      <m:sty m:val="p"/>
                    </m:rPr>
                    <m:t>+</m:t>
                  </m:r>
                  <m:r>
                    <m:t>β</m:t>
                  </m:r>
                  <m:nary>
                    <m:naryPr>
                      <m:chr m:val="∑"/>
                      <m:limLoc m:val="undOvr"/>
                      <m:subHide m:val="off"/>
                      <m:supHide m:val="off"/>
                    </m:naryPr>
                    <m:sub>
                      <m:r>
                        <m:t>j</m:t>
                      </m:r>
                      <m:r>
                        <m:rPr>
                          <m:sty m:val="p"/>
                        </m:rPr>
                        <m:t>=</m:t>
                      </m:r>
                      <m:r>
                        <m:t>2</m:t>
                      </m:r>
                    </m:sub>
                    <m:sup>
                      <m:r>
                        <m:t>n</m:t>
                      </m:r>
                    </m:sup>
                    <m:e>
                      <m:sSub>
                        <m:e>
                          <m:r>
                            <m:t>z</m:t>
                          </m:r>
                        </m:e>
                        <m:sub>
                          <m:d>
                            <m:dPr>
                              <m:begChr m:val="("/>
                              <m:endChr m:val=")"/>
                              <m:sepChr m:val=""/>
                              <m:grow/>
                            </m:dPr>
                            <m:e>
                              <m:r>
                                <m:t>j</m:t>
                              </m:r>
                            </m:e>
                          </m:d>
                        </m:sub>
                      </m:sSub>
                    </m:e>
                  </m:nary>
                </m:e>
              </m:d>
            </m:e>
          </m:d>
          <m:r>
            <m:rPr>
              <m:sty m:val="p"/>
            </m:rPr>
            <m:t>,</m:t>
          </m:r>
          <m:r>
            <m:t> </m:t>
          </m:r>
          <m:r>
            <m:t>β</m:t>
          </m:r>
          <m:r>
            <m:rPr>
              <m:sty m:val="p"/>
            </m:rPr>
            <m:t>=</m:t>
          </m:r>
          <m:r>
            <m:t>0.4</m:t>
          </m:r>
          <m:r>
            <m:t>  </m:t>
          </m:r>
          <m:d>
            <m:dPr>
              <m:begChr m:val="("/>
              <m:endChr m:val=")"/>
              <m:sepChr m:val=""/>
              <m:grow/>
            </m:dPr>
            <m:e>
              <m:r>
                <m:t>8</m:t>
              </m:r>
            </m:e>
          </m:d>
        </m:oMath>
      </m:oMathPara>
    </w:p>
    <w:p>
      <w:pPr>
        <w:pStyle w:val="FirstParagraph"/>
      </w:pPr>
      <w:r>
        <w:t xml:space="preserve">with</w:t>
      </w:r>
      <w:r>
        <w:t xml:space="preserve"> </w:t>
      </w:r>
      <m:oMath>
        <m:sSub>
          <m:e>
            <m:r>
              <m:t>R</m:t>
            </m:r>
          </m:e>
          <m:sub>
            <m:r>
              <m:t>0</m:t>
            </m:r>
          </m:sub>
        </m:sSub>
        <m:r>
          <m:rPr>
            <m:sty m:val="p"/>
          </m:rPr>
          <m:t>=</m:t>
        </m:r>
        <m:r>
          <m:t>0</m:t>
        </m:r>
      </m:oMath>
      <w:r>
        <w:t xml:space="preserve"> </w:t>
      </w:r>
      <w:r>
        <w:t xml:space="preserve">when no family is active. Let</w:t>
      </w:r>
      <w:r>
        <w:t xml:space="preserve"> </w:t>
      </w:r>
      <m:oMath>
        <m:r>
          <m:rPr>
            <m:sty m:val="p"/>
            <m:scr m:val="script"/>
          </m:rPr>
          <m:t>A</m:t>
        </m:r>
        <m:r>
          <m:rPr>
            <m:sty m:val="p"/>
          </m:rPr>
          <m:t>=</m:t>
        </m:r>
        <m:r>
          <m:rPr>
            <m:sty m:val="p"/>
          </m:rPr>
          <m:t>{</m:t>
        </m:r>
        <m:r>
          <m:t>i</m:t>
        </m:r>
        <m:r>
          <m:rPr>
            <m:sty m:val="p"/>
          </m:rPr>
          <m:t>:</m:t>
        </m:r>
        <m:sSub>
          <m:e>
            <m:r>
              <m:t>a</m:t>
            </m:r>
          </m:e>
          <m:sub>
            <m:r>
              <m:t>i</m:t>
            </m:r>
          </m:sub>
        </m:sSub>
        <m:r>
          <m:rPr>
            <m:sty m:val="p"/>
          </m:rPr>
          <m:t>=</m:t>
        </m:r>
        <m:r>
          <m:t>1</m:t>
        </m:r>
        <m:r>
          <m:rPr>
            <m:sty m:val="p"/>
          </m:rPr>
          <m:t>,</m:t>
        </m:r>
        <m:sSub>
          <m:e>
            <m:r>
              <m:t>z</m:t>
            </m:r>
          </m:e>
          <m:sub>
            <m:r>
              <m:t>i</m:t>
            </m:r>
          </m:sub>
        </m:sSub>
        <m:r>
          <m:rPr>
            <m:sty m:val="p"/>
          </m:rPr>
          <m:t>≥</m:t>
        </m:r>
        <m:r>
          <m:t>20</m:t>
        </m:r>
        <m:r>
          <m:rPr>
            <m:sty m:val="p"/>
          </m:rPr>
          <m:t>}</m:t>
        </m:r>
      </m:oMath>
      <w:r>
        <w:t xml:space="preserve">,</w:t>
      </w:r>
      <w:r>
        <w:t xml:space="preserve"> </w:t>
      </w:r>
      <m:oMath>
        <m:sSup>
          <m:e>
            <m:r>
              <m:t>Φ</m:t>
            </m:r>
          </m:e>
          <m:sup>
            <m:r>
              <m:rPr>
                <m:sty m:val="p"/>
              </m:rPr>
              <m:t>⋆</m:t>
            </m:r>
          </m:sup>
        </m:sSup>
        <m:r>
          <m:rPr>
            <m:sty m:val="p"/>
          </m:rPr>
          <m:t>=</m:t>
        </m:r>
        <m:sSub>
          <m:e>
            <m:r>
              <m:rPr>
                <m:sty m:val="p"/>
              </m:rPr>
              <m:t>⋃</m:t>
            </m:r>
          </m:e>
          <m:sub>
            <m:r>
              <m:t>i</m:t>
            </m:r>
            <m:r>
              <m:rPr>
                <m:sty m:val="p"/>
              </m:rPr>
              <m:t>∈</m:t>
            </m:r>
            <m:r>
              <m:rPr>
                <m:sty m:val="p"/>
                <m:scr m:val="script"/>
              </m:rPr>
              <m:t>A</m:t>
            </m:r>
          </m:sub>
        </m:sSub>
        <m:sSub>
          <m:e>
            <m:r>
              <m:t>Φ</m:t>
            </m:r>
          </m:e>
          <m:sub>
            <m:r>
              <m:t>i</m:t>
            </m:r>
          </m:sub>
        </m:sSub>
      </m:oMath>
      <w:r>
        <w:t xml:space="preserve">, and</w:t>
      </w:r>
      <w:r>
        <w:t xml:space="preserve"> </w:t>
      </w:r>
      <m:oMath>
        <m:sSup>
          <m:e>
            <m:r>
              <m:rPr>
                <m:sty m:val="p"/>
                <m:scr m:val="script"/>
              </m:rPr>
              <m:t>A</m:t>
            </m:r>
          </m:e>
          <m:sup>
            <m:r>
              <m:rPr>
                <m:sty m:val="p"/>
              </m:rPr>
              <m:t>⋆</m:t>
            </m:r>
          </m:sup>
        </m:sSup>
        <m:r>
          <m:rPr>
            <m:sty m:val="p"/>
          </m:rPr>
          <m:t>⊆</m:t>
        </m:r>
        <m:r>
          <m:rPr>
            <m:sty m:val="p"/>
            <m:scr m:val="script"/>
          </m:rPr>
          <m:t>A</m:t>
        </m:r>
      </m:oMath>
      <w:r>
        <w:t xml:space="preserve"> </w:t>
      </w:r>
      <w:r>
        <w:t xml:space="preserve">the families reporting at least one fact. Then</w:t>
      </w:r>
    </w:p>
    <w:p>
      <w:pPr>
        <w:pStyle w:val="BodyText"/>
      </w:pPr>
      <m:oMathPara>
        <m:oMathParaPr>
          <m:jc m:val="center"/>
        </m:oMathParaPr>
        <m:oMath>
          <m:r>
            <m:t>k</m:t>
          </m:r>
          <m:r>
            <m:rPr>
              <m:sty m:val="p"/>
            </m:rPr>
            <m:t>=</m:t>
          </m:r>
          <m:r>
            <m:rPr>
              <m:sty m:val="p"/>
            </m:rPr>
            <m:t>min</m:t>
          </m:r>
          <m:d>
            <m:dPr>
              <m:begChr m:val="("/>
              <m:endChr m:val=")"/>
              <m:sepChr m:val=""/>
              <m:grow/>
            </m:dPr>
            <m:e>
              <m:d>
                <m:dPr>
                  <m:begChr m:val="|"/>
                  <m:endChr m:val="|"/>
                  <m:sepChr m:val=""/>
                  <m:grow/>
                </m:dPr>
                <m:e>
                  <m:sSup>
                    <m:e>
                      <m:r>
                        <m:t>Φ</m:t>
                      </m:r>
                    </m:e>
                    <m:sup>
                      <m:r>
                        <m:rPr>
                          <m:sty m:val="p"/>
                        </m:rPr>
                        <m:t>⋆</m:t>
                      </m:r>
                    </m:sup>
                  </m:sSup>
                </m:e>
              </m:d>
              <m:r>
                <m:rPr>
                  <m:sty m:val="p"/>
                </m:rPr>
                <m:t>,</m:t>
              </m:r>
              <m:d>
                <m:dPr>
                  <m:begChr m:val="|"/>
                  <m:endChr m:val="|"/>
                  <m:sepChr m:val=""/>
                  <m:grow/>
                </m:dPr>
                <m:e>
                  <m:sSup>
                    <m:e>
                      <m:r>
                        <m:rPr>
                          <m:sty m:val="p"/>
                          <m:scr m:val="script"/>
                        </m:rPr>
                        <m:t>A</m:t>
                      </m:r>
                    </m:e>
                    <m:sup>
                      <m:r>
                        <m:rPr>
                          <m:sty m:val="p"/>
                        </m:rPr>
                        <m:t>⋆</m:t>
                      </m:r>
                    </m:sup>
                  </m:sSup>
                </m:e>
              </m:d>
            </m:e>
          </m:d>
          <m:r>
            <m:rPr>
              <m:sty m:val="p"/>
            </m:rPr>
            <m:t>,</m:t>
          </m:r>
          <m:r>
            <m:t>  </m:t>
          </m:r>
          <m:r>
            <m:t>R</m:t>
          </m:r>
          <m:r>
            <m:rPr>
              <m:sty m:val="p"/>
            </m:rPr>
            <m:t>=</m:t>
          </m:r>
          <m:r>
            <m:rPr>
              <m:sty m:val="p"/>
            </m:rPr>
            <m:t>min</m:t>
          </m:r>
          <m:d>
            <m:dPr>
              <m:begChr m:val="("/>
              <m:endChr m:val=")"/>
              <m:sepChr m:val=""/>
              <m:grow/>
            </m:dPr>
            <m:e>
              <m:r>
                <m:t>99</m:t>
              </m:r>
              <m:r>
                <m:rPr>
                  <m:sty m:val="p"/>
                </m:rPr>
                <m:t>,</m:t>
              </m:r>
              <m:sSub>
                <m:e>
                  <m:r>
                    <m:t>R</m:t>
                  </m:r>
                </m:e>
                <m:sub>
                  <m:r>
                    <m:t>0</m:t>
                  </m:r>
                </m:sub>
              </m:sSub>
              <m:r>
                <m:rPr>
                  <m:sty m:val="p"/>
                </m:rPr>
                <m:t>+</m:t>
              </m:r>
              <m:r>
                <m:t>B</m:t>
              </m:r>
              <m:d>
                <m:dPr>
                  <m:begChr m:val="("/>
                  <m:endChr m:val=")"/>
                  <m:sepChr m:val=""/>
                  <m:grow/>
                </m:dPr>
                <m:e>
                  <m:r>
                    <m:t>k</m:t>
                  </m:r>
                </m:e>
              </m:d>
            </m:e>
          </m:d>
          <m:r>
            <m:t>  </m:t>
          </m:r>
          <m:d>
            <m:dPr>
              <m:begChr m:val="("/>
              <m:endChr m:val=")"/>
              <m:sepChr m:val=""/>
              <m:grow/>
            </m:dPr>
            <m:e>
              <m:r>
                <m:t>9</m:t>
              </m:r>
            </m:e>
          </m:d>
        </m:oMath>
      </m:oMathPara>
    </w:p>
    <w:p>
      <w:pPr>
        <w:pStyle w:val="FirstParagraph"/>
      </w:pPr>
      <w:r>
        <w:t xml:space="preserve">with</w:t>
      </w:r>
      <w:r>
        <w:t xml:space="preserve"> </w:t>
      </w:r>
      <m:oMath>
        <m:r>
          <m:t>B</m:t>
        </m:r>
        <m:d>
          <m:dPr>
            <m:begChr m:val="("/>
            <m:endChr m:val=")"/>
            <m:sepChr m:val=""/>
            <m:grow/>
          </m:dPr>
          <m:e>
            <m:r>
              <m:t>k</m:t>
            </m:r>
          </m:e>
        </m:d>
        <m:r>
          <m:rPr>
            <m:sty m:val="p"/>
          </m:rPr>
          <m:t>=</m:t>
        </m:r>
        <m:r>
          <m:t>0</m:t>
        </m:r>
      </m:oMath>
      <w:r>
        <w:t xml:space="preserve"> </w:t>
      </w:r>
      <w:r>
        <w:t xml:space="preserve">for</w:t>
      </w:r>
      <w:r>
        <w:t xml:space="preserve"> </w:t>
      </w:r>
      <m:oMath>
        <m:r>
          <m:t>k</m:t>
        </m:r>
        <m:r>
          <m:rPr>
            <m:sty m:val="p"/>
          </m:rPr>
          <m:t>&lt;</m:t>
        </m:r>
        <m:r>
          <m:t>2</m:t>
        </m:r>
      </m:oMath>
      <w:r>
        <w:t xml:space="preserve">,</w:t>
      </w:r>
      <w:r>
        <w:t xml:space="preserve"> </w:t>
      </w:r>
      <m:oMath>
        <m:r>
          <m:t>B</m:t>
        </m:r>
        <m:r>
          <m:rPr>
            <m:sty m:val="p"/>
          </m:rPr>
          <m:t>=</m:t>
        </m:r>
        <m:r>
          <m:t>6</m:t>
        </m:r>
        <m:r>
          <m:rPr>
            <m:sty m:val="p"/>
          </m:rPr>
          <m:t>,</m:t>
        </m:r>
        <m:r>
          <m:t>14</m:t>
        </m:r>
        <m:r>
          <m:rPr>
            <m:sty m:val="p"/>
          </m:rPr>
          <m:t>,</m:t>
        </m:r>
        <m:r>
          <m:t>22</m:t>
        </m:r>
        <m:r>
          <m:rPr>
            <m:sty m:val="p"/>
          </m:rPr>
          <m:t>,</m:t>
        </m:r>
        <m:r>
          <m:t>28</m:t>
        </m:r>
      </m:oMath>
      <w:r>
        <w:t xml:space="preserve"> </w:t>
      </w:r>
      <w:r>
        <w:t xml:space="preserve">for</w:t>
      </w:r>
      <w:r>
        <w:t xml:space="preserve"> </w:t>
      </w:r>
      <m:oMath>
        <m:r>
          <m:t>k</m:t>
        </m:r>
        <m:r>
          <m:rPr>
            <m:sty m:val="p"/>
          </m:rPr>
          <m:t>=</m:t>
        </m:r>
        <m:r>
          <m:t>2</m:t>
        </m:r>
        <m:r>
          <m:rPr>
            <m:sty m:val="p"/>
          </m:rPr>
          <m:t>,</m:t>
        </m:r>
        <m:r>
          <m:rPr>
            <m:sty m:val="p"/>
          </m:rPr>
          <m:t>…</m:t>
        </m:r>
        <m:r>
          <m:rPr>
            <m:sty m:val="p"/>
          </m:rPr>
          <m:t>,</m:t>
        </m:r>
        <m:r>
          <m:t>5</m:t>
        </m:r>
      </m:oMath>
      <w:r>
        <w:t xml:space="preserve"> </w:t>
      </w:r>
      <w:r>
        <w:t xml:space="preserve">and 32 for</w:t>
      </w:r>
      <w:r>
        <w:t xml:space="preserve"> </w:t>
      </w:r>
      <m:oMath>
        <m:r>
          <m:t>k</m:t>
        </m:r>
        <m:r>
          <m:rPr>
            <m:sty m:val="p"/>
          </m:rPr>
          <m:t>≥</m:t>
        </m:r>
        <m:r>
          <m:t>6</m:t>
        </m:r>
      </m:oMath>
      <w:r>
        <w:t xml:space="preserve">. Counting families prevents a family from corroborating itself; counting distinct facts prevents several families reading one observation from appearing to agree. Hence the payer-behaviour rules and the classifier, which both examine relative amount, hour, activity and novelty, and the payee-history family and graph shape findings, which both describe inflow patterns, do not multiply one observation’s weight. Coverage depends only on availability,</w:t>
      </w:r>
    </w:p>
    <w:p>
      <w:pPr>
        <w:pStyle w:val="BodyText"/>
      </w:pPr>
      <m:oMathPara>
        <m:oMathParaPr>
          <m:jc m:val="center"/>
        </m:oMathParaPr>
        <m:oMath>
          <m:r>
            <m:t>C</m:t>
          </m:r>
          <m:r>
            <m:rPr>
              <m:sty m:val="p"/>
            </m:rPr>
            <m:t>=</m:t>
          </m:r>
          <m:r>
            <m:rPr>
              <m:sty m:val="p"/>
            </m:rPr>
            <m:t>r</m:t>
          </m:r>
          <m:r>
            <m:rPr>
              <m:sty m:val="p"/>
            </m:rPr>
            <m:t>o</m:t>
          </m:r>
          <m:r>
            <m:rPr>
              <m:sty m:val="p"/>
            </m:rPr>
            <m:t>u</m:t>
          </m:r>
          <m:r>
            <m:rPr>
              <m:sty m:val="p"/>
            </m:rPr>
            <m:t>n</m:t>
          </m:r>
          <m:r>
            <m:rPr>
              <m:sty m:val="p"/>
            </m:rPr>
            <m:t>d</m:t>
          </m:r>
          <m:d>
            <m:dPr>
              <m:begChr m:val="("/>
              <m:endChr m:val=")"/>
              <m:sepChr m:val=""/>
              <m:grow/>
            </m:dPr>
            <m:e>
              <m:r>
                <m:t>100</m:t>
              </m:r>
              <m:nary>
                <m:naryPr>
                  <m:chr m:val="∑"/>
                  <m:limLoc m:val="undOvr"/>
                  <m:subHide m:val="off"/>
                  <m:supHide m:val="on"/>
                </m:naryPr>
                <m:sub>
                  <m:r>
                    <m:t>i</m:t>
                  </m:r>
                </m:sub>
                <m:sup>
                  <m:r>
                    <m:t>​</m:t>
                  </m:r>
                </m:sup>
                <m:e>
                  <m:sSub>
                    <m:e>
                      <m:r>
                        <m:t>a</m:t>
                      </m:r>
                    </m:e>
                    <m:sub>
                      <m:r>
                        <m:t>i</m:t>
                      </m:r>
                    </m:sub>
                  </m:sSub>
                </m:e>
              </m:nary>
              <m:sSub>
                <m:e>
                  <m:r>
                    <m:t>c</m:t>
                  </m:r>
                </m:e>
                <m:sub>
                  <m:r>
                    <m:t>i</m:t>
                  </m:r>
                </m:sub>
              </m:sSub>
              <m:r>
                <m:rPr>
                  <m:sty m:val="p"/>
                </m:rPr>
                <m:t>/</m:t>
              </m:r>
              <m:nary>
                <m:naryPr>
                  <m:chr m:val="∑"/>
                  <m:limLoc m:val="undOvr"/>
                  <m:subHide m:val="off"/>
                  <m:supHide m:val="on"/>
                </m:naryPr>
                <m:sub>
                  <m:r>
                    <m:t>i</m:t>
                  </m:r>
                </m:sub>
                <m:sup>
                  <m:r>
                    <m:t>​</m:t>
                  </m:r>
                </m:sup>
                <m:e>
                  <m:sSub>
                    <m:e>
                      <m:r>
                        <m:t>c</m:t>
                      </m:r>
                    </m:e>
                    <m:sub>
                      <m:r>
                        <m:t>i</m:t>
                      </m:r>
                    </m:sub>
                  </m:sSub>
                </m:e>
              </m:nary>
            </m:e>
          </m:d>
          <m:r>
            <m:t>  </m:t>
          </m:r>
          <m:d>
            <m:dPr>
              <m:begChr m:val="("/>
              <m:endChr m:val=")"/>
              <m:sepChr m:val=""/>
              <m:grow/>
            </m:dPr>
            <m:e>
              <m:r>
                <m:t>10</m:t>
              </m:r>
            </m:e>
          </m:d>
        </m:oMath>
      </m:oMathPara>
    </w:p>
    <w:p>
      <w:pPr>
        <w:pStyle w:val="FirstParagraph"/>
      </w:pPr>
      <w:r>
        <w:t xml:space="preserve">with the weights</w:t>
      </w:r>
      <w:r>
        <w:t xml:space="preserve"> </w:t>
      </w:r>
      <m:oMath>
        <m:sSub>
          <m:e>
            <m:r>
              <m:t>c</m:t>
            </m:r>
          </m:e>
          <m:sub>
            <m:r>
              <m:t>i</m:t>
            </m:r>
          </m:sub>
        </m:sSub>
      </m:oMath>
      <w:r>
        <w:t xml:space="preserve"> </w:t>
      </w:r>
      <w:r>
        <w:t xml:space="preserve">of Table II. An evidence level is also reported: FULL when payer behaviour, payee history and relationship are all available, PARTIAL when payer behaviour or payee history is, and MINIMAL otherwise (which arises only when no address can be read and a hard block already applies). Finally, with hard-block set</w:t>
      </w:r>
      <w:r>
        <w:t xml:space="preserve"> </w:t>
      </w:r>
      <m:oMath>
        <m:r>
          <m:rPr>
            <m:sty m:val="p"/>
            <m:scr m:val="script"/>
          </m:rPr>
          <m:t>B</m:t>
        </m:r>
      </m:oMath>
      <w:r>
        <w:t xml:space="preserve"> </w:t>
      </w:r>
      <w:r>
        <w:t xml:space="preserve">(blocked payee, malformed address, non-payment payload, missing payee, empty request, amount above the rail limit) and</w:t>
      </w:r>
      <w:r>
        <w:t xml:space="preserve"> </w:t>
      </w:r>
      <m:oMath>
        <m:r>
          <m:t>Γ</m:t>
        </m:r>
        <m:r>
          <m:rPr>
            <m:sty m:val="p"/>
          </m:rPr>
          <m:t>=</m:t>
        </m:r>
        <m:sSub>
          <m:e>
            <m:r>
              <m:rPr>
                <m:sty m:val="p"/>
              </m:rPr>
              <m:t>⋃</m:t>
            </m:r>
          </m:e>
          <m:sub>
            <m:r>
              <m:t>i</m:t>
            </m:r>
          </m:sub>
        </m:sSub>
        <m:sSub>
          <m:e>
            <m:r>
              <m:t>Γ</m:t>
            </m:r>
          </m:e>
          <m:sub>
            <m:r>
              <m:t>i</m:t>
            </m:r>
          </m:sub>
        </m:sSub>
      </m:oMath>
      <w:r>
        <w:t xml:space="preserve">,</w:t>
      </w:r>
    </w:p>
    <w:p>
      <w:pPr>
        <w:pStyle w:val="BodyText"/>
      </w:pPr>
      <m:oMathPara>
        <m:oMathParaPr>
          <m:jc m:val="center"/>
        </m:oMathParaPr>
        <m:oMath>
          <m:r>
            <m:t>V</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BLOCK</m:t>
                    </m:r>
                    <m:r>
                      <m:rPr>
                        <m:sty m:val="p"/>
                      </m:rPr>
                      <m:t>,</m:t>
                    </m:r>
                  </m:e>
                  <m:e>
                    <m:r>
                      <m:t>Γ</m:t>
                    </m:r>
                    <m:r>
                      <m:rPr>
                        <m:sty m:val="p"/>
                      </m:rPr>
                      <m:t>∩</m:t>
                    </m:r>
                    <m:r>
                      <m:rPr>
                        <m:sty m:val="p"/>
                        <m:scr m:val="script"/>
                      </m:rPr>
                      <m:t>B</m:t>
                    </m:r>
                    <m:r>
                      <m:rPr>
                        <m:sty m:val="p"/>
                      </m:rPr>
                      <m:t>≠</m:t>
                    </m:r>
                    <m:r>
                      <m:rPr>
                        <m:sty m:val="p"/>
                      </m:rPr>
                      <m:t>∅</m:t>
                    </m:r>
                    <m:r>
                      <m:rPr>
                        <m:nor/>
                        <m:sty m:val="p"/>
                      </m:rPr>
                      <m:t> or </m:t>
                    </m:r>
                    <m:r>
                      <m:t>R</m:t>
                    </m:r>
                    <m:r>
                      <m:rPr>
                        <m:sty m:val="p"/>
                      </m:rPr>
                      <m:t>≥</m:t>
                    </m:r>
                    <m:r>
                      <m:t>70</m:t>
                    </m:r>
                  </m:e>
                </m:mr>
                <m:mr>
                  <m:e>
                    <m:r>
                      <m:rPr>
                        <m:nor/>
                        <m:sty m:val="p"/>
                      </m:rPr>
                      <m:t>STEP_UP</m:t>
                    </m:r>
                    <m:r>
                      <m:rPr>
                        <m:sty m:val="p"/>
                      </m:rPr>
                      <m:t>,</m:t>
                    </m:r>
                  </m:e>
                  <m:e>
                    <m:r>
                      <m:t>45</m:t>
                    </m:r>
                    <m:r>
                      <m:rPr>
                        <m:sty m:val="p"/>
                      </m:rPr>
                      <m:t>≤</m:t>
                    </m:r>
                    <m:r>
                      <m:t>R</m:t>
                    </m:r>
                    <m:r>
                      <m:rPr>
                        <m:sty m:val="p"/>
                      </m:rPr>
                      <m:t>≤</m:t>
                    </m:r>
                    <m:r>
                      <m:t>69</m:t>
                    </m:r>
                  </m:e>
                </m:mr>
                <m:mr>
                  <m:e>
                    <m:r>
                      <m:rPr>
                        <m:nor/>
                        <m:sty m:val="p"/>
                      </m:rPr>
                      <m:t>WARN</m:t>
                    </m:r>
                    <m:r>
                      <m:rPr>
                        <m:sty m:val="p"/>
                      </m:rPr>
                      <m:t>,</m:t>
                    </m:r>
                  </m:e>
                  <m:e>
                    <m:r>
                      <m:t>22</m:t>
                    </m:r>
                    <m:r>
                      <m:rPr>
                        <m:sty m:val="p"/>
                      </m:rPr>
                      <m:t>≤</m:t>
                    </m:r>
                    <m:r>
                      <m:t>R</m:t>
                    </m:r>
                    <m:r>
                      <m:rPr>
                        <m:sty m:val="p"/>
                      </m:rPr>
                      <m:t>≤</m:t>
                    </m:r>
                    <m:r>
                      <m:t>44</m:t>
                    </m:r>
                  </m:e>
                </m:mr>
                <m:mr>
                  <m:e>
                    <m:r>
                      <m:rPr>
                        <m:nor/>
                        <m:sty m:val="p"/>
                      </m:rPr>
                      <m:t>APPROVE</m:t>
                    </m:r>
                    <m:r>
                      <m:rPr>
                        <m:sty m:val="p"/>
                      </m:rPr>
                      <m:t>,</m:t>
                    </m:r>
                  </m:e>
                  <m:e>
                    <m:r>
                      <m:t>R</m:t>
                    </m:r>
                    <m:r>
                      <m:rPr>
                        <m:sty m:val="p"/>
                      </m:rPr>
                      <m:t>≤</m:t>
                    </m:r>
                    <m:r>
                      <m:t>21</m:t>
                    </m:r>
                  </m:e>
                </m:mr>
              </m:m>
            </m:e>
          </m:d>
          <m:r>
            <m:t>  </m:t>
          </m:r>
          <m:d>
            <m:dPr>
              <m:begChr m:val="("/>
              <m:endChr m:val=")"/>
              <m:sepChr m:val=""/>
              <m:grow/>
            </m:dPr>
            <m:e>
              <m:r>
                <m:t>11</m:t>
              </m:r>
            </m:e>
          </m:d>
        </m:oMath>
      </m:oMathPara>
    </w:p>
    <w:p>
      <w:pPr>
        <w:pStyle w:val="FirstParagraph"/>
      </w:pPr>
      <w:r>
        <w:t xml:space="preserve">Risk and coverage combine freely: a reported address paid by a payer without history yields high risk with limited evidence, and a routine payment to a long-established payee yields low risk with strong evidence. Low coverage is never read as low risk. The verdict bands are fixed design parameters and advisory outputs, not ground-truth classes; no verdict holds or reverses a payment.</w:t>
      </w:r>
    </w:p>
    <w:bookmarkEnd w:id="39"/>
    <w:bookmarkStart w:id="40" w:name="d.-explanations"/>
    <w:p>
      <w:pPr>
        <w:pStyle w:val="Heading2"/>
      </w:pPr>
      <w:r>
        <w:t xml:space="preserve">D. Explanations</w:t>
      </w:r>
    </w:p>
    <w:p>
      <w:pPr>
        <w:pStyle w:val="FirstParagraph"/>
      </w:pPr>
      <w:r>
        <w:t xml:space="preserve">Each assessment returns its findings (code, severity, plain-language message, reporting family), the facts that took part in corroboration with the families that reported each, and any evidence that could not be evaluated with the reason. These checkable findings are the primary, user-facing explanation. As a secondary view, the prototype computes model-agnostic SHAP values [20] for the V1 vector against its calibrated probability; the offline V2 analysis uses the tree explainer described in Section VI. Attributions describe the classifier; they are not the verdict and do not establish causality.</w:t>
      </w:r>
    </w:p>
    <w:bookmarkEnd w:id="40"/>
    <w:bookmarkEnd w:id="41"/>
    <w:bookmarkStart w:id="42" w:name="vi.-experimental-methodology"/>
    <w:p>
      <w:pPr>
        <w:pStyle w:val="Heading1"/>
      </w:pPr>
      <w:r>
        <w:t xml:space="preserve">VI. Experimental Methodology</w:t>
      </w:r>
    </w:p>
    <w:p>
      <w:pPr>
        <w:pStyle w:val="FirstParagraph"/>
      </w:pPr>
      <w:r>
        <w:rPr>
          <w:iCs/>
          <w:i/>
        </w:rPr>
        <w:t xml:space="preserve">Splits and result categories.</w:t>
      </w:r>
      <w:r>
        <w:t xml:space="preserve"> </w:t>
      </w:r>
      <w:r>
        <w:t xml:space="preserve">A stratified quarter of the corpus is held out for testing and 20% of the remainder for validation (random state 42), giving 72,000/18,000/30,000 disjoint rows; V1 and V2 use the same split. Because the corpus is row-level, the split is random rather than chronological, so one simulated payer’s payments can appear in several splits; no payer identifier is a feature, but generalisation to unseen payers is not measured. Three result categories are kept apart.</w:t>
      </w:r>
      <w:r>
        <w:t xml:space="preserve"> </w:t>
      </w:r>
      <w:r>
        <w:rPr>
          <w:iCs/>
          <w:i/>
        </w:rPr>
        <w:t xml:space="preserve">Validation results</w:t>
      </w:r>
      <w:r>
        <w:t xml:space="preserve"> </w:t>
      </w:r>
      <w:r>
        <w:t xml:space="preserve">informed decisions (V2 model family and feature set; both thresholds).</w:t>
      </w:r>
      <w:r>
        <w:t xml:space="preserve"> </w:t>
      </w:r>
      <w:r>
        <w:rPr>
          <w:iCs/>
          <w:i/>
        </w:rPr>
        <w:t xml:space="preserve">Held-out test results</w:t>
      </w:r>
      <w:r>
        <w:t xml:space="preserve"> </w:t>
      </w:r>
      <w:r>
        <w:t xml:space="preserve">come from a single evaluation of the stored V1 artefact, without refitting, and of the frozen V2 artefact.</w:t>
      </w:r>
      <w:r>
        <w:t xml:space="preserve"> </w:t>
      </w:r>
      <w:r>
        <w:rPr>
          <w:iCs/>
          <w:i/>
        </w:rPr>
        <w:t xml:space="preserve">Software test results</w:t>
      </w:r>
      <w:r>
        <w:t xml:space="preserve"> </w:t>
      </w:r>
      <w:r>
        <w:t xml:space="preserve">verify properties of the running code and are not predictive metrics.</w:t>
      </w:r>
    </w:p>
    <w:p>
      <w:pPr>
        <w:pStyle w:val="BodyText"/>
      </w:pPr>
      <w:r>
        <w:rPr>
          <w:iCs/>
          <w:i/>
        </w:rPr>
        <w:t xml:space="preserve">Metrics.</w:t>
      </w:r>
      <w:r>
        <w:t xml:space="preserve"> </w:t>
      </w:r>
      <w:r>
        <w:t xml:space="preserve">With fraud as the positive class, the primary threshold-independent metric is PR-AUC, computed as average precision, whose no-skill value equals prevalence (about 0.012) [11], [12]. ROC-AUC is secondary. Recall, precision, F1 and FPR are reported at the validation-selected threshold, with recall at about 1% FPR given together with the realised test FPR. Calibration is assessed with the Brier score</w:t>
      </w:r>
      <w:r>
        <w:t xml:space="preserve"> </w:t>
      </w:r>
      <m:oMath>
        <m:r>
          <m:rPr>
            <m:sty m:val="p"/>
          </m:rPr>
          <m:t>B</m:t>
        </m:r>
        <m:r>
          <m:rPr>
            <m:sty m:val="p"/>
          </m:rPr>
          <m:t>S</m:t>
        </m:r>
        <m:r>
          <m:rPr>
            <m:sty m:val="p"/>
          </m:rPr>
          <m:t>=</m:t>
        </m:r>
        <m:f>
          <m:fPr>
            <m:type m:val="bar"/>
          </m:fPr>
          <m:num>
            <m:r>
              <m:t>1</m:t>
            </m:r>
          </m:num>
          <m:den>
            <m:r>
              <m:t>n</m:t>
            </m:r>
          </m:den>
        </m:f>
        <m:nary>
          <m:naryPr>
            <m:chr m:val="∑"/>
            <m:limLoc m:val="undOvr"/>
            <m:subHide m:val="off"/>
            <m:supHide m:val="on"/>
          </m:naryPr>
          <m:sub>
            <m:r>
              <m:t>j</m:t>
            </m:r>
          </m:sub>
          <m:sup>
            <m:r>
              <m:t>​</m:t>
            </m:r>
          </m:sup>
          <m:e>
            <m:sSup>
              <m:e>
                <m:d>
                  <m:dPr>
                    <m:begChr m:val="("/>
                    <m:endChr m:val=")"/>
                    <m:sepChr m:val=""/>
                    <m:grow/>
                  </m:dPr>
                  <m:e>
                    <m:sSub>
                      <m:e>
                        <m:r>
                          <m:t>π</m:t>
                        </m:r>
                      </m:e>
                      <m:sub>
                        <m:r>
                          <m:t>j</m:t>
                        </m:r>
                      </m:sub>
                    </m:sSub>
                    <m:r>
                      <m:rPr>
                        <m:sty m:val="p"/>
                      </m:rPr>
                      <m:t>−</m:t>
                    </m:r>
                    <m:sSub>
                      <m:e>
                        <m:r>
                          <m:t>y</m:t>
                        </m:r>
                      </m:e>
                      <m:sub>
                        <m:r>
                          <m:t>j</m:t>
                        </m:r>
                      </m:sub>
                    </m:sSub>
                  </m:e>
                </m:d>
              </m:e>
              <m:sup>
                <m:r>
                  <m:t>2</m:t>
                </m:r>
              </m:sup>
            </m:sSup>
          </m:e>
        </m:nary>
      </m:oMath>
      <w:r>
        <w:t xml:space="preserve"> </w:t>
      </w:r>
      <w:r>
        <w:t xml:space="preserve">[15], the Brier skill score</w:t>
      </w:r>
      <w:r>
        <w:t xml:space="preserve"> </w:t>
      </w:r>
      <m:oMath>
        <m:r>
          <m:rPr>
            <m:sty m:val="p"/>
          </m:rPr>
          <m:t>B</m:t>
        </m:r>
        <m:r>
          <m:rPr>
            <m:sty m:val="p"/>
          </m:rPr>
          <m:t>S</m:t>
        </m:r>
        <m:r>
          <m:rPr>
            <m:sty m:val="p"/>
          </m:rPr>
          <m:t>S</m:t>
        </m:r>
        <m:r>
          <m:rPr>
            <m:sty m:val="p"/>
          </m:rPr>
          <m:t>=</m:t>
        </m:r>
        <m:r>
          <m:t>1</m:t>
        </m:r>
        <m:r>
          <m:rPr>
            <m:sty m:val="p"/>
          </m:rPr>
          <m:t>−</m:t>
        </m:r>
        <m:r>
          <m:rPr>
            <m:sty m:val="p"/>
          </m:rPr>
          <m:t>B</m:t>
        </m:r>
        <m:r>
          <m:rPr>
            <m:sty m:val="p"/>
          </m:rPr>
          <m:t>S</m:t>
        </m:r>
        <m:r>
          <m:rPr>
            <m:sty m:val="p"/>
          </m:rPr>
          <m:t>/</m:t>
        </m:r>
        <m:sSub>
          <m:e>
            <m:r>
              <m:rPr>
                <m:sty m:val="p"/>
              </m:rPr>
              <m:t>B</m:t>
            </m:r>
            <m:r>
              <m:rPr>
                <m:sty m:val="p"/>
              </m:rPr>
              <m:t>S</m:t>
            </m:r>
          </m:e>
          <m:sub>
            <m:r>
              <m:rPr>
                <m:sty m:val="p"/>
              </m:rPr>
              <m:t>r</m:t>
            </m:r>
            <m:r>
              <m:rPr>
                <m:sty m:val="p"/>
              </m:rPr>
              <m:t>e</m:t>
            </m:r>
            <m:r>
              <m:rPr>
                <m:sty m:val="p"/>
              </m:rPr>
              <m:t>f</m:t>
            </m:r>
          </m:sub>
        </m:sSub>
      </m:oMath>
      <w:r>
        <w:t xml:space="preserve"> </w:t>
      </w:r>
      <w:r>
        <w:t xml:space="preserve">with</w:t>
      </w:r>
      <w:r>
        <w:t xml:space="preserve"> </w:t>
      </w:r>
      <m:oMath>
        <m:sSub>
          <m:e>
            <m:r>
              <m:rPr>
                <m:sty m:val="p"/>
              </m:rPr>
              <m:t>B</m:t>
            </m:r>
            <m:r>
              <m:rPr>
                <m:sty m:val="p"/>
              </m:rPr>
              <m:t>S</m:t>
            </m:r>
          </m:e>
          <m:sub>
            <m:r>
              <m:rPr>
                <m:sty m:val="p"/>
              </m:rPr>
              <m:t>r</m:t>
            </m:r>
            <m:r>
              <m:rPr>
                <m:sty m:val="p"/>
              </m:rPr>
              <m:t>e</m:t>
            </m:r>
            <m:r>
              <m:rPr>
                <m:sty m:val="p"/>
              </m:rPr>
              <m:t>f</m:t>
            </m:r>
          </m:sub>
        </m:sSub>
        <m:r>
          <m:rPr>
            <m:sty m:val="p"/>
          </m:rPr>
          <m:t>=</m:t>
        </m:r>
        <m:r>
          <m:t>0.01169</m:t>
        </m:r>
      </m:oMath>
      <w:r>
        <w:t xml:space="preserve"> </w:t>
      </w:r>
      <w:r>
        <w:t xml:space="preserve">for a constant base-rate predictor, and reliability curves with quantile and fixed-width bins. Accuracy is not a headline metric, because labelling every payment legitimate is already about 99% accurate. The ground truth is binary, so the confusion matrix is the 2×2 matrix of the classifier flag against the label; no four-class verdict matrix is constructed.</w:t>
      </w:r>
    </w:p>
    <w:p>
      <w:pPr>
        <w:pStyle w:val="BodyText"/>
      </w:pPr>
      <w:r>
        <w:rPr>
          <w:iCs/>
          <w:i/>
        </w:rPr>
        <w:t xml:space="preserve">Further analyses.</w:t>
      </w:r>
      <w:r>
        <w:t xml:space="preserve"> </w:t>
      </w:r>
      <w:r>
        <w:t xml:space="preserve">Recall is reported per scenario at the overall threshold. The V1 ablation trains payer-only (seven features), payee-only (five) and full models in the V1 configuration, each thresholded on validation, and reports the full model’s SE recall minus that of the stronger half. The V2 ablation re-fits</w:t>
      </w:r>
      <w:r>
        <w:t xml:space="preserve"> </w:t>
      </w:r>
      <w:r>
        <w:rPr>
          <w:iCs/>
          <w:i/>
        </w:rPr>
        <w:t xml:space="preserve">uncalibrated</w:t>
      </w:r>
      <w:r>
        <w:t xml:space="preserve"> </w:t>
      </w:r>
      <w:r>
        <w:t xml:space="preserve">gradient boosting on six nested feature sets, two leave-one-group-out sets and a V1-feature reference, each with its own validation threshold and one test measurement; the model-family comparison uses the same protocol. V2 feature attribution uses permutation importance [21] (mean drop in test average precision over five permutations of the calibrated model) and tree-explainer SHAP on 200 test rows of the uncalibrated first-fold booster, whose magnitudes do not decompose the calibrated probability.</w:t>
      </w:r>
    </w:p>
    <w:p>
      <w:pPr>
        <w:pStyle w:val="BodyText"/>
      </w:pPr>
      <w:r>
        <w:rPr>
          <w:iCs/>
          <w:i/>
        </w:rPr>
        <w:t xml:space="preserve">Software validation and reproducibility.</w:t>
      </w:r>
      <w:r>
        <w:t xml:space="preserve"> </w:t>
      </w:r>
      <w:r>
        <w:t xml:space="preserve">The graph is not executed by the predictive experiments; its behaviour and that of the aggregation are verified by software tests on the running store (Section VII-F). Spade+ and PGLTSE were not re-implemented, so no numerical comparison with them is made. No latency benchmark exists, and no response-time figure is reported. The corpus is deterministic given the seed, with dataset, model and corpus hashes recorded in manifests; the environment was Python 3.10.12 with numpy 2.2.6, pandas 2.3.3, scikit-learn 1.7.2, scipy 1.15.3 and joblib 1.6.0.</w:t>
      </w:r>
    </w:p>
    <w:bookmarkEnd w:id="42"/>
    <w:bookmarkStart w:id="58" w:name="vii.-results"/>
    <w:p>
      <w:pPr>
        <w:pStyle w:val="Heading1"/>
      </w:pPr>
      <w:r>
        <w:t xml:space="preserve">VII. Results</w:t>
      </w:r>
    </w:p>
    <w:p>
      <w:pPr>
        <w:pStyle w:val="FirstParagraph"/>
      </w:pPr>
      <w:r>
        <w:t xml:space="preserve">Unless stated otherwise, results are held-out test results on 30,000 payments (355 fraudulent: 182 SE, 80 MC, 73 AT, 20 CT; 29,645 legitimate), with every threshold chosen on validation under a 1% FPR budget. They describe the classifier component under controlled synthetic conditions, not the ten-family verdict system.</w:t>
      </w:r>
    </w:p>
    <w:bookmarkStart w:id="43" w:name="a.-v1-baseline-and-v2-primary-result"/>
    <w:p>
      <w:pPr>
        <w:pStyle w:val="Heading2"/>
      </w:pPr>
      <w:r>
        <w:t xml:space="preserve">A. V1 Baseline and V2 Primary Result</w:t>
      </w:r>
    </w:p>
    <w:p>
      <w:pPr>
        <w:pStyle w:val="FirstParagraph"/>
      </w:pPr>
      <w:r>
        <w:t xml:space="preserve">Table IV compares the two calibrated models on identical rows. V1 reaches a PR-AUC of 0.4860 and a ROC-AUC of 0.9652; at</w:t>
      </w:r>
      <w:r>
        <w:t xml:space="preserve"> </w:t>
      </w:r>
      <m:oMath>
        <m:r>
          <m:t>θ</m:t>
        </m:r>
        <m:r>
          <m:rPr>
            <m:sty m:val="p"/>
          </m:rPr>
          <m:t>=</m:t>
        </m:r>
        <m:r>
          <m:t>0.1174</m:t>
        </m:r>
      </m:oMath>
      <w:r>
        <w:t xml:space="preserve"> </w:t>
      </w:r>
      <w:r>
        <w:t xml:space="preserve">it recalls 49.3% of fraud at an FPR of 0.945%. The frozen V2 model reaches a PR-AUC of 0.7326 and a ROC-AUC of 0.9900; at</w:t>
      </w:r>
      <w:r>
        <w:t xml:space="preserve"> </w:t>
      </w:r>
      <m:oMath>
        <m:r>
          <m:t>θ</m:t>
        </m:r>
        <m:r>
          <m:rPr>
            <m:sty m:val="p"/>
          </m:rPr>
          <m:t>=</m:t>
        </m:r>
        <m:r>
          <m:t>0.1123</m:t>
        </m:r>
      </m:oMath>
      <w:r>
        <w:t xml:space="preserve"> </w:t>
      </w:r>
      <w:r>
        <w:t xml:space="preserve">it recalls 78.03% at an FPR of 0.995%, with precision 0.4843, F1 0.5976 and a Brier score of 0.00555 (BSS 0.525). Recall at the 1% budget therefore rises from 49.3% to 78.03% while false positives rise from 280 to 295. Of V2’s 572 alerts, 277 are fraudulent and 295 legitimate; 78 frauds (22.0%) are missed. The validation PR-AUC recorded when the V2 threshold was chosen (0.6995) is close to the test value, which is consistent with the protocol. All figures come from one split and one seed, without confidence intervals or significance tests.</w:t>
      </w:r>
    </w:p>
    <w:p>
      <w:pPr>
        <w:pStyle w:val="TableCaption"/>
      </w:pPr>
      <w:r>
        <w:t>TABLE IV</w:t>
        <w:br/>
      </w:r>
      <w:r>
        <w:rPr>
          <w:smallCaps/>
        </w:rPr>
        <w:t>Classifier Performance on the Held-Out Test Split (N = 30,000; 355 Fraudulent)</w:t>
      </w:r>
    </w:p>
    <w:tbl>
      <w:tblPr>
        <w:tblW w:type="dxa" w:w="4904"/>
        <w:tblLook w:firstRow="1" w:lastRow="0" w:firstColumn="0" w:lastColumn="0" w:noHBand="0" w:noVBand="0" w:val="0020"/>
        <w:jc w:val="center"/>
        <w:tblCaption w:val="TABLE IV. Classifier Performance on the Held-Out Test Split (N = 30,000; 355 Fraudulent)"/>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2255"/>
        <w:gridCol w:w="1324"/>
        <w:gridCol w:w="1324"/>
      </w:tblGrid>
      <w:tr>
        <w:trPr>
          <w:tblHeader w:val="true"/>
        </w:trPr>
        <w:tc>
          <w:tcPr>
            <w:tcW w:type="dxa" w:w="2255"/>
            <w:tcBorders>
              <w:bottom w:val="single" w:sz="4" w:space="0" w:color="000000"/>
            </w:tcBorders>
          </w:tcPr>
          <w:p>
            <w:pPr>
              <w:pStyle w:val="Compact"/>
              <w:keepNext/>
              <w:spacing w:after="0"/>
              <w:ind w:firstLine="0"/>
              <w:jc w:val="left"/>
            </w:pPr>
            <w:r>
              <w:rPr>
                <w:rFonts w:ascii="Times New Roman" w:hAnsi="Times New Roman"/>
                <w:b/>
                <w:sz w:val="15"/>
              </w:rPr>
              <w:t xml:space="preserve">Metric</w:t>
            </w:r>
          </w:p>
        </w:tc>
        <w:tc>
          <w:tcPr>
            <w:tcW w:type="dxa" w:w="1324"/>
            <w:tcBorders>
              <w:bottom w:val="single" w:sz="4" w:space="0" w:color="000000"/>
            </w:tcBorders>
          </w:tcPr>
          <w:p>
            <w:pPr>
              <w:pStyle w:val="Compact"/>
              <w:keepNext/>
              <w:spacing w:after="0"/>
              <w:ind w:firstLine="0"/>
              <w:jc w:val="left"/>
            </w:pPr>
            <w:r>
              <w:rPr>
                <w:rFonts w:ascii="Times New Roman" w:hAnsi="Times New Roman"/>
                <w:b/>
                <w:sz w:val="15"/>
              </w:rPr>
              <w:t xml:space="preserve">V1 (served)</w:t>
            </w:r>
          </w:p>
        </w:tc>
        <w:tc>
          <w:tcPr>
            <w:tcW w:type="dxa" w:w="1324"/>
            <w:tcBorders>
              <w:bottom w:val="single" w:sz="4" w:space="0" w:color="000000"/>
            </w:tcBorders>
          </w:tcPr>
          <w:p>
            <w:pPr>
              <w:pStyle w:val="Compact"/>
              <w:keepNext/>
              <w:spacing w:after="0"/>
              <w:ind w:firstLine="0"/>
              <w:jc w:val="left"/>
            </w:pPr>
            <w:r>
              <w:rPr>
                <w:rFonts w:ascii="Times New Roman" w:hAnsi="Times New Roman"/>
                <w:b/>
                <w:sz w:val="15"/>
              </w:rPr>
              <w:t xml:space="preserve">V2 (offline)</w:t>
            </w:r>
          </w:p>
        </w:tc>
      </w:tr>
      <w:tr>
        <w:tc>
          <w:tcPr>
            <w:tcW w:type="dxa" w:w="2255"/>
          </w:tcPr>
          <w:p>
            <w:pPr>
              <w:pStyle w:val="Compact"/>
              <w:keepNext/>
              <w:spacing w:after="0"/>
              <w:ind w:firstLine="0"/>
              <w:jc w:val="left"/>
            </w:pPr>
            <w:r>
              <w:rPr>
                <w:rFonts w:ascii="Times New Roman" w:hAnsi="Times New Roman"/>
                <w:sz w:val="15"/>
              </w:rPr>
              <w:t xml:space="preserve">PR-AUC</w:t>
            </w:r>
          </w:p>
        </w:tc>
        <w:tc>
          <w:tcPr>
            <w:tcW w:type="dxa" w:w="1324"/>
          </w:tcPr>
          <w:p>
            <w:pPr>
              <w:pStyle w:val="Compact"/>
              <w:keepNext/>
              <w:spacing w:after="0"/>
              <w:ind w:firstLine="0"/>
              <w:jc w:val="left"/>
            </w:pPr>
            <w:r>
              <w:rPr>
                <w:rFonts w:ascii="Times New Roman" w:hAnsi="Times New Roman"/>
                <w:sz w:val="15"/>
              </w:rPr>
              <w:t xml:space="preserve">0.4860</w:t>
            </w:r>
          </w:p>
        </w:tc>
        <w:tc>
          <w:tcPr>
            <w:tcW w:type="dxa" w:w="1324"/>
          </w:tcPr>
          <w:p>
            <w:pPr>
              <w:pStyle w:val="Compact"/>
              <w:keepNext/>
              <w:spacing w:after="0"/>
              <w:ind w:firstLine="0"/>
              <w:jc w:val="left"/>
            </w:pPr>
            <w:r>
              <w:rPr>
                <w:rFonts w:ascii="Times New Roman" w:hAnsi="Times New Roman"/>
                <w:sz w:val="15"/>
              </w:rPr>
              <w:t xml:space="preserve">0.7326</w:t>
            </w:r>
          </w:p>
        </w:tc>
      </w:tr>
      <w:tr>
        <w:tc>
          <w:tcPr>
            <w:tcW w:type="dxa" w:w="2255"/>
          </w:tcPr>
          <w:p>
            <w:pPr>
              <w:pStyle w:val="Compact"/>
              <w:keepNext/>
              <w:spacing w:after="0"/>
              <w:ind w:firstLine="0"/>
              <w:jc w:val="left"/>
            </w:pPr>
            <w:r>
              <w:rPr>
                <w:rFonts w:ascii="Times New Roman" w:hAnsi="Times New Roman"/>
                <w:sz w:val="15"/>
              </w:rPr>
              <w:t xml:space="preserve">ROC-AUC</w:t>
            </w:r>
          </w:p>
        </w:tc>
        <w:tc>
          <w:tcPr>
            <w:tcW w:type="dxa" w:w="1324"/>
          </w:tcPr>
          <w:p>
            <w:pPr>
              <w:pStyle w:val="Compact"/>
              <w:keepNext/>
              <w:spacing w:after="0"/>
              <w:ind w:firstLine="0"/>
              <w:jc w:val="left"/>
            </w:pPr>
            <w:r>
              <w:rPr>
                <w:rFonts w:ascii="Times New Roman" w:hAnsi="Times New Roman"/>
                <w:sz w:val="15"/>
              </w:rPr>
              <w:t xml:space="preserve">0.9652</w:t>
            </w:r>
          </w:p>
        </w:tc>
        <w:tc>
          <w:tcPr>
            <w:tcW w:type="dxa" w:w="1324"/>
          </w:tcPr>
          <w:p>
            <w:pPr>
              <w:pStyle w:val="Compact"/>
              <w:keepNext/>
              <w:spacing w:after="0"/>
              <w:ind w:firstLine="0"/>
              <w:jc w:val="left"/>
            </w:pPr>
            <w:r>
              <w:rPr>
                <w:rFonts w:ascii="Times New Roman" w:hAnsi="Times New Roman"/>
                <w:sz w:val="15"/>
              </w:rPr>
              <w:t xml:space="preserve">0.9900</w:t>
            </w:r>
          </w:p>
        </w:tc>
      </w:tr>
      <w:tr>
        <w:tc>
          <w:tcPr>
            <w:tcW w:type="dxa" w:w="2255"/>
          </w:tcPr>
          <w:p>
            <w:pPr>
              <w:pStyle w:val="Compact"/>
              <w:keepNext/>
              <w:spacing w:after="0"/>
              <w:ind w:firstLine="0"/>
              <w:jc w:val="left"/>
            </w:pPr>
            <w:r>
              <w:rPr>
                <w:rFonts w:ascii="Times New Roman" w:hAnsi="Times New Roman"/>
                <w:sz w:val="15"/>
              </w:rPr>
              <w:t xml:space="preserve">Threshold (validation)</w:t>
            </w:r>
          </w:p>
        </w:tc>
        <w:tc>
          <w:tcPr>
            <w:tcW w:type="dxa" w:w="1324"/>
          </w:tcPr>
          <w:p>
            <w:pPr>
              <w:pStyle w:val="Compact"/>
              <w:keepNext/>
              <w:spacing w:after="0"/>
              <w:ind w:firstLine="0"/>
              <w:jc w:val="left"/>
            </w:pPr>
            <w:r>
              <w:rPr>
                <w:rFonts w:ascii="Times New Roman" w:hAnsi="Times New Roman"/>
                <w:sz w:val="15"/>
              </w:rPr>
              <w:t xml:space="preserve">0.1174</w:t>
            </w:r>
          </w:p>
        </w:tc>
        <w:tc>
          <w:tcPr>
            <w:tcW w:type="dxa" w:w="1324"/>
          </w:tcPr>
          <w:p>
            <w:pPr>
              <w:pStyle w:val="Compact"/>
              <w:keepNext/>
              <w:spacing w:after="0"/>
              <w:ind w:firstLine="0"/>
              <w:jc w:val="left"/>
            </w:pPr>
            <w:r>
              <w:rPr>
                <w:rFonts w:ascii="Times New Roman" w:hAnsi="Times New Roman"/>
                <w:sz w:val="15"/>
              </w:rPr>
              <w:t xml:space="preserve">0.1123</w:t>
            </w:r>
          </w:p>
        </w:tc>
      </w:tr>
      <w:tr>
        <w:tc>
          <w:tcPr>
            <w:tcW w:type="dxa" w:w="2255"/>
          </w:tcPr>
          <w:p>
            <w:pPr>
              <w:pStyle w:val="Compact"/>
              <w:keepNext/>
              <w:spacing w:after="0"/>
              <w:ind w:firstLine="0"/>
              <w:jc w:val="left"/>
            </w:pPr>
            <w:r>
              <w:rPr>
                <w:rFonts w:ascii="Times New Roman" w:hAnsi="Times New Roman"/>
                <w:sz w:val="15"/>
              </w:rPr>
              <w:t xml:space="preserve">Recall</w:t>
            </w:r>
          </w:p>
        </w:tc>
        <w:tc>
          <w:tcPr>
            <w:tcW w:type="dxa" w:w="1324"/>
          </w:tcPr>
          <w:p>
            <w:pPr>
              <w:pStyle w:val="Compact"/>
              <w:keepNext/>
              <w:spacing w:after="0"/>
              <w:ind w:firstLine="0"/>
              <w:jc w:val="left"/>
            </w:pPr>
            <w:r>
              <w:rPr>
                <w:rFonts w:ascii="Times New Roman" w:hAnsi="Times New Roman"/>
                <w:sz w:val="15"/>
              </w:rPr>
              <w:t xml:space="preserve">0.4930</w:t>
            </w:r>
          </w:p>
        </w:tc>
        <w:tc>
          <w:tcPr>
            <w:tcW w:type="dxa" w:w="1324"/>
          </w:tcPr>
          <w:p>
            <w:pPr>
              <w:pStyle w:val="Compact"/>
              <w:keepNext/>
              <w:spacing w:after="0"/>
              <w:ind w:firstLine="0"/>
              <w:jc w:val="left"/>
            </w:pPr>
            <w:r>
              <w:rPr>
                <w:rFonts w:ascii="Times New Roman" w:hAnsi="Times New Roman"/>
                <w:sz w:val="15"/>
              </w:rPr>
              <w:t xml:space="preserve">0.7803</w:t>
            </w:r>
          </w:p>
        </w:tc>
      </w:tr>
      <w:tr>
        <w:tc>
          <w:tcPr>
            <w:tcW w:type="dxa" w:w="2255"/>
          </w:tcPr>
          <w:p>
            <w:pPr>
              <w:pStyle w:val="Compact"/>
              <w:keepNext/>
              <w:spacing w:after="0"/>
              <w:ind w:firstLine="0"/>
              <w:jc w:val="left"/>
            </w:pPr>
            <w:r>
              <w:rPr>
                <w:rFonts w:ascii="Times New Roman" w:hAnsi="Times New Roman"/>
                <w:sz w:val="15"/>
              </w:rPr>
              <w:t xml:space="preserve">Precision</w:t>
            </w:r>
          </w:p>
        </w:tc>
        <w:tc>
          <w:tcPr>
            <w:tcW w:type="dxa" w:w="1324"/>
          </w:tcPr>
          <w:p>
            <w:pPr>
              <w:pStyle w:val="Compact"/>
              <w:keepNext/>
              <w:spacing w:after="0"/>
              <w:ind w:firstLine="0"/>
              <w:jc w:val="left"/>
            </w:pPr>
            <w:r>
              <w:rPr>
                <w:rFonts w:ascii="Times New Roman" w:hAnsi="Times New Roman"/>
                <w:sz w:val="15"/>
              </w:rPr>
              <w:t xml:space="preserve">0.3846</w:t>
            </w:r>
          </w:p>
        </w:tc>
        <w:tc>
          <w:tcPr>
            <w:tcW w:type="dxa" w:w="1324"/>
          </w:tcPr>
          <w:p>
            <w:pPr>
              <w:pStyle w:val="Compact"/>
              <w:keepNext/>
              <w:spacing w:after="0"/>
              <w:ind w:firstLine="0"/>
              <w:jc w:val="left"/>
            </w:pPr>
            <w:r>
              <w:rPr>
                <w:rFonts w:ascii="Times New Roman" w:hAnsi="Times New Roman"/>
                <w:sz w:val="15"/>
              </w:rPr>
              <w:t xml:space="preserve">0.4843</w:t>
            </w:r>
          </w:p>
        </w:tc>
      </w:tr>
      <w:tr>
        <w:tc>
          <w:tcPr>
            <w:tcW w:type="dxa" w:w="2255"/>
          </w:tcPr>
          <w:p>
            <w:pPr>
              <w:pStyle w:val="Compact"/>
              <w:keepNext/>
              <w:spacing w:after="0"/>
              <w:ind w:firstLine="0"/>
              <w:jc w:val="left"/>
            </w:pPr>
            <w:r>
              <w:rPr>
                <w:rFonts w:ascii="Times New Roman" w:hAnsi="Times New Roman"/>
                <w:sz w:val="15"/>
              </w:rPr>
              <w:t xml:space="preserve">F1</w:t>
            </w:r>
          </w:p>
        </w:tc>
        <w:tc>
          <w:tcPr>
            <w:tcW w:type="dxa" w:w="1324"/>
          </w:tcPr>
          <w:p>
            <w:pPr>
              <w:pStyle w:val="Compact"/>
              <w:keepNext/>
              <w:spacing w:after="0"/>
              <w:ind w:firstLine="0"/>
              <w:jc w:val="left"/>
            </w:pPr>
            <w:r>
              <w:rPr>
                <w:rFonts w:ascii="Times New Roman" w:hAnsi="Times New Roman"/>
                <w:sz w:val="15"/>
              </w:rPr>
              <w:t xml:space="preserve">0.4321</w:t>
            </w:r>
          </w:p>
        </w:tc>
        <w:tc>
          <w:tcPr>
            <w:tcW w:type="dxa" w:w="1324"/>
          </w:tcPr>
          <w:p>
            <w:pPr>
              <w:pStyle w:val="Compact"/>
              <w:keepNext/>
              <w:spacing w:after="0"/>
              <w:ind w:firstLine="0"/>
              <w:jc w:val="left"/>
            </w:pPr>
            <w:r>
              <w:rPr>
                <w:rFonts w:ascii="Times New Roman" w:hAnsi="Times New Roman"/>
                <w:sz w:val="15"/>
              </w:rPr>
              <w:t xml:space="preserve">0.5976</w:t>
            </w:r>
          </w:p>
        </w:tc>
      </w:tr>
      <w:tr>
        <w:tc>
          <w:tcPr>
            <w:tcW w:type="dxa" w:w="2255"/>
          </w:tcPr>
          <w:p>
            <w:pPr>
              <w:pStyle w:val="Compact"/>
              <w:keepNext/>
              <w:spacing w:after="0"/>
              <w:ind w:firstLine="0"/>
              <w:jc w:val="left"/>
            </w:pPr>
            <w:r>
              <w:rPr>
                <w:rFonts w:ascii="Times New Roman" w:hAnsi="Times New Roman"/>
                <w:sz w:val="15"/>
              </w:rPr>
              <w:t xml:space="preserve">FPR</w:t>
            </w:r>
          </w:p>
        </w:tc>
        <w:tc>
          <w:tcPr>
            <w:tcW w:type="dxa" w:w="1324"/>
          </w:tcPr>
          <w:p>
            <w:pPr>
              <w:pStyle w:val="Compact"/>
              <w:keepNext/>
              <w:spacing w:after="0"/>
              <w:ind w:firstLine="0"/>
              <w:jc w:val="left"/>
            </w:pPr>
            <w:r>
              <w:rPr>
                <w:rFonts w:ascii="Times New Roman" w:hAnsi="Times New Roman"/>
                <w:sz w:val="15"/>
              </w:rPr>
              <w:t xml:space="preserve">0.00945</w:t>
            </w:r>
          </w:p>
        </w:tc>
        <w:tc>
          <w:tcPr>
            <w:tcW w:type="dxa" w:w="1324"/>
          </w:tcPr>
          <w:p>
            <w:pPr>
              <w:pStyle w:val="Compact"/>
              <w:keepNext/>
              <w:spacing w:after="0"/>
              <w:ind w:firstLine="0"/>
              <w:jc w:val="left"/>
            </w:pPr>
            <w:r>
              <w:rPr>
                <w:rFonts w:ascii="Times New Roman" w:hAnsi="Times New Roman"/>
                <w:sz w:val="15"/>
              </w:rPr>
              <w:t xml:space="preserve">0.00995</w:t>
            </w:r>
          </w:p>
        </w:tc>
      </w:tr>
      <w:tr>
        <w:tc>
          <w:tcPr>
            <w:tcW w:type="dxa" w:w="2255"/>
          </w:tcPr>
          <w:p>
            <w:pPr>
              <w:pStyle w:val="Compact"/>
              <w:keepNext/>
              <w:spacing w:after="0"/>
              <w:ind w:firstLine="0"/>
              <w:jc w:val="left"/>
            </w:pPr>
            <w:r>
              <w:rPr>
                <w:rFonts w:ascii="Times New Roman" w:hAnsi="Times New Roman"/>
                <w:sz w:val="15"/>
              </w:rPr>
              <w:t xml:space="preserve">TP / FN</w:t>
            </w:r>
          </w:p>
        </w:tc>
        <w:tc>
          <w:tcPr>
            <w:tcW w:type="dxa" w:w="1324"/>
          </w:tcPr>
          <w:p>
            <w:pPr>
              <w:pStyle w:val="Compact"/>
              <w:keepNext/>
              <w:spacing w:after="0"/>
              <w:ind w:firstLine="0"/>
              <w:jc w:val="left"/>
            </w:pPr>
            <w:r>
              <w:rPr>
                <w:rFonts w:ascii="Times New Roman" w:hAnsi="Times New Roman"/>
                <w:sz w:val="15"/>
              </w:rPr>
              <w:t xml:space="preserve">175 / 180</w:t>
            </w:r>
          </w:p>
        </w:tc>
        <w:tc>
          <w:tcPr>
            <w:tcW w:type="dxa" w:w="1324"/>
          </w:tcPr>
          <w:p>
            <w:pPr>
              <w:pStyle w:val="Compact"/>
              <w:keepNext/>
              <w:spacing w:after="0"/>
              <w:ind w:firstLine="0"/>
              <w:jc w:val="left"/>
            </w:pPr>
            <w:r>
              <w:rPr>
                <w:rFonts w:ascii="Times New Roman" w:hAnsi="Times New Roman"/>
                <w:sz w:val="15"/>
              </w:rPr>
              <w:t xml:space="preserve">277 / 78</w:t>
            </w:r>
          </w:p>
        </w:tc>
      </w:tr>
      <w:tr>
        <w:tc>
          <w:tcPr>
            <w:tcW w:type="dxa" w:w="2255"/>
          </w:tcPr>
          <w:p>
            <w:pPr>
              <w:pStyle w:val="Compact"/>
              <w:keepNext/>
              <w:spacing w:after="0"/>
              <w:ind w:firstLine="0"/>
              <w:jc w:val="left"/>
            </w:pPr>
            <w:r>
              <w:rPr>
                <w:rFonts w:ascii="Times New Roman" w:hAnsi="Times New Roman"/>
                <w:sz w:val="15"/>
              </w:rPr>
              <w:t xml:space="preserve">FP / TN</w:t>
            </w:r>
          </w:p>
        </w:tc>
        <w:tc>
          <w:tcPr>
            <w:tcW w:type="dxa" w:w="1324"/>
          </w:tcPr>
          <w:p>
            <w:pPr>
              <w:pStyle w:val="Compact"/>
              <w:keepNext/>
              <w:spacing w:after="0"/>
              <w:ind w:firstLine="0"/>
              <w:jc w:val="left"/>
            </w:pPr>
            <w:r>
              <w:rPr>
                <w:rFonts w:ascii="Times New Roman" w:hAnsi="Times New Roman"/>
                <w:sz w:val="15"/>
              </w:rPr>
              <w:t xml:space="preserve">280 / 29,365</w:t>
            </w:r>
          </w:p>
        </w:tc>
        <w:tc>
          <w:tcPr>
            <w:tcW w:type="dxa" w:w="1324"/>
          </w:tcPr>
          <w:p>
            <w:pPr>
              <w:pStyle w:val="Compact"/>
              <w:keepNext/>
              <w:spacing w:after="0"/>
              <w:ind w:firstLine="0"/>
              <w:jc w:val="left"/>
            </w:pPr>
            <w:r>
              <w:rPr>
                <w:rFonts w:ascii="Times New Roman" w:hAnsi="Times New Roman"/>
                <w:sz w:val="15"/>
              </w:rPr>
              <w:t xml:space="preserve">295 / 29,350</w:t>
            </w:r>
          </w:p>
        </w:tc>
      </w:tr>
      <w:tr>
        <w:tc>
          <w:tcPr>
            <w:tcW w:type="dxa" w:w="2255"/>
          </w:tcPr>
          <w:p>
            <w:pPr>
              <w:pStyle w:val="Compact"/>
              <w:keepNext/>
              <w:spacing w:after="0"/>
              <w:ind w:firstLine="0"/>
              <w:jc w:val="left"/>
            </w:pPr>
            <w:r>
              <w:rPr>
                <w:rFonts w:ascii="Times New Roman" w:hAnsi="Times New Roman"/>
                <w:sz w:val="15"/>
              </w:rPr>
              <w:t xml:space="preserve">Alerts raised</w:t>
            </w:r>
          </w:p>
        </w:tc>
        <w:tc>
          <w:tcPr>
            <w:tcW w:type="dxa" w:w="1324"/>
          </w:tcPr>
          <w:p>
            <w:pPr>
              <w:pStyle w:val="Compact"/>
              <w:keepNext/>
              <w:spacing w:after="0"/>
              <w:ind w:firstLine="0"/>
              <w:jc w:val="left"/>
            </w:pPr>
            <w:r>
              <w:rPr>
                <w:rFonts w:ascii="Times New Roman" w:hAnsi="Times New Roman"/>
                <w:sz w:val="15"/>
              </w:rPr>
              <w:t xml:space="preserve">455</w:t>
            </w:r>
          </w:p>
        </w:tc>
        <w:tc>
          <w:tcPr>
            <w:tcW w:type="dxa" w:w="1324"/>
          </w:tcPr>
          <w:p>
            <w:pPr>
              <w:pStyle w:val="Compact"/>
              <w:keepNext/>
              <w:spacing w:after="0"/>
              <w:ind w:firstLine="0"/>
              <w:jc w:val="left"/>
            </w:pPr>
            <w:r>
              <w:rPr>
                <w:rFonts w:ascii="Times New Roman" w:hAnsi="Times New Roman"/>
                <w:sz w:val="15"/>
              </w:rPr>
              <w:t xml:space="preserve">572</w:t>
            </w:r>
          </w:p>
        </w:tc>
      </w:tr>
      <w:tr>
        <w:tc>
          <w:tcPr>
            <w:tcW w:type="dxa" w:w="2255"/>
          </w:tcPr>
          <w:p>
            <w:pPr>
              <w:pStyle w:val="Compact"/>
              <w:keepNext/>
              <w:spacing w:after="0"/>
              <w:ind w:firstLine="0"/>
              <w:jc w:val="left"/>
            </w:pPr>
            <w:r>
              <w:rPr>
                <w:rFonts w:ascii="Times New Roman" w:hAnsi="Times New Roman"/>
                <w:sz w:val="15"/>
              </w:rPr>
              <w:t xml:space="preserve">Brier score</w:t>
            </w:r>
          </w:p>
        </w:tc>
        <w:tc>
          <w:tcPr>
            <w:tcW w:type="dxa" w:w="1324"/>
          </w:tcPr>
          <w:p>
            <w:pPr>
              <w:pStyle w:val="Compact"/>
              <w:keepNext/>
              <w:spacing w:after="0"/>
              <w:ind w:firstLine="0"/>
              <w:jc w:val="left"/>
            </w:pPr>
            <w:r>
              <w:rPr>
                <w:rFonts w:ascii="Times New Roman" w:hAnsi="Times New Roman"/>
                <w:sz w:val="15"/>
              </w:rPr>
              <w:t xml:space="preserve">0.00798</w:t>
            </w:r>
          </w:p>
        </w:tc>
        <w:tc>
          <w:tcPr>
            <w:tcW w:type="dxa" w:w="1324"/>
          </w:tcPr>
          <w:p>
            <w:pPr>
              <w:pStyle w:val="Compact"/>
              <w:keepNext/>
              <w:spacing w:after="0"/>
              <w:ind w:firstLine="0"/>
              <w:jc w:val="left"/>
            </w:pPr>
            <w:r>
              <w:rPr>
                <w:rFonts w:ascii="Times New Roman" w:hAnsi="Times New Roman"/>
                <w:sz w:val="15"/>
              </w:rPr>
              <w:t xml:space="preserve">0.00555</w:t>
            </w:r>
          </w:p>
        </w:tc>
      </w:tr>
      <w:tr>
        <w:tc>
          <w:tcPr>
            <w:tcW w:type="dxa" w:w="2255"/>
          </w:tcPr>
          <w:p>
            <w:pPr>
              <w:pStyle w:val="Compact"/>
              <w:spacing w:after="0"/>
              <w:ind w:firstLine="0"/>
              <w:jc w:val="left"/>
            </w:pPr>
            <w:r>
              <w:rPr>
                <w:rFonts w:ascii="Times New Roman" w:hAnsi="Times New Roman"/>
                <w:sz w:val="15"/>
              </w:rPr>
              <w:t xml:space="preserve">Brier skill score</w:t>
            </w:r>
          </w:p>
        </w:tc>
        <w:tc>
          <w:tcPr>
            <w:tcW w:type="dxa" w:w="1324"/>
          </w:tcPr>
          <w:p>
            <w:pPr>
              <w:pStyle w:val="Compact"/>
              <w:spacing w:after="0"/>
              <w:ind w:firstLine="0"/>
              <w:jc w:val="left"/>
            </w:pPr>
            <w:r>
              <w:rPr>
                <w:rFonts w:ascii="Times New Roman" w:hAnsi="Times New Roman"/>
                <w:sz w:val="15"/>
              </w:rPr>
              <w:t xml:space="preserve">0.317</w:t>
            </w:r>
          </w:p>
        </w:tc>
        <w:tc>
          <w:tcPr>
            <w:tcW w:type="dxa" w:w="1324"/>
          </w:tcPr>
          <w:p>
            <w:pPr>
              <w:pStyle w:val="Compact"/>
              <w:spacing w:after="0"/>
              <w:ind w:firstLine="0"/>
              <w:jc w:val="left"/>
            </w:pPr>
            <w:r>
              <w:rPr>
                <w:rFonts w:ascii="Times New Roman" w:hAnsi="Times New Roman"/>
                <w:sz w:val="15"/>
              </w:rPr>
              <w:t xml:space="preserve">0.525</w:t>
            </w:r>
          </w:p>
        </w:tc>
      </w:tr>
    </w:tbl>
    <w:bookmarkEnd w:id="43"/>
    <w:bookmarkStart w:id="47" w:name="b.-ranking-behaviour"/>
    <w:p>
      <w:pPr>
        <w:pStyle w:val="Heading2"/>
      </w:pPr>
      <w:r>
        <w:t xml:space="preserve">B. Ranking Behaviour</w:t>
      </w:r>
    </w:p>
    <w:p>
      <w:pPr>
        <w:pStyle w:val="FirstParagraph"/>
      </w:pPr>
      <w:r>
        <w:t xml:space="preserve">Fig. 3(a) shows the V2 precision–recall curve against the no-skill line at the test prevalence of 0.0118. Precision stays near 1.0 at low recall and falls as recall increases; the operating point sits at recall 0.780 and precision 0.484. The ROC curve in Fig. 3(b) rises almost vertically because the negative class is so large, which is why the precision–recall view is the more informative of the two [11], [12].</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120640" cy="2140850"/>
            <wp:effectExtent b="0" l="0" r="0" t="0"/>
            <wp:docPr descr="Fig. 3. Frozen V2 model on the held-out test split: (a) precision–recall curve with the no-skill baseline at test prevalence; (b) ROC curve. Markers show the validation-selected operating point." title="" id="45" name="Picture"/>
            <a:graphic>
              <a:graphicData uri="http://schemas.openxmlformats.org/drawingml/2006/picture">
                <pic:pic>
                  <pic:nvPicPr>
                    <pic:cNvPr descr="fig/fig6_pr_roc.png" id="46" name="Picture"/>
                    <pic:cNvPicPr>
                      <a:picLocks noChangeArrowheads="1" noChangeAspect="1"/>
                    </pic:cNvPicPr>
                  </pic:nvPicPr>
                  <pic:blipFill>
                    <a:blip r:embed="rId44"/>
                    <a:stretch>
                      <a:fillRect/>
                    </a:stretch>
                  </pic:blipFill>
                  <pic:spPr bwMode="auto">
                    <a:xfrm>
                      <a:off x="0" y="0"/>
                      <a:ext cx="5120640" cy="2140850"/>
                    </a:xfrm>
                    <a:prstGeom prst="rect">
                      <a:avLst/>
                    </a:prstGeom>
                    <a:noFill/>
                    <a:ln w="9525">
                      <a:noFill/>
                      <a:headEnd/>
                      <a:tailEnd/>
                    </a:ln>
                  </pic:spPr>
                </pic:pic>
              </a:graphicData>
            </a:graphic>
          </wp:inline>
        </w:drawing>
      </w:r>
    </w:p>
    <w:p>
      <w:pPr>
        <w:pStyle w:val="ImageCaption"/>
      </w:pPr>
      <w:r>
        <w:t xml:space="preserve">Fig. 3. Frozen V2 model on the held-out test split: (a) precision–recall curve with the no-skill baseline at test prevalence; (b) ROC curve. Markers show the validation-selected operating point.</w:t>
      </w:r>
    </w:p>
    <w:p>
      <w:pPr>
        <w:pStyle w:val="Marker"/>
        <w:sectPr>
          <w:type w:val="continuous"/>
          <w:pgSz w:w="11906" w:h="16838"/>
          <w:pgMar w:top="1077" w:right="907" w:bottom="1247" w:left="907" w:header="567" w:footer="567" w:gutter="0"/>
          <w:cols w:num="1" w:space="284"/>
        </w:sectPr>
      </w:pPr>
      <w:r/>
    </w:p>
    <w:bookmarkEnd w:id="47"/>
    <w:bookmarkStart w:id="48" w:name="c.-scenario-wise-recall"/>
    <w:p>
      <w:pPr>
        <w:pStyle w:val="Heading2"/>
      </w:pPr>
      <w:r>
        <w:t xml:space="preserve">C. Scenario-Wise Recall</w:t>
      </w:r>
    </w:p>
    <w:p>
      <w:pPr>
        <w:pStyle w:val="FirstParagraph"/>
      </w:pPr>
      <w:r>
        <w:t xml:space="preserve">Aggregate recall hides large differences between scenarios (Table V). V1 detects AT and CT, which alter the payer’s own behaviour, at high rates, but only 19.23% of SE payments. In the V1 ablation, the payer-only model recalls 3.85% of SE payments, the payee-only model 11.54% and the full model 19.23%, 7.69 percentage points above the stronger half; this is a scenario-specific complementarity, not a gain in overall recall. V2 raises SE recall to 65.93% and MC recall to 85.00%, leaves AT and CT unchanged, and SE remains the hardest scenario for both models.</w:t>
      </w:r>
    </w:p>
    <w:p>
      <w:pPr>
        <w:pStyle w:val="TableCaption"/>
      </w:pPr>
      <w:r>
        <w:t>TABLE V</w:t>
        <w:br/>
      </w:r>
      <w:r>
        <w:rPr>
          <w:smallCaps/>
        </w:rPr>
        <w:t>Scenario-Wise Recall on the Held-Out Test Split (Detected Cases)</w:t>
      </w:r>
    </w:p>
    <w:tbl>
      <w:tblPr>
        <w:tblW w:type="dxa" w:w="4904"/>
        <w:tblLook w:firstRow="1" w:lastRow="0" w:firstColumn="0" w:lastColumn="0" w:noHBand="0" w:noVBand="0" w:val="0020"/>
        <w:jc w:val="center"/>
        <w:tblCaption w:val="TABLE V. Scenario-Wise Recall on the Held-Out Test Split (Detected Case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814"/>
        <w:gridCol w:w="637"/>
        <w:gridCol w:w="1226"/>
        <w:gridCol w:w="1226"/>
      </w:tblGrid>
      <w:tr>
        <w:trPr>
          <w:tblHeader w:val="true"/>
        </w:trPr>
        <w:tc>
          <w:tcPr>
            <w:tcW w:type="dxa" w:w="1814"/>
            <w:tcBorders>
              <w:bottom w:val="single" w:sz="4" w:space="0" w:color="000000"/>
            </w:tcBorders>
          </w:tcPr>
          <w:p>
            <w:pPr>
              <w:pStyle w:val="Compact"/>
              <w:keepNext/>
              <w:spacing w:after="0"/>
              <w:ind w:firstLine="0"/>
              <w:jc w:val="left"/>
            </w:pPr>
            <w:r>
              <w:rPr>
                <w:rFonts w:ascii="Times New Roman" w:hAnsi="Times New Roman"/>
                <w:b/>
                <w:sz w:val="15"/>
              </w:rPr>
              <w:t xml:space="preserve">Scenario</w:t>
            </w:r>
          </w:p>
        </w:tc>
        <w:tc>
          <w:tcPr>
            <w:tcW w:type="dxa" w:w="637"/>
            <w:tcBorders>
              <w:bottom w:val="single" w:sz="4" w:space="0" w:color="000000"/>
            </w:tcBorders>
          </w:tcPr>
          <w:p>
            <w:pPr>
              <w:pStyle w:val="Compact"/>
              <w:keepNext/>
              <w:spacing w:after="0"/>
              <w:ind w:firstLine="0"/>
              <w:jc w:val="left"/>
            </w:pPr>
            <w:r>
              <w:rPr>
                <w:rFonts w:ascii="Times New Roman" w:hAnsi="Times New Roman"/>
                <w:b/>
                <w:sz w:val="15"/>
              </w:rPr>
              <w:t xml:space="preserve">Cases</w:t>
            </w:r>
          </w:p>
        </w:tc>
        <w:tc>
          <w:tcPr>
            <w:tcW w:type="dxa" w:w="1226"/>
            <w:tcBorders>
              <w:bottom w:val="single" w:sz="4" w:space="0" w:color="000000"/>
            </w:tcBorders>
          </w:tcPr>
          <w:p>
            <w:pPr>
              <w:pStyle w:val="Compact"/>
              <w:keepNext/>
              <w:spacing w:after="0"/>
              <w:ind w:firstLine="0"/>
              <w:jc w:val="left"/>
            </w:pPr>
            <w:r>
              <w:rPr>
                <w:rFonts w:ascii="Times New Roman" w:hAnsi="Times New Roman"/>
                <w:b/>
                <w:sz w:val="15"/>
              </w:rPr>
              <w:t xml:space="preserve">V1</w:t>
            </w:r>
          </w:p>
        </w:tc>
        <w:tc>
          <w:tcPr>
            <w:tcW w:type="dxa" w:w="1226"/>
            <w:tcBorders>
              <w:bottom w:val="single" w:sz="4" w:space="0" w:color="000000"/>
            </w:tcBorders>
          </w:tcPr>
          <w:p>
            <w:pPr>
              <w:pStyle w:val="Compact"/>
              <w:keepNext/>
              <w:spacing w:after="0"/>
              <w:ind w:firstLine="0"/>
              <w:jc w:val="left"/>
            </w:pPr>
            <w:r>
              <w:rPr>
                <w:rFonts w:ascii="Times New Roman" w:hAnsi="Times New Roman"/>
                <w:b/>
                <w:sz w:val="15"/>
              </w:rPr>
              <w:t xml:space="preserve">V2</w:t>
            </w:r>
          </w:p>
        </w:tc>
      </w:tr>
      <w:tr>
        <w:tc>
          <w:tcPr>
            <w:tcW w:type="dxa" w:w="1814"/>
          </w:tcPr>
          <w:p>
            <w:pPr>
              <w:pStyle w:val="Compact"/>
              <w:keepNext/>
              <w:spacing w:after="0"/>
              <w:ind w:firstLine="0"/>
              <w:jc w:val="left"/>
            </w:pPr>
            <w:r>
              <w:rPr>
                <w:rFonts w:ascii="Times New Roman" w:hAnsi="Times New Roman"/>
                <w:sz w:val="15"/>
              </w:rPr>
              <w:t xml:space="preserve">Social engineering</w:t>
            </w:r>
          </w:p>
        </w:tc>
        <w:tc>
          <w:tcPr>
            <w:tcW w:type="dxa" w:w="637"/>
          </w:tcPr>
          <w:p>
            <w:pPr>
              <w:pStyle w:val="Compact"/>
              <w:keepNext/>
              <w:spacing w:after="0"/>
              <w:ind w:firstLine="0"/>
              <w:jc w:val="left"/>
            </w:pPr>
            <w:r>
              <w:rPr>
                <w:rFonts w:ascii="Times New Roman" w:hAnsi="Times New Roman"/>
                <w:sz w:val="15"/>
              </w:rPr>
              <w:t xml:space="preserve">182</w:t>
            </w:r>
          </w:p>
        </w:tc>
        <w:tc>
          <w:tcPr>
            <w:tcW w:type="dxa" w:w="1226"/>
          </w:tcPr>
          <w:p>
            <w:pPr>
              <w:pStyle w:val="Compact"/>
              <w:keepNext/>
              <w:spacing w:after="0"/>
              <w:ind w:firstLine="0"/>
              <w:jc w:val="left"/>
            </w:pPr>
            <w:r>
              <w:rPr>
                <w:rFonts w:ascii="Times New Roman" w:hAnsi="Times New Roman"/>
                <w:sz w:val="15"/>
              </w:rPr>
              <w:t xml:space="preserve">19.23% (35)</w:t>
            </w:r>
          </w:p>
        </w:tc>
        <w:tc>
          <w:tcPr>
            <w:tcW w:type="dxa" w:w="1226"/>
          </w:tcPr>
          <w:p>
            <w:pPr>
              <w:pStyle w:val="Compact"/>
              <w:keepNext/>
              <w:spacing w:after="0"/>
              <w:ind w:firstLine="0"/>
              <w:jc w:val="left"/>
            </w:pPr>
            <w:r>
              <w:rPr>
                <w:rFonts w:ascii="Times New Roman" w:hAnsi="Times New Roman"/>
                <w:sz w:val="15"/>
              </w:rPr>
              <w:t xml:space="preserve">65.93% (120)</w:t>
            </w:r>
          </w:p>
        </w:tc>
      </w:tr>
      <w:tr>
        <w:tc>
          <w:tcPr>
            <w:tcW w:type="dxa" w:w="1814"/>
          </w:tcPr>
          <w:p>
            <w:pPr>
              <w:pStyle w:val="Compact"/>
              <w:keepNext/>
              <w:spacing w:after="0"/>
              <w:ind w:firstLine="0"/>
              <w:jc w:val="left"/>
            </w:pPr>
            <w:r>
              <w:rPr>
                <w:rFonts w:ascii="Times New Roman" w:hAnsi="Times New Roman"/>
                <w:sz w:val="15"/>
              </w:rPr>
              <w:t xml:space="preserve">Mule collection</w:t>
            </w:r>
          </w:p>
        </w:tc>
        <w:tc>
          <w:tcPr>
            <w:tcW w:type="dxa" w:w="637"/>
          </w:tcPr>
          <w:p>
            <w:pPr>
              <w:pStyle w:val="Compact"/>
              <w:keepNext/>
              <w:spacing w:after="0"/>
              <w:ind w:firstLine="0"/>
              <w:jc w:val="left"/>
            </w:pPr>
            <w:r>
              <w:rPr>
                <w:rFonts w:ascii="Times New Roman" w:hAnsi="Times New Roman"/>
                <w:sz w:val="15"/>
              </w:rPr>
              <w:t xml:space="preserve">80</w:t>
            </w:r>
          </w:p>
        </w:tc>
        <w:tc>
          <w:tcPr>
            <w:tcW w:type="dxa" w:w="1226"/>
          </w:tcPr>
          <w:p>
            <w:pPr>
              <w:pStyle w:val="Compact"/>
              <w:keepNext/>
              <w:spacing w:after="0"/>
              <w:ind w:firstLine="0"/>
              <w:jc w:val="left"/>
            </w:pPr>
            <w:r>
              <w:rPr>
                <w:rFonts w:ascii="Times New Roman" w:hAnsi="Times New Roman"/>
                <w:sz w:val="15"/>
              </w:rPr>
              <w:t xml:space="preserve">63.75% (51)</w:t>
            </w:r>
          </w:p>
        </w:tc>
        <w:tc>
          <w:tcPr>
            <w:tcW w:type="dxa" w:w="1226"/>
          </w:tcPr>
          <w:p>
            <w:pPr>
              <w:pStyle w:val="Compact"/>
              <w:keepNext/>
              <w:spacing w:after="0"/>
              <w:ind w:firstLine="0"/>
              <w:jc w:val="left"/>
            </w:pPr>
            <w:r>
              <w:rPr>
                <w:rFonts w:ascii="Times New Roman" w:hAnsi="Times New Roman"/>
                <w:sz w:val="15"/>
              </w:rPr>
              <w:t xml:space="preserve">85.00% (68)</w:t>
            </w:r>
          </w:p>
        </w:tc>
      </w:tr>
      <w:tr>
        <w:tc>
          <w:tcPr>
            <w:tcW w:type="dxa" w:w="1814"/>
          </w:tcPr>
          <w:p>
            <w:pPr>
              <w:pStyle w:val="Compact"/>
              <w:keepNext/>
              <w:spacing w:after="0"/>
              <w:ind w:firstLine="0"/>
              <w:jc w:val="left"/>
            </w:pPr>
            <w:r>
              <w:rPr>
                <w:rFonts w:ascii="Times New Roman" w:hAnsi="Times New Roman"/>
                <w:sz w:val="15"/>
              </w:rPr>
              <w:t xml:space="preserve">Account takeover</w:t>
            </w:r>
          </w:p>
        </w:tc>
        <w:tc>
          <w:tcPr>
            <w:tcW w:type="dxa" w:w="637"/>
          </w:tcPr>
          <w:p>
            <w:pPr>
              <w:pStyle w:val="Compact"/>
              <w:keepNext/>
              <w:spacing w:after="0"/>
              <w:ind w:firstLine="0"/>
              <w:jc w:val="left"/>
            </w:pPr>
            <w:r>
              <w:rPr>
                <w:rFonts w:ascii="Times New Roman" w:hAnsi="Times New Roman"/>
                <w:sz w:val="15"/>
              </w:rPr>
              <w:t xml:space="preserve">73</w:t>
            </w:r>
          </w:p>
        </w:tc>
        <w:tc>
          <w:tcPr>
            <w:tcW w:type="dxa" w:w="1226"/>
          </w:tcPr>
          <w:p>
            <w:pPr>
              <w:pStyle w:val="Compact"/>
              <w:keepNext/>
              <w:spacing w:after="0"/>
              <w:ind w:firstLine="0"/>
              <w:jc w:val="left"/>
            </w:pPr>
            <w:r>
              <w:rPr>
                <w:rFonts w:ascii="Times New Roman" w:hAnsi="Times New Roman"/>
                <w:sz w:val="15"/>
              </w:rPr>
              <w:t xml:space="preserve">94.52% (69)</w:t>
            </w:r>
          </w:p>
        </w:tc>
        <w:tc>
          <w:tcPr>
            <w:tcW w:type="dxa" w:w="1226"/>
          </w:tcPr>
          <w:p>
            <w:pPr>
              <w:pStyle w:val="Compact"/>
              <w:keepNext/>
              <w:spacing w:after="0"/>
              <w:ind w:firstLine="0"/>
              <w:jc w:val="left"/>
            </w:pPr>
            <w:r>
              <w:rPr>
                <w:rFonts w:ascii="Times New Roman" w:hAnsi="Times New Roman"/>
                <w:sz w:val="15"/>
              </w:rPr>
              <w:t xml:space="preserve">94.52% (69)</w:t>
            </w:r>
          </w:p>
        </w:tc>
      </w:tr>
      <w:tr>
        <w:tc>
          <w:tcPr>
            <w:tcW w:type="dxa" w:w="1814"/>
          </w:tcPr>
          <w:p>
            <w:pPr>
              <w:pStyle w:val="Compact"/>
              <w:keepNext/>
              <w:spacing w:after="0"/>
              <w:ind w:firstLine="0"/>
              <w:jc w:val="left"/>
            </w:pPr>
            <w:r>
              <w:rPr>
                <w:rFonts w:ascii="Times New Roman" w:hAnsi="Times New Roman"/>
                <w:sz w:val="15"/>
              </w:rPr>
              <w:t xml:space="preserve">Card testing</w:t>
            </w:r>
          </w:p>
        </w:tc>
        <w:tc>
          <w:tcPr>
            <w:tcW w:type="dxa" w:w="637"/>
          </w:tcPr>
          <w:p>
            <w:pPr>
              <w:pStyle w:val="Compact"/>
              <w:keepNext/>
              <w:spacing w:after="0"/>
              <w:ind w:firstLine="0"/>
              <w:jc w:val="left"/>
            </w:pPr>
            <w:r>
              <w:rPr>
                <w:rFonts w:ascii="Times New Roman" w:hAnsi="Times New Roman"/>
                <w:sz w:val="15"/>
              </w:rPr>
              <w:t xml:space="preserve">20</w:t>
            </w:r>
          </w:p>
        </w:tc>
        <w:tc>
          <w:tcPr>
            <w:tcW w:type="dxa" w:w="1226"/>
          </w:tcPr>
          <w:p>
            <w:pPr>
              <w:pStyle w:val="Compact"/>
              <w:keepNext/>
              <w:spacing w:after="0"/>
              <w:ind w:firstLine="0"/>
              <w:jc w:val="left"/>
            </w:pPr>
            <w:r>
              <w:rPr>
                <w:rFonts w:ascii="Times New Roman" w:hAnsi="Times New Roman"/>
                <w:sz w:val="15"/>
              </w:rPr>
              <w:t xml:space="preserve">100.00% (20)</w:t>
            </w:r>
          </w:p>
        </w:tc>
        <w:tc>
          <w:tcPr>
            <w:tcW w:type="dxa" w:w="1226"/>
          </w:tcPr>
          <w:p>
            <w:pPr>
              <w:pStyle w:val="Compact"/>
              <w:keepNext/>
              <w:spacing w:after="0"/>
              <w:ind w:firstLine="0"/>
              <w:jc w:val="left"/>
            </w:pPr>
            <w:r>
              <w:rPr>
                <w:rFonts w:ascii="Times New Roman" w:hAnsi="Times New Roman"/>
                <w:sz w:val="15"/>
              </w:rPr>
              <w:t xml:space="preserve">100.00% (20)</w:t>
            </w:r>
          </w:p>
        </w:tc>
      </w:tr>
      <w:tr>
        <w:tc>
          <w:tcPr>
            <w:tcW w:type="dxa" w:w="1814"/>
          </w:tcPr>
          <w:p>
            <w:pPr>
              <w:pStyle w:val="Compact"/>
              <w:spacing w:after="0"/>
              <w:ind w:firstLine="0"/>
              <w:jc w:val="left"/>
            </w:pPr>
            <w:r>
              <w:rPr>
                <w:rFonts w:ascii="Times New Roman" w:hAnsi="Times New Roman"/>
                <w:sz w:val="15"/>
              </w:rPr>
              <w:t xml:space="preserve">Legitimate (FPR)</w:t>
            </w:r>
          </w:p>
        </w:tc>
        <w:tc>
          <w:tcPr>
            <w:tcW w:type="dxa" w:w="637"/>
          </w:tcPr>
          <w:p>
            <w:pPr>
              <w:pStyle w:val="Compact"/>
              <w:spacing w:after="0"/>
              <w:ind w:firstLine="0"/>
              <w:jc w:val="left"/>
            </w:pPr>
            <w:r>
              <w:rPr>
                <w:rFonts w:ascii="Times New Roman" w:hAnsi="Times New Roman"/>
                <w:sz w:val="15"/>
              </w:rPr>
              <w:t xml:space="preserve">29,645</w:t>
            </w:r>
          </w:p>
        </w:tc>
        <w:tc>
          <w:tcPr>
            <w:tcW w:type="dxa" w:w="1226"/>
          </w:tcPr>
          <w:p>
            <w:pPr>
              <w:pStyle w:val="Compact"/>
              <w:spacing w:after="0"/>
              <w:ind w:firstLine="0"/>
              <w:jc w:val="left"/>
            </w:pPr>
            <w:r>
              <w:rPr>
                <w:rFonts w:ascii="Times New Roman" w:hAnsi="Times New Roman"/>
                <w:sz w:val="15"/>
              </w:rPr>
              <w:t xml:space="preserve">0.945% (280)</w:t>
            </w:r>
          </w:p>
        </w:tc>
        <w:tc>
          <w:tcPr>
            <w:tcW w:type="dxa" w:w="1226"/>
          </w:tcPr>
          <w:p>
            <w:pPr>
              <w:pStyle w:val="Compact"/>
              <w:spacing w:after="0"/>
              <w:ind w:firstLine="0"/>
              <w:jc w:val="left"/>
            </w:pPr>
            <w:r>
              <w:rPr>
                <w:rFonts w:ascii="Times New Roman" w:hAnsi="Times New Roman"/>
                <w:sz w:val="15"/>
              </w:rPr>
              <w:t xml:space="preserve">0.995% (295)</w:t>
            </w:r>
          </w:p>
        </w:tc>
      </w:tr>
    </w:tbl>
    <w:bookmarkEnd w:id="48"/>
    <w:bookmarkStart w:id="52" w:name="d.-calibration"/>
    <w:p>
      <w:pPr>
        <w:pStyle w:val="Heading2"/>
      </w:pPr>
      <w:r>
        <w:t xml:space="preserve">D. Calibration</w:t>
      </w:r>
    </w:p>
    <w:p>
      <w:pPr>
        <w:pStyle w:val="FirstParagraph"/>
      </w:pPr>
      <w:r>
        <w:t xml:space="preserve">Fig. 4 shows V2 reliability on the test split. With quantile bins only four bins are populated, because most predictions lie near zero, and they lie close to the diagonal. Fixed-width bins expose the upper range: the lowest bin (below 0.1) holds 29,383 payments with a mean prediction of 0.0033 and an observed rate of 0.0025; intermediate bins show observed rates close to or somewhat above the mean prediction (e.g., 0.435 against 0.347 in the 0.3–0.4 bin of 46 payments); the top bin holds 71 payments, all fraudulent, with a mean prediction of 0.973. Intermediate bins contain only 33–231 payments, so their rates are imprecise. Both calibrated models improve on the base-rate predictor (BSS 0.525 for V2 and 0.317 for V1), on the simulator only.</w:t>
      </w:r>
    </w:p>
    <w:p>
      <w:pPr>
        <w:pStyle w:val="CaptionedFigure"/>
      </w:pPr>
      <w:r>
        <w:drawing>
          <wp:inline>
            <wp:extent cx="3017520" cy="1417641"/>
            <wp:effectExtent b="0" l="0" r="0" t="0"/>
            <wp:docPr descr="Fig. 4. Calibration of the frozen V2 model on the held-out test split: quantile bins (left) and fixed-width bins (right); Brier score 0.00555, skill score 0.525." title="" id="50" name="Picture"/>
            <a:graphic>
              <a:graphicData uri="http://schemas.openxmlformats.org/drawingml/2006/picture">
                <pic:pic>
                  <pic:nvPicPr>
                    <pic:cNvPr descr="fig/calibration_curve.png" id="51" name="Picture"/>
                    <pic:cNvPicPr>
                      <a:picLocks noChangeArrowheads="1" noChangeAspect="1"/>
                    </pic:cNvPicPr>
                  </pic:nvPicPr>
                  <pic:blipFill>
                    <a:blip r:embed="rId49"/>
                    <a:stretch>
                      <a:fillRect/>
                    </a:stretch>
                  </pic:blipFill>
                  <pic:spPr bwMode="auto">
                    <a:xfrm>
                      <a:off x="0" y="0"/>
                      <a:ext cx="3017520" cy="1417641"/>
                    </a:xfrm>
                    <a:prstGeom prst="rect">
                      <a:avLst/>
                    </a:prstGeom>
                    <a:noFill/>
                    <a:ln w="9525">
                      <a:noFill/>
                      <a:headEnd/>
                      <a:tailEnd/>
                    </a:ln>
                  </pic:spPr>
                </pic:pic>
              </a:graphicData>
            </a:graphic>
          </wp:inline>
        </w:drawing>
      </w:r>
    </w:p>
    <w:p>
      <w:pPr>
        <w:pStyle w:val="ImageCaption"/>
      </w:pPr>
      <w:r>
        <w:t xml:space="preserve">Fig. 4. Calibration of the frozen V2 model on the held-out test split: quantile bins (left) and fixed-width bins (right); Brier score 0.00555, skill score 0.525.</w:t>
      </w:r>
    </w:p>
    <w:bookmarkEnd w:id="52"/>
    <w:bookmarkStart w:id="56" w:name="e.-feature-attribution-and-ablation"/>
    <w:p>
      <w:pPr>
        <w:pStyle w:val="Heading2"/>
      </w:pPr>
      <w:r>
        <w:t xml:space="preserve">E. Feature Attribution and Ablation</w:t>
      </w:r>
    </w:p>
    <w:p>
      <w:pPr>
        <w:pStyle w:val="FirstParagraph"/>
      </w:pPr>
      <w:r>
        <w:t xml:space="preserve">By permutation importance (Fig. 5(a)), the most useful V2 inputs are payee_is_new (0.3656), arrival_span_days (0.2455), amount_over_user_avg (0.2059), msg_coercion_probability (0.1379) and component_size (0.1209). Individual message-cue indicators, link features and availability flags score near zero, some slightly negative. Mean absolute SHAP on the uncalibrated booster (Fig. 5(b)) again ranks payee_is_new first, followed by arrival_span_days, amount_over_user_avg and component_size. Both measures reflect predictive usefulness under this protocol; correlated features can share or trade importance, and neither implies causal influence.</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1613549"/>
            <wp:effectExtent b="0" l="0" r="0" t="0"/>
            <wp:docPr descr="Fig. 5. V2 feature attribution on the held-out test split (ten highest-ranked features): (a) permutation importance; (b) mean absolute SHAP attribution on the uncalibrated first-fold booster (200 rows)." title="" id="54" name="Picture"/>
            <a:graphic>
              <a:graphicData uri="http://schemas.openxmlformats.org/drawingml/2006/picture">
                <pic:pic>
                  <pic:nvPicPr>
                    <pic:cNvPr descr="fig/fig5_importance.png" id="55" name="Picture"/>
                    <pic:cNvPicPr>
                      <a:picLocks noChangeArrowheads="1" noChangeAspect="1"/>
                    </pic:cNvPicPr>
                  </pic:nvPicPr>
                  <pic:blipFill>
                    <a:blip r:embed="rId53"/>
                    <a:stretch>
                      <a:fillRect/>
                    </a:stretch>
                  </pic:blipFill>
                  <pic:spPr bwMode="auto">
                    <a:xfrm>
                      <a:off x="0" y="0"/>
                      <a:ext cx="5334000" cy="1613549"/>
                    </a:xfrm>
                    <a:prstGeom prst="rect">
                      <a:avLst/>
                    </a:prstGeom>
                    <a:noFill/>
                    <a:ln w="9525">
                      <a:noFill/>
                      <a:headEnd/>
                      <a:tailEnd/>
                    </a:ln>
                  </pic:spPr>
                </pic:pic>
              </a:graphicData>
            </a:graphic>
          </wp:inline>
        </w:drawing>
      </w:r>
    </w:p>
    <w:p>
      <w:pPr>
        <w:pStyle w:val="ImageCaption"/>
      </w:pPr>
      <w:r>
        <w:t xml:space="preserve">Fig. 5. V2 feature attribution on the held-out test split (ten highest-ranked features): (a) permutation importance; (b) mean absolute SHAP attribution on the uncalibrated first-fold booster (200 rows).</w:t>
      </w:r>
    </w:p>
    <w:p>
      <w:pPr>
        <w:pStyle w:val="TableCaption"/>
      </w:pPr>
      <w:r>
        <w:t>TABLE VI</w:t>
        <w:br/>
      </w:r>
      <w:r>
        <w:rPr>
          <w:smallCaps/>
        </w:rPr>
        <w:t>V2 Ablation and Model-Family Comparison (Held-Out Test; Uncalibrated, Separately Trained Models; Threshold from Validation)</w:t>
      </w:r>
    </w:p>
    <w:tbl>
      <w:tblPr>
        <w:tblW w:type="dxa" w:w="10092"/>
        <w:tblLook w:firstRow="1" w:lastRow="0" w:firstColumn="0" w:lastColumn="0" w:noHBand="0" w:noVBand="0" w:val="0020"/>
        <w:jc w:val="center"/>
        <w:tblCaption w:val="TABLE VI. V2 Ablation and Model-Family Comparison (Held-Out Test; Uncalibrated, Separately Trained Models; Threshold from Validation)"/>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3431"/>
        <w:gridCol w:w="807"/>
        <w:gridCol w:w="1009"/>
        <w:gridCol w:w="908"/>
        <w:gridCol w:w="1009"/>
        <w:gridCol w:w="1412"/>
        <w:gridCol w:w="1513"/>
      </w:tblGrid>
      <w:tr>
        <w:trPr>
          <w:tblHeader w:val="true"/>
        </w:trPr>
        <w:tc>
          <w:tcPr>
            <w:tcW w:type="dxa" w:w="3431"/>
            <w:tcBorders>
              <w:bottom w:val="single" w:sz="4" w:space="0" w:color="000000"/>
            </w:tcBorders>
          </w:tcPr>
          <w:p>
            <w:pPr>
              <w:pStyle w:val="Compact"/>
              <w:keepNext/>
              <w:spacing w:after="0"/>
              <w:ind w:firstLine="0"/>
              <w:jc w:val="left"/>
            </w:pPr>
            <w:r>
              <w:rPr>
                <w:rFonts w:ascii="Times New Roman" w:hAnsi="Times New Roman"/>
                <w:b/>
                <w:sz w:val="15"/>
              </w:rPr>
              <w:t xml:space="preserve">Configuration</w:t>
            </w:r>
          </w:p>
        </w:tc>
        <w:tc>
          <w:tcPr>
            <w:tcW w:type="dxa" w:w="807"/>
            <w:tcBorders>
              <w:bottom w:val="single" w:sz="4" w:space="0" w:color="000000"/>
            </w:tcBorders>
          </w:tcPr>
          <w:p>
            <w:pPr>
              <w:pStyle w:val="Compact"/>
              <w:keepNext/>
              <w:spacing w:after="0"/>
              <w:ind w:firstLine="0"/>
              <w:jc w:val="left"/>
            </w:pPr>
            <w:r>
              <w:rPr>
                <w:rFonts w:ascii="Times New Roman" w:hAnsi="Times New Roman"/>
                <w:b/>
                <w:sz w:val="15"/>
              </w:rPr>
              <w:t xml:space="preserve">Features</w:t>
            </w:r>
          </w:p>
        </w:tc>
        <w:tc>
          <w:tcPr>
            <w:tcW w:type="dxa" w:w="1009"/>
            <w:tcBorders>
              <w:bottom w:val="single" w:sz="4" w:space="0" w:color="000000"/>
            </w:tcBorders>
          </w:tcPr>
          <w:p>
            <w:pPr>
              <w:pStyle w:val="Compact"/>
              <w:keepNext/>
              <w:spacing w:after="0"/>
              <w:ind w:firstLine="0"/>
              <w:jc w:val="left"/>
            </w:pPr>
            <w:r>
              <w:rPr>
                <w:rFonts w:ascii="Times New Roman" w:hAnsi="Times New Roman"/>
                <w:b/>
                <w:sz w:val="15"/>
              </w:rPr>
              <w:t xml:space="preserve">PR-AUC</w:t>
            </w:r>
          </w:p>
        </w:tc>
        <w:tc>
          <w:tcPr>
            <w:tcW w:type="dxa" w:w="908"/>
            <w:tcBorders>
              <w:bottom w:val="single" w:sz="4" w:space="0" w:color="000000"/>
            </w:tcBorders>
          </w:tcPr>
          <w:p>
            <w:pPr>
              <w:pStyle w:val="Compact"/>
              <w:keepNext/>
              <w:spacing w:after="0"/>
              <w:ind w:firstLine="0"/>
              <w:jc w:val="left"/>
            </w:pPr>
            <w:r>
              <w:rPr>
                <w:rFonts w:ascii="Times New Roman" w:hAnsi="Times New Roman"/>
                <w:b/>
                <w:sz w:val="15"/>
              </w:rPr>
              <w:t xml:space="preserve">Recall</w:t>
            </w:r>
          </w:p>
        </w:tc>
        <w:tc>
          <w:tcPr>
            <w:tcW w:type="dxa" w:w="1009"/>
            <w:tcBorders>
              <w:bottom w:val="single" w:sz="4" w:space="0" w:color="000000"/>
            </w:tcBorders>
          </w:tcPr>
          <w:p>
            <w:pPr>
              <w:pStyle w:val="Compact"/>
              <w:keepNext/>
              <w:spacing w:after="0"/>
              <w:ind w:firstLine="0"/>
              <w:jc w:val="left"/>
            </w:pPr>
            <w:r>
              <w:rPr>
                <w:rFonts w:ascii="Times New Roman" w:hAnsi="Times New Roman"/>
                <w:b/>
                <w:sz w:val="15"/>
              </w:rPr>
              <w:t xml:space="preserve">FPR</w:t>
            </w:r>
          </w:p>
        </w:tc>
        <w:tc>
          <w:tcPr>
            <w:tcW w:type="dxa" w:w="1412"/>
            <w:tcBorders>
              <w:bottom w:val="single" w:sz="4" w:space="0" w:color="000000"/>
            </w:tcBorders>
          </w:tcPr>
          <w:p>
            <w:pPr>
              <w:pStyle w:val="Compact"/>
              <w:keepNext/>
              <w:spacing w:after="0"/>
              <w:ind w:firstLine="0"/>
              <w:jc w:val="left"/>
            </w:pPr>
            <w:r>
              <w:rPr>
                <w:rFonts w:ascii="Times New Roman" w:hAnsi="Times New Roman"/>
                <w:b/>
                <w:sz w:val="15"/>
              </w:rPr>
              <w:t xml:space="preserve">SE recall</w:t>
            </w:r>
          </w:p>
        </w:tc>
        <w:tc>
          <w:tcPr>
            <w:tcW w:type="dxa" w:w="1513"/>
            <w:tcBorders>
              <w:bottom w:val="single" w:sz="4" w:space="0" w:color="000000"/>
            </w:tcBorders>
          </w:tcPr>
          <w:p>
            <w:pPr>
              <w:pStyle w:val="Compact"/>
              <w:keepNext/>
              <w:spacing w:after="0"/>
              <w:ind w:firstLine="0"/>
              <w:jc w:val="left"/>
            </w:pPr>
            <w:r>
              <w:rPr>
                <w:rFonts w:ascii="Times New Roman" w:hAnsi="Times New Roman"/>
                <w:b/>
                <w:sz w:val="15"/>
              </w:rPr>
              <w:t xml:space="preserve">MC recall</w:t>
            </w:r>
          </w:p>
        </w:tc>
      </w:tr>
      <w:tr>
        <w:tc>
          <w:tcPr>
            <w:tcW w:type="dxa" w:w="3431"/>
          </w:tcPr>
          <w:p>
            <w:pPr>
              <w:pStyle w:val="Compact"/>
              <w:keepNext/>
              <w:spacing w:after="0"/>
              <w:ind w:firstLine="0"/>
              <w:jc w:val="left"/>
            </w:pPr>
            <w:r>
              <w:rPr>
                <w:rFonts w:ascii="Times New Roman" w:hAnsi="Times New Roman"/>
                <w:sz w:val="15"/>
              </w:rPr>
              <w:t xml:space="preserve">A. Payer timing + amount</w:t>
            </w:r>
          </w:p>
        </w:tc>
        <w:tc>
          <w:tcPr>
            <w:tcW w:type="dxa" w:w="807"/>
          </w:tcPr>
          <w:p>
            <w:pPr>
              <w:pStyle w:val="Compact"/>
              <w:keepNext/>
              <w:spacing w:after="0"/>
              <w:ind w:firstLine="0"/>
              <w:jc w:val="left"/>
            </w:pPr>
            <w:r>
              <w:rPr>
                <w:rFonts w:ascii="Times New Roman" w:hAnsi="Times New Roman"/>
                <w:sz w:val="15"/>
              </w:rPr>
              <w:t xml:space="preserve">4</w:t>
            </w:r>
          </w:p>
        </w:tc>
        <w:tc>
          <w:tcPr>
            <w:tcW w:type="dxa" w:w="1009"/>
          </w:tcPr>
          <w:p>
            <w:pPr>
              <w:pStyle w:val="Compact"/>
              <w:keepNext/>
              <w:spacing w:after="0"/>
              <w:ind w:firstLine="0"/>
              <w:jc w:val="left"/>
            </w:pPr>
            <w:r>
              <w:rPr>
                <w:rFonts w:ascii="Times New Roman" w:hAnsi="Times New Roman"/>
                <w:sz w:val="15"/>
              </w:rPr>
              <w:t xml:space="preserve">0.0970</w:t>
            </w:r>
          </w:p>
        </w:tc>
        <w:tc>
          <w:tcPr>
            <w:tcW w:type="dxa" w:w="908"/>
          </w:tcPr>
          <w:p>
            <w:pPr>
              <w:pStyle w:val="Compact"/>
              <w:keepNext/>
              <w:spacing w:after="0"/>
              <w:ind w:firstLine="0"/>
              <w:jc w:val="left"/>
            </w:pPr>
            <w:r>
              <w:rPr>
                <w:rFonts w:ascii="Times New Roman" w:hAnsi="Times New Roman"/>
                <w:sz w:val="15"/>
              </w:rPr>
              <w:t xml:space="preserve">0.163</w:t>
            </w:r>
          </w:p>
        </w:tc>
        <w:tc>
          <w:tcPr>
            <w:tcW w:type="dxa" w:w="1009"/>
          </w:tcPr>
          <w:p>
            <w:pPr>
              <w:pStyle w:val="Compact"/>
              <w:keepNext/>
              <w:spacing w:after="0"/>
              <w:ind w:firstLine="0"/>
              <w:jc w:val="left"/>
            </w:pPr>
            <w:r>
              <w:rPr>
                <w:rFonts w:ascii="Times New Roman" w:hAnsi="Times New Roman"/>
                <w:sz w:val="15"/>
              </w:rPr>
              <w:t xml:space="preserve">0.0093</w:t>
            </w:r>
          </w:p>
        </w:tc>
        <w:tc>
          <w:tcPr>
            <w:tcW w:type="dxa" w:w="1412"/>
          </w:tcPr>
          <w:p>
            <w:pPr>
              <w:pStyle w:val="Compact"/>
              <w:keepNext/>
              <w:spacing w:after="0"/>
              <w:ind w:firstLine="0"/>
              <w:jc w:val="left"/>
            </w:pPr>
            <w:r>
              <w:rPr>
                <w:rFonts w:ascii="Times New Roman" w:hAnsi="Times New Roman"/>
                <w:sz w:val="15"/>
              </w:rPr>
              <w:t xml:space="preserve">1.6%</w:t>
            </w:r>
          </w:p>
        </w:tc>
        <w:tc>
          <w:tcPr>
            <w:tcW w:type="dxa" w:w="1513"/>
          </w:tcPr>
          <w:p>
            <w:pPr>
              <w:pStyle w:val="Compact"/>
              <w:keepNext/>
              <w:spacing w:after="0"/>
              <w:ind w:firstLine="0"/>
              <w:jc w:val="left"/>
            </w:pPr>
            <w:r>
              <w:rPr>
                <w:rFonts w:ascii="Times New Roman" w:hAnsi="Times New Roman"/>
                <w:sz w:val="15"/>
              </w:rPr>
              <w:t xml:space="preserve">2.5%</w:t>
            </w:r>
          </w:p>
        </w:tc>
      </w:tr>
      <w:tr>
        <w:tc>
          <w:tcPr>
            <w:tcW w:type="dxa" w:w="3431"/>
          </w:tcPr>
          <w:p>
            <w:pPr>
              <w:pStyle w:val="Compact"/>
              <w:keepNext/>
              <w:spacing w:after="0"/>
              <w:ind w:firstLine="0"/>
              <w:jc w:val="left"/>
            </w:pPr>
            <w:r>
              <w:rPr>
                <w:rFonts w:ascii="Times New Roman" w:hAnsi="Times New Roman"/>
                <w:sz w:val="15"/>
              </w:rPr>
              <w:t xml:space="preserve">B. A + payee</w:t>
            </w:r>
          </w:p>
        </w:tc>
        <w:tc>
          <w:tcPr>
            <w:tcW w:type="dxa" w:w="807"/>
          </w:tcPr>
          <w:p>
            <w:pPr>
              <w:pStyle w:val="Compact"/>
              <w:keepNext/>
              <w:spacing w:after="0"/>
              <w:ind w:firstLine="0"/>
              <w:jc w:val="left"/>
            </w:pPr>
            <w:r>
              <w:rPr>
                <w:rFonts w:ascii="Times New Roman" w:hAnsi="Times New Roman"/>
                <w:sz w:val="15"/>
              </w:rPr>
              <w:t xml:space="preserve">9</w:t>
            </w:r>
          </w:p>
        </w:tc>
        <w:tc>
          <w:tcPr>
            <w:tcW w:type="dxa" w:w="1009"/>
          </w:tcPr>
          <w:p>
            <w:pPr>
              <w:pStyle w:val="Compact"/>
              <w:keepNext/>
              <w:spacing w:after="0"/>
              <w:ind w:firstLine="0"/>
              <w:jc w:val="left"/>
            </w:pPr>
            <w:r>
              <w:rPr>
                <w:rFonts w:ascii="Times New Roman" w:hAnsi="Times New Roman"/>
                <w:sz w:val="15"/>
              </w:rPr>
              <w:t xml:space="preserve">0.3156</w:t>
            </w:r>
          </w:p>
        </w:tc>
        <w:tc>
          <w:tcPr>
            <w:tcW w:type="dxa" w:w="908"/>
          </w:tcPr>
          <w:p>
            <w:pPr>
              <w:pStyle w:val="Compact"/>
              <w:keepNext/>
              <w:spacing w:after="0"/>
              <w:ind w:firstLine="0"/>
              <w:jc w:val="left"/>
            </w:pPr>
            <w:r>
              <w:rPr>
                <w:rFonts w:ascii="Times New Roman" w:hAnsi="Times New Roman"/>
                <w:sz w:val="15"/>
              </w:rPr>
              <w:t xml:space="preserve">0.377</w:t>
            </w:r>
          </w:p>
        </w:tc>
        <w:tc>
          <w:tcPr>
            <w:tcW w:type="dxa" w:w="1009"/>
          </w:tcPr>
          <w:p>
            <w:pPr>
              <w:pStyle w:val="Compact"/>
              <w:keepNext/>
              <w:spacing w:after="0"/>
              <w:ind w:firstLine="0"/>
              <w:jc w:val="left"/>
            </w:pPr>
            <w:r>
              <w:rPr>
                <w:rFonts w:ascii="Times New Roman" w:hAnsi="Times New Roman"/>
                <w:sz w:val="15"/>
              </w:rPr>
              <w:t xml:space="preserve">0.0096</w:t>
            </w:r>
          </w:p>
        </w:tc>
        <w:tc>
          <w:tcPr>
            <w:tcW w:type="dxa" w:w="1412"/>
          </w:tcPr>
          <w:p>
            <w:pPr>
              <w:pStyle w:val="Compact"/>
              <w:keepNext/>
              <w:spacing w:after="0"/>
              <w:ind w:firstLine="0"/>
              <w:jc w:val="left"/>
            </w:pPr>
            <w:r>
              <w:rPr>
                <w:rFonts w:ascii="Times New Roman" w:hAnsi="Times New Roman"/>
                <w:sz w:val="15"/>
              </w:rPr>
              <w:t xml:space="preserve">17.6%</w:t>
            </w:r>
          </w:p>
        </w:tc>
        <w:tc>
          <w:tcPr>
            <w:tcW w:type="dxa" w:w="1513"/>
          </w:tcPr>
          <w:p>
            <w:pPr>
              <w:pStyle w:val="Compact"/>
              <w:keepNext/>
              <w:spacing w:after="0"/>
              <w:ind w:firstLine="0"/>
              <w:jc w:val="left"/>
            </w:pPr>
            <w:r>
              <w:rPr>
                <w:rFonts w:ascii="Times New Roman" w:hAnsi="Times New Roman"/>
                <w:sz w:val="15"/>
              </w:rPr>
              <w:t xml:space="preserve">57.5%</w:t>
            </w:r>
          </w:p>
        </w:tc>
      </w:tr>
      <w:tr>
        <w:tc>
          <w:tcPr>
            <w:tcW w:type="dxa" w:w="3431"/>
          </w:tcPr>
          <w:p>
            <w:pPr>
              <w:pStyle w:val="Compact"/>
              <w:keepNext/>
              <w:spacing w:after="0"/>
              <w:ind w:firstLine="0"/>
              <w:jc w:val="left"/>
            </w:pPr>
            <w:r>
              <w:rPr>
                <w:rFonts w:ascii="Times New Roman" w:hAnsi="Times New Roman"/>
                <w:sz w:val="15"/>
              </w:rPr>
              <w:t xml:space="preserve">C. B + velocity</w:t>
            </w:r>
          </w:p>
        </w:tc>
        <w:tc>
          <w:tcPr>
            <w:tcW w:type="dxa" w:w="807"/>
          </w:tcPr>
          <w:p>
            <w:pPr>
              <w:pStyle w:val="Compact"/>
              <w:keepNext/>
              <w:spacing w:after="0"/>
              <w:ind w:firstLine="0"/>
              <w:jc w:val="left"/>
            </w:pPr>
            <w:r>
              <w:rPr>
                <w:rFonts w:ascii="Times New Roman" w:hAnsi="Times New Roman"/>
                <w:sz w:val="15"/>
              </w:rPr>
              <w:t xml:space="preserve">12</w:t>
            </w:r>
          </w:p>
        </w:tc>
        <w:tc>
          <w:tcPr>
            <w:tcW w:type="dxa" w:w="1009"/>
          </w:tcPr>
          <w:p>
            <w:pPr>
              <w:pStyle w:val="Compact"/>
              <w:keepNext/>
              <w:spacing w:after="0"/>
              <w:ind w:firstLine="0"/>
              <w:jc w:val="left"/>
            </w:pPr>
            <w:r>
              <w:rPr>
                <w:rFonts w:ascii="Times New Roman" w:hAnsi="Times New Roman"/>
                <w:sz w:val="15"/>
              </w:rPr>
              <w:t xml:space="preserve">0.4562</w:t>
            </w:r>
          </w:p>
        </w:tc>
        <w:tc>
          <w:tcPr>
            <w:tcW w:type="dxa" w:w="908"/>
          </w:tcPr>
          <w:p>
            <w:pPr>
              <w:pStyle w:val="Compact"/>
              <w:keepNext/>
              <w:spacing w:after="0"/>
              <w:ind w:firstLine="0"/>
              <w:jc w:val="left"/>
            </w:pPr>
            <w:r>
              <w:rPr>
                <w:rFonts w:ascii="Times New Roman" w:hAnsi="Times New Roman"/>
                <w:sz w:val="15"/>
              </w:rPr>
              <w:t xml:space="preserve">0.468</w:t>
            </w:r>
          </w:p>
        </w:tc>
        <w:tc>
          <w:tcPr>
            <w:tcW w:type="dxa" w:w="1009"/>
          </w:tcPr>
          <w:p>
            <w:pPr>
              <w:pStyle w:val="Compact"/>
              <w:keepNext/>
              <w:spacing w:after="0"/>
              <w:ind w:firstLine="0"/>
              <w:jc w:val="left"/>
            </w:pPr>
            <w:r>
              <w:rPr>
                <w:rFonts w:ascii="Times New Roman" w:hAnsi="Times New Roman"/>
                <w:sz w:val="15"/>
              </w:rPr>
              <w:t xml:space="preserve">0.0096</w:t>
            </w:r>
          </w:p>
        </w:tc>
        <w:tc>
          <w:tcPr>
            <w:tcW w:type="dxa" w:w="1412"/>
          </w:tcPr>
          <w:p>
            <w:pPr>
              <w:pStyle w:val="Compact"/>
              <w:keepNext/>
              <w:spacing w:after="0"/>
              <w:ind w:firstLine="0"/>
              <w:jc w:val="left"/>
            </w:pPr>
            <w:r>
              <w:rPr>
                <w:rFonts w:ascii="Times New Roman" w:hAnsi="Times New Roman"/>
                <w:sz w:val="15"/>
              </w:rPr>
              <w:t xml:space="preserve">17.0%</w:t>
            </w:r>
          </w:p>
        </w:tc>
        <w:tc>
          <w:tcPr>
            <w:tcW w:type="dxa" w:w="1513"/>
          </w:tcPr>
          <w:p>
            <w:pPr>
              <w:pStyle w:val="Compact"/>
              <w:keepNext/>
              <w:spacing w:after="0"/>
              <w:ind w:firstLine="0"/>
              <w:jc w:val="left"/>
            </w:pPr>
            <w:r>
              <w:rPr>
                <w:rFonts w:ascii="Times New Roman" w:hAnsi="Times New Roman"/>
                <w:sz w:val="15"/>
              </w:rPr>
              <w:t xml:space="preserve">61.3%</w:t>
            </w:r>
          </w:p>
        </w:tc>
      </w:tr>
      <w:tr>
        <w:tc>
          <w:tcPr>
            <w:tcW w:type="dxa" w:w="3431"/>
          </w:tcPr>
          <w:p>
            <w:pPr>
              <w:pStyle w:val="Compact"/>
              <w:keepNext/>
              <w:spacing w:after="0"/>
              <w:ind w:firstLine="0"/>
              <w:jc w:val="left"/>
            </w:pPr>
            <w:r>
              <w:rPr>
                <w:rFonts w:ascii="Times New Roman" w:hAnsi="Times New Roman"/>
                <w:sz w:val="15"/>
              </w:rPr>
              <w:t xml:space="preserve">D. C + graph</w:t>
            </w:r>
          </w:p>
        </w:tc>
        <w:tc>
          <w:tcPr>
            <w:tcW w:type="dxa" w:w="807"/>
          </w:tcPr>
          <w:p>
            <w:pPr>
              <w:pStyle w:val="Compact"/>
              <w:keepNext/>
              <w:spacing w:after="0"/>
              <w:ind w:firstLine="0"/>
              <w:jc w:val="left"/>
            </w:pPr>
            <w:r>
              <w:rPr>
                <w:rFonts w:ascii="Times New Roman" w:hAnsi="Times New Roman"/>
                <w:sz w:val="15"/>
              </w:rPr>
              <w:t xml:space="preserve">19</w:t>
            </w:r>
          </w:p>
        </w:tc>
        <w:tc>
          <w:tcPr>
            <w:tcW w:type="dxa" w:w="1009"/>
          </w:tcPr>
          <w:p>
            <w:pPr>
              <w:pStyle w:val="Compact"/>
              <w:keepNext/>
              <w:spacing w:after="0"/>
              <w:ind w:firstLine="0"/>
              <w:jc w:val="left"/>
            </w:pPr>
            <w:r>
              <w:rPr>
                <w:rFonts w:ascii="Times New Roman" w:hAnsi="Times New Roman"/>
                <w:sz w:val="15"/>
              </w:rPr>
              <w:t xml:space="preserve">0.5653</w:t>
            </w:r>
          </w:p>
        </w:tc>
        <w:tc>
          <w:tcPr>
            <w:tcW w:type="dxa" w:w="908"/>
          </w:tcPr>
          <w:p>
            <w:pPr>
              <w:pStyle w:val="Compact"/>
              <w:keepNext/>
              <w:spacing w:after="0"/>
              <w:ind w:firstLine="0"/>
              <w:jc w:val="left"/>
            </w:pPr>
            <w:r>
              <w:rPr>
                <w:rFonts w:ascii="Times New Roman" w:hAnsi="Times New Roman"/>
                <w:sz w:val="15"/>
              </w:rPr>
              <w:t xml:space="preserve">0.546</w:t>
            </w:r>
          </w:p>
        </w:tc>
        <w:tc>
          <w:tcPr>
            <w:tcW w:type="dxa" w:w="1009"/>
          </w:tcPr>
          <w:p>
            <w:pPr>
              <w:pStyle w:val="Compact"/>
              <w:keepNext/>
              <w:spacing w:after="0"/>
              <w:ind w:firstLine="0"/>
              <w:jc w:val="left"/>
            </w:pPr>
            <w:r>
              <w:rPr>
                <w:rFonts w:ascii="Times New Roman" w:hAnsi="Times New Roman"/>
                <w:sz w:val="15"/>
              </w:rPr>
              <w:t xml:space="preserve">0.0076</w:t>
            </w:r>
          </w:p>
        </w:tc>
        <w:tc>
          <w:tcPr>
            <w:tcW w:type="dxa" w:w="1412"/>
          </w:tcPr>
          <w:p>
            <w:pPr>
              <w:pStyle w:val="Compact"/>
              <w:keepNext/>
              <w:spacing w:after="0"/>
              <w:ind w:firstLine="0"/>
              <w:jc w:val="left"/>
            </w:pPr>
            <w:r>
              <w:rPr>
                <w:rFonts w:ascii="Times New Roman" w:hAnsi="Times New Roman"/>
                <w:sz w:val="15"/>
              </w:rPr>
              <w:t xml:space="preserve">28.0%</w:t>
            </w:r>
          </w:p>
        </w:tc>
        <w:tc>
          <w:tcPr>
            <w:tcW w:type="dxa" w:w="1513"/>
          </w:tcPr>
          <w:p>
            <w:pPr>
              <w:pStyle w:val="Compact"/>
              <w:keepNext/>
              <w:spacing w:after="0"/>
              <w:ind w:firstLine="0"/>
              <w:jc w:val="left"/>
            </w:pPr>
            <w:r>
              <w:rPr>
                <w:rFonts w:ascii="Times New Roman" w:hAnsi="Times New Roman"/>
                <w:sz w:val="15"/>
              </w:rPr>
              <w:t xml:space="preserve">70.0%</w:t>
            </w:r>
          </w:p>
        </w:tc>
      </w:tr>
      <w:tr>
        <w:tc>
          <w:tcPr>
            <w:tcW w:type="dxa" w:w="3431"/>
          </w:tcPr>
          <w:p>
            <w:pPr>
              <w:pStyle w:val="Compact"/>
              <w:keepNext/>
              <w:spacing w:after="0"/>
              <w:ind w:firstLine="0"/>
              <w:jc w:val="left"/>
            </w:pPr>
            <w:r>
              <w:rPr>
                <w:rFonts w:ascii="Times New Roman" w:hAnsi="Times New Roman"/>
                <w:sz w:val="15"/>
              </w:rPr>
              <w:t xml:space="preserve">E. C + message, link, intent</w:t>
            </w:r>
          </w:p>
        </w:tc>
        <w:tc>
          <w:tcPr>
            <w:tcW w:type="dxa" w:w="807"/>
          </w:tcPr>
          <w:p>
            <w:pPr>
              <w:pStyle w:val="Compact"/>
              <w:keepNext/>
              <w:spacing w:after="0"/>
              <w:ind w:firstLine="0"/>
              <w:jc w:val="left"/>
            </w:pPr>
            <w:r>
              <w:rPr>
                <w:rFonts w:ascii="Times New Roman" w:hAnsi="Times New Roman"/>
                <w:sz w:val="15"/>
              </w:rPr>
              <w:t xml:space="preserve">36</w:t>
            </w:r>
          </w:p>
        </w:tc>
        <w:tc>
          <w:tcPr>
            <w:tcW w:type="dxa" w:w="1009"/>
          </w:tcPr>
          <w:p>
            <w:pPr>
              <w:pStyle w:val="Compact"/>
              <w:keepNext/>
              <w:spacing w:after="0"/>
              <w:ind w:firstLine="0"/>
              <w:jc w:val="left"/>
            </w:pPr>
            <w:r>
              <w:rPr>
                <w:rFonts w:ascii="Times New Roman" w:hAnsi="Times New Roman"/>
                <w:sz w:val="15"/>
              </w:rPr>
              <w:t xml:space="preserve">0.5923</w:t>
            </w:r>
          </w:p>
        </w:tc>
        <w:tc>
          <w:tcPr>
            <w:tcW w:type="dxa" w:w="908"/>
          </w:tcPr>
          <w:p>
            <w:pPr>
              <w:pStyle w:val="Compact"/>
              <w:keepNext/>
              <w:spacing w:after="0"/>
              <w:ind w:firstLine="0"/>
              <w:jc w:val="left"/>
            </w:pPr>
            <w:r>
              <w:rPr>
                <w:rFonts w:ascii="Times New Roman" w:hAnsi="Times New Roman"/>
                <w:sz w:val="15"/>
              </w:rPr>
              <w:t xml:space="preserve">0.625</w:t>
            </w:r>
          </w:p>
        </w:tc>
        <w:tc>
          <w:tcPr>
            <w:tcW w:type="dxa" w:w="1009"/>
          </w:tcPr>
          <w:p>
            <w:pPr>
              <w:pStyle w:val="Compact"/>
              <w:keepNext/>
              <w:spacing w:after="0"/>
              <w:ind w:firstLine="0"/>
              <w:jc w:val="left"/>
            </w:pPr>
            <w:r>
              <w:rPr>
                <w:rFonts w:ascii="Times New Roman" w:hAnsi="Times New Roman"/>
                <w:sz w:val="15"/>
              </w:rPr>
              <w:t xml:space="preserve">0.0106</w:t>
            </w:r>
          </w:p>
        </w:tc>
        <w:tc>
          <w:tcPr>
            <w:tcW w:type="dxa" w:w="1412"/>
          </w:tcPr>
          <w:p>
            <w:pPr>
              <w:pStyle w:val="Compact"/>
              <w:keepNext/>
              <w:spacing w:after="0"/>
              <w:ind w:firstLine="0"/>
              <w:jc w:val="left"/>
            </w:pPr>
            <w:r>
              <w:rPr>
                <w:rFonts w:ascii="Times New Roman" w:hAnsi="Times New Roman"/>
                <w:sz w:val="15"/>
              </w:rPr>
              <w:t xml:space="preserve">47.8%</w:t>
            </w:r>
          </w:p>
        </w:tc>
        <w:tc>
          <w:tcPr>
            <w:tcW w:type="dxa" w:w="1513"/>
          </w:tcPr>
          <w:p>
            <w:pPr>
              <w:pStyle w:val="Compact"/>
              <w:keepNext/>
              <w:spacing w:after="0"/>
              <w:ind w:firstLine="0"/>
              <w:jc w:val="left"/>
            </w:pPr>
            <w:r>
              <w:rPr>
                <w:rFonts w:ascii="Times New Roman" w:hAnsi="Times New Roman"/>
                <w:sz w:val="15"/>
              </w:rPr>
              <w:t xml:space="preserve">60.0%</w:t>
            </w:r>
          </w:p>
        </w:tc>
      </w:tr>
      <w:tr>
        <w:tc>
          <w:tcPr>
            <w:tcW w:type="dxa" w:w="3431"/>
          </w:tcPr>
          <w:p>
            <w:pPr>
              <w:pStyle w:val="Compact"/>
              <w:keepNext/>
              <w:spacing w:after="0"/>
              <w:ind w:firstLine="0"/>
              <w:jc w:val="left"/>
            </w:pPr>
            <w:r>
              <w:rPr>
                <w:rFonts w:ascii="Times New Roman" w:hAnsi="Times New Roman"/>
                <w:sz w:val="15"/>
              </w:rPr>
              <w:t xml:space="preserve">F. Full V2, gradient boosting</w:t>
            </w:r>
          </w:p>
        </w:tc>
        <w:tc>
          <w:tcPr>
            <w:tcW w:type="dxa" w:w="807"/>
          </w:tcPr>
          <w:p>
            <w:pPr>
              <w:pStyle w:val="Compact"/>
              <w:keepNext/>
              <w:spacing w:after="0"/>
              <w:ind w:firstLine="0"/>
              <w:jc w:val="left"/>
            </w:pPr>
            <w:r>
              <w:rPr>
                <w:rFonts w:ascii="Times New Roman" w:hAnsi="Times New Roman"/>
                <w:sz w:val="15"/>
              </w:rPr>
              <w:t xml:space="preserve">47</w:t>
            </w:r>
          </w:p>
        </w:tc>
        <w:tc>
          <w:tcPr>
            <w:tcW w:type="dxa" w:w="1009"/>
          </w:tcPr>
          <w:p>
            <w:pPr>
              <w:pStyle w:val="Compact"/>
              <w:keepNext/>
              <w:spacing w:after="0"/>
              <w:ind w:firstLine="0"/>
              <w:jc w:val="left"/>
            </w:pPr>
            <w:r>
              <w:rPr>
                <w:rFonts w:ascii="Times New Roman" w:hAnsi="Times New Roman"/>
                <w:sz w:val="15"/>
              </w:rPr>
              <w:t xml:space="preserve">0.7234</w:t>
            </w:r>
          </w:p>
        </w:tc>
        <w:tc>
          <w:tcPr>
            <w:tcW w:type="dxa" w:w="908"/>
          </w:tcPr>
          <w:p>
            <w:pPr>
              <w:pStyle w:val="Compact"/>
              <w:keepNext/>
              <w:spacing w:after="0"/>
              <w:ind w:firstLine="0"/>
              <w:jc w:val="left"/>
            </w:pPr>
            <w:r>
              <w:rPr>
                <w:rFonts w:ascii="Times New Roman" w:hAnsi="Times New Roman"/>
                <w:sz w:val="15"/>
              </w:rPr>
              <w:t xml:space="preserve">0.766</w:t>
            </w:r>
          </w:p>
        </w:tc>
        <w:tc>
          <w:tcPr>
            <w:tcW w:type="dxa" w:w="1009"/>
          </w:tcPr>
          <w:p>
            <w:pPr>
              <w:pStyle w:val="Compact"/>
              <w:keepNext/>
              <w:spacing w:after="0"/>
              <w:ind w:firstLine="0"/>
              <w:jc w:val="left"/>
            </w:pPr>
            <w:r>
              <w:rPr>
                <w:rFonts w:ascii="Times New Roman" w:hAnsi="Times New Roman"/>
                <w:sz w:val="15"/>
              </w:rPr>
              <w:t xml:space="preserve">0.0083</w:t>
            </w:r>
          </w:p>
        </w:tc>
        <w:tc>
          <w:tcPr>
            <w:tcW w:type="dxa" w:w="1412"/>
          </w:tcPr>
          <w:p>
            <w:pPr>
              <w:pStyle w:val="Compact"/>
              <w:keepNext/>
              <w:spacing w:after="0"/>
              <w:ind w:firstLine="0"/>
              <w:jc w:val="left"/>
            </w:pPr>
            <w:r>
              <w:rPr>
                <w:rFonts w:ascii="Times New Roman" w:hAnsi="Times New Roman"/>
                <w:sz w:val="15"/>
              </w:rPr>
              <w:t xml:space="preserve">65.9%</w:t>
            </w:r>
          </w:p>
        </w:tc>
        <w:tc>
          <w:tcPr>
            <w:tcW w:type="dxa" w:w="1513"/>
          </w:tcPr>
          <w:p>
            <w:pPr>
              <w:pStyle w:val="Compact"/>
              <w:keepNext/>
              <w:spacing w:after="0"/>
              <w:ind w:firstLine="0"/>
              <w:jc w:val="left"/>
            </w:pPr>
            <w:r>
              <w:rPr>
                <w:rFonts w:ascii="Times New Roman" w:hAnsi="Times New Roman"/>
                <w:sz w:val="15"/>
              </w:rPr>
              <w:t xml:space="preserve">78.8%</w:t>
            </w:r>
          </w:p>
        </w:tc>
      </w:tr>
      <w:tr>
        <w:tc>
          <w:tcPr>
            <w:tcW w:type="dxa" w:w="3431"/>
          </w:tcPr>
          <w:p>
            <w:pPr>
              <w:pStyle w:val="Compact"/>
              <w:keepNext/>
              <w:spacing w:after="0"/>
              <w:ind w:firstLine="0"/>
              <w:jc w:val="left"/>
            </w:pPr>
            <w:r>
              <w:rPr>
                <w:rFonts w:ascii="Times New Roman" w:hAnsi="Times New Roman"/>
                <w:sz w:val="15"/>
              </w:rPr>
              <w:t xml:space="preserve">Full V2 without graph</w:t>
            </w:r>
          </w:p>
        </w:tc>
        <w:tc>
          <w:tcPr>
            <w:tcW w:type="dxa" w:w="807"/>
          </w:tcPr>
          <w:p>
            <w:pPr>
              <w:pStyle w:val="Compact"/>
              <w:keepNext/>
              <w:spacing w:after="0"/>
              <w:ind w:firstLine="0"/>
              <w:jc w:val="left"/>
            </w:pPr>
            <w:r>
              <w:rPr>
                <w:rFonts w:ascii="Times New Roman" w:hAnsi="Times New Roman"/>
                <w:sz w:val="15"/>
              </w:rPr>
              <w:t xml:space="preserve">40</w:t>
            </w:r>
          </w:p>
        </w:tc>
        <w:tc>
          <w:tcPr>
            <w:tcW w:type="dxa" w:w="1009"/>
          </w:tcPr>
          <w:p>
            <w:pPr>
              <w:pStyle w:val="Compact"/>
              <w:keepNext/>
              <w:spacing w:after="0"/>
              <w:ind w:firstLine="0"/>
              <w:jc w:val="left"/>
            </w:pPr>
            <w:r>
              <w:rPr>
                <w:rFonts w:ascii="Times New Roman" w:hAnsi="Times New Roman"/>
                <w:sz w:val="15"/>
              </w:rPr>
              <w:t xml:space="preserve">0.6298</w:t>
            </w:r>
          </w:p>
        </w:tc>
        <w:tc>
          <w:tcPr>
            <w:tcW w:type="dxa" w:w="908"/>
          </w:tcPr>
          <w:p>
            <w:pPr>
              <w:pStyle w:val="Compact"/>
              <w:keepNext/>
              <w:spacing w:after="0"/>
              <w:ind w:firstLine="0"/>
              <w:jc w:val="left"/>
            </w:pPr>
            <w:r>
              <w:rPr>
                <w:rFonts w:ascii="Times New Roman" w:hAnsi="Times New Roman"/>
                <w:sz w:val="15"/>
              </w:rPr>
              <w:t xml:space="preserve">0.682</w:t>
            </w:r>
          </w:p>
        </w:tc>
        <w:tc>
          <w:tcPr>
            <w:tcW w:type="dxa" w:w="1009"/>
          </w:tcPr>
          <w:p>
            <w:pPr>
              <w:pStyle w:val="Compact"/>
              <w:keepNext/>
              <w:spacing w:after="0"/>
              <w:ind w:firstLine="0"/>
              <w:jc w:val="left"/>
            </w:pPr>
            <w:r>
              <w:rPr>
                <w:rFonts w:ascii="Times New Roman" w:hAnsi="Times New Roman"/>
                <w:sz w:val="15"/>
              </w:rPr>
              <w:t xml:space="preserve">0.0104</w:t>
            </w:r>
          </w:p>
        </w:tc>
        <w:tc>
          <w:tcPr>
            <w:tcW w:type="dxa" w:w="1412"/>
          </w:tcPr>
          <w:p>
            <w:pPr>
              <w:pStyle w:val="Compact"/>
              <w:keepNext/>
              <w:spacing w:after="0"/>
              <w:ind w:firstLine="0"/>
              <w:jc w:val="left"/>
            </w:pPr>
            <w:r>
              <w:rPr>
                <w:rFonts w:ascii="Times New Roman" w:hAnsi="Times New Roman"/>
                <w:sz w:val="15"/>
              </w:rPr>
              <w:t xml:space="preserve">57.1%</w:t>
            </w:r>
          </w:p>
        </w:tc>
        <w:tc>
          <w:tcPr>
            <w:tcW w:type="dxa" w:w="1513"/>
          </w:tcPr>
          <w:p>
            <w:pPr>
              <w:pStyle w:val="Compact"/>
              <w:keepNext/>
              <w:spacing w:after="0"/>
              <w:ind w:firstLine="0"/>
              <w:jc w:val="left"/>
            </w:pPr>
            <w:r>
              <w:rPr>
                <w:rFonts w:ascii="Times New Roman" w:hAnsi="Times New Roman"/>
                <w:sz w:val="15"/>
              </w:rPr>
              <w:t xml:space="preserve">60.0%</w:t>
            </w:r>
          </w:p>
        </w:tc>
      </w:tr>
      <w:tr>
        <w:tc>
          <w:tcPr>
            <w:tcW w:type="dxa" w:w="3431"/>
          </w:tcPr>
          <w:p>
            <w:pPr>
              <w:pStyle w:val="Compact"/>
              <w:keepNext/>
              <w:spacing w:after="0"/>
              <w:ind w:firstLine="0"/>
              <w:jc w:val="left"/>
            </w:pPr>
            <w:r>
              <w:rPr>
                <w:rFonts w:ascii="Times New Roman" w:hAnsi="Times New Roman"/>
                <w:sz w:val="15"/>
              </w:rPr>
              <w:t xml:space="preserve">Full V2 without message, link, intent</w:t>
            </w:r>
          </w:p>
        </w:tc>
        <w:tc>
          <w:tcPr>
            <w:tcW w:type="dxa" w:w="807"/>
          </w:tcPr>
          <w:p>
            <w:pPr>
              <w:pStyle w:val="Compact"/>
              <w:keepNext/>
              <w:spacing w:after="0"/>
              <w:ind w:firstLine="0"/>
              <w:jc w:val="left"/>
            </w:pPr>
            <w:r>
              <w:rPr>
                <w:rFonts w:ascii="Times New Roman" w:hAnsi="Times New Roman"/>
                <w:sz w:val="15"/>
              </w:rPr>
              <w:t xml:space="preserve">23</w:t>
            </w:r>
          </w:p>
        </w:tc>
        <w:tc>
          <w:tcPr>
            <w:tcW w:type="dxa" w:w="1009"/>
          </w:tcPr>
          <w:p>
            <w:pPr>
              <w:pStyle w:val="Compact"/>
              <w:keepNext/>
              <w:spacing w:after="0"/>
              <w:ind w:firstLine="0"/>
              <w:jc w:val="left"/>
            </w:pPr>
            <w:r>
              <w:rPr>
                <w:rFonts w:ascii="Times New Roman" w:hAnsi="Times New Roman"/>
                <w:sz w:val="15"/>
              </w:rPr>
              <w:t xml:space="preserve">0.6101</w:t>
            </w:r>
          </w:p>
        </w:tc>
        <w:tc>
          <w:tcPr>
            <w:tcW w:type="dxa" w:w="908"/>
          </w:tcPr>
          <w:p>
            <w:pPr>
              <w:pStyle w:val="Compact"/>
              <w:keepNext/>
              <w:spacing w:after="0"/>
              <w:ind w:firstLine="0"/>
              <w:jc w:val="left"/>
            </w:pPr>
            <w:r>
              <w:rPr>
                <w:rFonts w:ascii="Times New Roman" w:hAnsi="Times New Roman"/>
                <w:sz w:val="15"/>
              </w:rPr>
              <w:t xml:space="preserve">0.620</w:t>
            </w:r>
          </w:p>
        </w:tc>
        <w:tc>
          <w:tcPr>
            <w:tcW w:type="dxa" w:w="1009"/>
          </w:tcPr>
          <w:p>
            <w:pPr>
              <w:pStyle w:val="Compact"/>
              <w:keepNext/>
              <w:spacing w:after="0"/>
              <w:ind w:firstLine="0"/>
              <w:jc w:val="left"/>
            </w:pPr>
            <w:r>
              <w:rPr>
                <w:rFonts w:ascii="Times New Roman" w:hAnsi="Times New Roman"/>
                <w:sz w:val="15"/>
              </w:rPr>
              <w:t xml:space="preserve">0.0092</w:t>
            </w:r>
          </w:p>
        </w:tc>
        <w:tc>
          <w:tcPr>
            <w:tcW w:type="dxa" w:w="1412"/>
          </w:tcPr>
          <w:p>
            <w:pPr>
              <w:pStyle w:val="Compact"/>
              <w:keepNext/>
              <w:spacing w:after="0"/>
              <w:ind w:firstLine="0"/>
              <w:jc w:val="left"/>
            </w:pPr>
            <w:r>
              <w:rPr>
                <w:rFonts w:ascii="Times New Roman" w:hAnsi="Times New Roman"/>
                <w:sz w:val="15"/>
              </w:rPr>
              <w:t xml:space="preserve">36.8%</w:t>
            </w:r>
          </w:p>
        </w:tc>
        <w:tc>
          <w:tcPr>
            <w:tcW w:type="dxa" w:w="1513"/>
          </w:tcPr>
          <w:p>
            <w:pPr>
              <w:pStyle w:val="Compact"/>
              <w:keepNext/>
              <w:spacing w:after="0"/>
              <w:ind w:firstLine="0"/>
              <w:jc w:val="left"/>
            </w:pPr>
            <w:r>
              <w:rPr>
                <w:rFonts w:ascii="Times New Roman" w:hAnsi="Times New Roman"/>
                <w:sz w:val="15"/>
              </w:rPr>
              <w:t xml:space="preserve">78.8%</w:t>
            </w:r>
          </w:p>
        </w:tc>
      </w:tr>
      <w:tr>
        <w:tc>
          <w:tcPr>
            <w:tcW w:type="dxa" w:w="3431"/>
          </w:tcPr>
          <w:p>
            <w:pPr>
              <w:pStyle w:val="Compact"/>
              <w:keepNext/>
              <w:spacing w:after="0"/>
              <w:ind w:firstLine="0"/>
              <w:jc w:val="left"/>
            </w:pPr>
            <w:r>
              <w:rPr>
                <w:rFonts w:ascii="Times New Roman" w:hAnsi="Times New Roman"/>
                <w:sz w:val="15"/>
              </w:rPr>
              <w:t xml:space="preserve">V1 twelve features (reference)</w:t>
            </w:r>
          </w:p>
        </w:tc>
        <w:tc>
          <w:tcPr>
            <w:tcW w:type="dxa" w:w="807"/>
          </w:tcPr>
          <w:p>
            <w:pPr>
              <w:pStyle w:val="Compact"/>
              <w:keepNext/>
              <w:spacing w:after="0"/>
              <w:ind w:firstLine="0"/>
              <w:jc w:val="left"/>
            </w:pPr>
            <w:r>
              <w:rPr>
                <w:rFonts w:ascii="Times New Roman" w:hAnsi="Times New Roman"/>
                <w:sz w:val="15"/>
              </w:rPr>
              <w:t xml:space="preserve">12</w:t>
            </w:r>
          </w:p>
        </w:tc>
        <w:tc>
          <w:tcPr>
            <w:tcW w:type="dxa" w:w="1009"/>
          </w:tcPr>
          <w:p>
            <w:pPr>
              <w:pStyle w:val="Compact"/>
              <w:keepNext/>
              <w:spacing w:after="0"/>
              <w:ind w:firstLine="0"/>
              <w:jc w:val="left"/>
            </w:pPr>
            <w:r>
              <w:rPr>
                <w:rFonts w:ascii="Times New Roman" w:hAnsi="Times New Roman"/>
                <w:sz w:val="15"/>
              </w:rPr>
              <w:t xml:space="preserve">0.4996</w:t>
            </w:r>
          </w:p>
        </w:tc>
        <w:tc>
          <w:tcPr>
            <w:tcW w:type="dxa" w:w="908"/>
          </w:tcPr>
          <w:p>
            <w:pPr>
              <w:pStyle w:val="Compact"/>
              <w:keepNext/>
              <w:spacing w:after="0"/>
              <w:ind w:firstLine="0"/>
              <w:jc w:val="left"/>
            </w:pPr>
            <w:r>
              <w:rPr>
                <w:rFonts w:ascii="Times New Roman" w:hAnsi="Times New Roman"/>
                <w:sz w:val="15"/>
              </w:rPr>
              <w:t xml:space="preserve">0.496</w:t>
            </w:r>
          </w:p>
        </w:tc>
        <w:tc>
          <w:tcPr>
            <w:tcW w:type="dxa" w:w="1009"/>
          </w:tcPr>
          <w:p>
            <w:pPr>
              <w:pStyle w:val="Compact"/>
              <w:keepNext/>
              <w:spacing w:after="0"/>
              <w:ind w:firstLine="0"/>
              <w:jc w:val="left"/>
            </w:pPr>
            <w:r>
              <w:rPr>
                <w:rFonts w:ascii="Times New Roman" w:hAnsi="Times New Roman"/>
                <w:sz w:val="15"/>
              </w:rPr>
              <w:t xml:space="preserve">0.0093</w:t>
            </w:r>
          </w:p>
        </w:tc>
        <w:tc>
          <w:tcPr>
            <w:tcW w:type="dxa" w:w="1412"/>
          </w:tcPr>
          <w:p>
            <w:pPr>
              <w:pStyle w:val="Compact"/>
              <w:keepNext/>
              <w:spacing w:after="0"/>
              <w:ind w:firstLine="0"/>
              <w:jc w:val="left"/>
            </w:pPr>
            <w:r>
              <w:rPr>
                <w:rFonts w:ascii="Times New Roman" w:hAnsi="Times New Roman"/>
                <w:sz w:val="15"/>
              </w:rPr>
              <w:t xml:space="preserve">19.2%</w:t>
            </w:r>
          </w:p>
        </w:tc>
        <w:tc>
          <w:tcPr>
            <w:tcW w:type="dxa" w:w="1513"/>
          </w:tcPr>
          <w:p>
            <w:pPr>
              <w:pStyle w:val="Compact"/>
              <w:keepNext/>
              <w:spacing w:after="0"/>
              <w:ind w:firstLine="0"/>
              <w:jc w:val="left"/>
            </w:pPr>
            <w:r>
              <w:rPr>
                <w:rFonts w:ascii="Times New Roman" w:hAnsi="Times New Roman"/>
                <w:sz w:val="15"/>
              </w:rPr>
              <w:t xml:space="preserve">63.8%</w:t>
            </w:r>
          </w:p>
        </w:tc>
      </w:tr>
      <w:tr>
        <w:tc>
          <w:tcPr>
            <w:tcW w:type="dxa" w:w="3431"/>
          </w:tcPr>
          <w:p>
            <w:pPr>
              <w:pStyle w:val="Compact"/>
              <w:keepNext/>
              <w:spacing w:after="0"/>
              <w:ind w:firstLine="0"/>
              <w:jc w:val="left"/>
            </w:pPr>
            <w:r>
              <w:rPr>
                <w:rFonts w:ascii="Times New Roman" w:hAnsi="Times New Roman"/>
                <w:sz w:val="15"/>
              </w:rPr>
              <w:t xml:space="preserve">Full V2, random forest</w:t>
            </w:r>
          </w:p>
        </w:tc>
        <w:tc>
          <w:tcPr>
            <w:tcW w:type="dxa" w:w="807"/>
          </w:tcPr>
          <w:p>
            <w:pPr>
              <w:pStyle w:val="Compact"/>
              <w:keepNext/>
              <w:spacing w:after="0"/>
              <w:ind w:firstLine="0"/>
              <w:jc w:val="left"/>
            </w:pPr>
            <w:r>
              <w:rPr>
                <w:rFonts w:ascii="Times New Roman" w:hAnsi="Times New Roman"/>
                <w:sz w:val="15"/>
              </w:rPr>
              <w:t xml:space="preserve">47</w:t>
            </w:r>
          </w:p>
        </w:tc>
        <w:tc>
          <w:tcPr>
            <w:tcW w:type="dxa" w:w="1009"/>
          </w:tcPr>
          <w:p>
            <w:pPr>
              <w:pStyle w:val="Compact"/>
              <w:keepNext/>
              <w:spacing w:after="0"/>
              <w:ind w:firstLine="0"/>
              <w:jc w:val="left"/>
            </w:pPr>
            <w:r>
              <w:rPr>
                <w:rFonts w:ascii="Times New Roman" w:hAnsi="Times New Roman"/>
                <w:sz w:val="15"/>
              </w:rPr>
              <w:t xml:space="preserve">0.6915</w:t>
            </w:r>
          </w:p>
        </w:tc>
        <w:tc>
          <w:tcPr>
            <w:tcW w:type="dxa" w:w="908"/>
          </w:tcPr>
          <w:p>
            <w:pPr>
              <w:pStyle w:val="Compact"/>
              <w:keepNext/>
              <w:spacing w:after="0"/>
              <w:ind w:firstLine="0"/>
              <w:jc w:val="left"/>
            </w:pPr>
            <w:r>
              <w:rPr>
                <w:rFonts w:ascii="Times New Roman" w:hAnsi="Times New Roman"/>
                <w:sz w:val="15"/>
              </w:rPr>
              <w:t xml:space="preserve">0.744</w:t>
            </w:r>
          </w:p>
        </w:tc>
        <w:tc>
          <w:tcPr>
            <w:tcW w:type="dxa" w:w="1009"/>
          </w:tcPr>
          <w:p>
            <w:pPr>
              <w:pStyle w:val="Compact"/>
              <w:keepNext/>
              <w:spacing w:after="0"/>
              <w:ind w:firstLine="0"/>
              <w:jc w:val="left"/>
            </w:pPr>
            <w:r>
              <w:rPr>
                <w:rFonts w:ascii="Times New Roman" w:hAnsi="Times New Roman"/>
                <w:sz w:val="15"/>
              </w:rPr>
              <w:t xml:space="preserve">0.0104</w:t>
            </w:r>
          </w:p>
        </w:tc>
        <w:tc>
          <w:tcPr>
            <w:tcW w:type="dxa" w:w="1412"/>
          </w:tcPr>
          <w:p>
            <w:pPr>
              <w:pStyle w:val="Compact"/>
              <w:keepNext/>
              <w:spacing w:after="0"/>
              <w:ind w:firstLine="0"/>
              <w:jc w:val="left"/>
            </w:pPr>
            <w:r>
              <w:rPr>
                <w:rFonts w:ascii="Times New Roman" w:hAnsi="Times New Roman"/>
                <w:sz w:val="15"/>
              </w:rPr>
              <w:t xml:space="preserve">60.4%</w:t>
            </w:r>
          </w:p>
        </w:tc>
        <w:tc>
          <w:tcPr>
            <w:tcW w:type="dxa" w:w="1513"/>
          </w:tcPr>
          <w:p>
            <w:pPr>
              <w:pStyle w:val="Compact"/>
              <w:keepNext/>
              <w:spacing w:after="0"/>
              <w:ind w:firstLine="0"/>
              <w:jc w:val="left"/>
            </w:pPr>
            <w:r>
              <w:rPr>
                <w:rFonts w:ascii="Times New Roman" w:hAnsi="Times New Roman"/>
                <w:sz w:val="15"/>
              </w:rPr>
              <w:t xml:space="preserve">77.5%</w:t>
            </w:r>
          </w:p>
        </w:tc>
      </w:tr>
      <w:tr>
        <w:tc>
          <w:tcPr>
            <w:tcW w:type="dxa" w:w="3431"/>
          </w:tcPr>
          <w:p>
            <w:pPr>
              <w:pStyle w:val="Compact"/>
              <w:keepNext/>
              <w:spacing w:after="0"/>
              <w:ind w:firstLine="0"/>
              <w:jc w:val="left"/>
            </w:pPr>
            <w:r>
              <w:rPr>
                <w:rFonts w:ascii="Times New Roman" w:hAnsi="Times New Roman"/>
                <w:sz w:val="15"/>
              </w:rPr>
              <w:t xml:space="preserve">Full V2, extremely randomised trees</w:t>
            </w:r>
          </w:p>
        </w:tc>
        <w:tc>
          <w:tcPr>
            <w:tcW w:type="dxa" w:w="807"/>
          </w:tcPr>
          <w:p>
            <w:pPr>
              <w:pStyle w:val="Compact"/>
              <w:keepNext/>
              <w:spacing w:after="0"/>
              <w:ind w:firstLine="0"/>
              <w:jc w:val="left"/>
            </w:pPr>
            <w:r>
              <w:rPr>
                <w:rFonts w:ascii="Times New Roman" w:hAnsi="Times New Roman"/>
                <w:sz w:val="15"/>
              </w:rPr>
              <w:t xml:space="preserve">47</w:t>
            </w:r>
          </w:p>
        </w:tc>
        <w:tc>
          <w:tcPr>
            <w:tcW w:type="dxa" w:w="1009"/>
          </w:tcPr>
          <w:p>
            <w:pPr>
              <w:pStyle w:val="Compact"/>
              <w:keepNext/>
              <w:spacing w:after="0"/>
              <w:ind w:firstLine="0"/>
              <w:jc w:val="left"/>
            </w:pPr>
            <w:r>
              <w:rPr>
                <w:rFonts w:ascii="Times New Roman" w:hAnsi="Times New Roman"/>
                <w:sz w:val="15"/>
              </w:rPr>
              <w:t xml:space="preserve">0.5145</w:t>
            </w:r>
          </w:p>
        </w:tc>
        <w:tc>
          <w:tcPr>
            <w:tcW w:type="dxa" w:w="908"/>
          </w:tcPr>
          <w:p>
            <w:pPr>
              <w:pStyle w:val="Compact"/>
              <w:keepNext/>
              <w:spacing w:after="0"/>
              <w:ind w:firstLine="0"/>
              <w:jc w:val="left"/>
            </w:pPr>
            <w:r>
              <w:rPr>
                <w:rFonts w:ascii="Times New Roman" w:hAnsi="Times New Roman"/>
                <w:sz w:val="15"/>
              </w:rPr>
              <w:t xml:space="preserve">0.561</w:t>
            </w:r>
          </w:p>
        </w:tc>
        <w:tc>
          <w:tcPr>
            <w:tcW w:type="dxa" w:w="1009"/>
          </w:tcPr>
          <w:p>
            <w:pPr>
              <w:pStyle w:val="Compact"/>
              <w:keepNext/>
              <w:spacing w:after="0"/>
              <w:ind w:firstLine="0"/>
              <w:jc w:val="left"/>
            </w:pPr>
            <w:r>
              <w:rPr>
                <w:rFonts w:ascii="Times New Roman" w:hAnsi="Times New Roman"/>
                <w:sz w:val="15"/>
              </w:rPr>
              <w:t xml:space="preserve">0.0099</w:t>
            </w:r>
          </w:p>
        </w:tc>
        <w:tc>
          <w:tcPr>
            <w:tcW w:type="dxa" w:w="1412"/>
          </w:tcPr>
          <w:p>
            <w:pPr>
              <w:pStyle w:val="Compact"/>
              <w:keepNext/>
              <w:spacing w:after="0"/>
              <w:ind w:firstLine="0"/>
              <w:jc w:val="left"/>
            </w:pPr>
            <w:r>
              <w:rPr>
                <w:rFonts w:ascii="Times New Roman" w:hAnsi="Times New Roman"/>
                <w:sz w:val="15"/>
              </w:rPr>
              <w:t xml:space="preserve">49.5%</w:t>
            </w:r>
          </w:p>
        </w:tc>
        <w:tc>
          <w:tcPr>
            <w:tcW w:type="dxa" w:w="1513"/>
          </w:tcPr>
          <w:p>
            <w:pPr>
              <w:pStyle w:val="Compact"/>
              <w:keepNext/>
              <w:spacing w:after="0"/>
              <w:ind w:firstLine="0"/>
              <w:jc w:val="left"/>
            </w:pPr>
            <w:r>
              <w:rPr>
                <w:rFonts w:ascii="Times New Roman" w:hAnsi="Times New Roman"/>
                <w:sz w:val="15"/>
              </w:rPr>
              <w:t xml:space="preserve">38.8%</w:t>
            </w:r>
          </w:p>
        </w:tc>
      </w:tr>
      <w:tr>
        <w:tc>
          <w:tcPr>
            <w:tcW w:type="dxa" w:w="3431"/>
          </w:tcPr>
          <w:p>
            <w:pPr>
              <w:pStyle w:val="Compact"/>
              <w:spacing w:after="0"/>
              <w:ind w:firstLine="0"/>
              <w:jc w:val="left"/>
            </w:pPr>
            <w:r>
              <w:rPr>
                <w:rFonts w:ascii="Times New Roman" w:hAnsi="Times New Roman"/>
                <w:sz w:val="15"/>
              </w:rPr>
              <w:t xml:space="preserve">Full V2, logistic regression</w:t>
            </w:r>
          </w:p>
        </w:tc>
        <w:tc>
          <w:tcPr>
            <w:tcW w:type="dxa" w:w="807"/>
          </w:tcPr>
          <w:p>
            <w:pPr>
              <w:pStyle w:val="Compact"/>
              <w:spacing w:after="0"/>
              <w:ind w:firstLine="0"/>
              <w:jc w:val="left"/>
            </w:pPr>
            <w:r>
              <w:rPr>
                <w:rFonts w:ascii="Times New Roman" w:hAnsi="Times New Roman"/>
                <w:sz w:val="15"/>
              </w:rPr>
              <w:t xml:space="preserve">47</w:t>
            </w:r>
          </w:p>
        </w:tc>
        <w:tc>
          <w:tcPr>
            <w:tcW w:type="dxa" w:w="1009"/>
          </w:tcPr>
          <w:p>
            <w:pPr>
              <w:pStyle w:val="Compact"/>
              <w:spacing w:after="0"/>
              <w:ind w:firstLine="0"/>
              <w:jc w:val="left"/>
            </w:pPr>
            <w:r>
              <w:rPr>
                <w:rFonts w:ascii="Times New Roman" w:hAnsi="Times New Roman"/>
                <w:sz w:val="15"/>
              </w:rPr>
              <w:t xml:space="preserve">0.5055</w:t>
            </w:r>
          </w:p>
        </w:tc>
        <w:tc>
          <w:tcPr>
            <w:tcW w:type="dxa" w:w="908"/>
          </w:tcPr>
          <w:p>
            <w:pPr>
              <w:pStyle w:val="Compact"/>
              <w:spacing w:after="0"/>
              <w:ind w:firstLine="0"/>
              <w:jc w:val="left"/>
            </w:pPr>
            <w:r>
              <w:rPr>
                <w:rFonts w:ascii="Times New Roman" w:hAnsi="Times New Roman"/>
                <w:sz w:val="15"/>
              </w:rPr>
              <w:t xml:space="preserve">0.566</w:t>
            </w:r>
          </w:p>
        </w:tc>
        <w:tc>
          <w:tcPr>
            <w:tcW w:type="dxa" w:w="1009"/>
          </w:tcPr>
          <w:p>
            <w:pPr>
              <w:pStyle w:val="Compact"/>
              <w:spacing w:after="0"/>
              <w:ind w:firstLine="0"/>
              <w:jc w:val="left"/>
            </w:pPr>
            <w:r>
              <w:rPr>
                <w:rFonts w:ascii="Times New Roman" w:hAnsi="Times New Roman"/>
                <w:sz w:val="15"/>
              </w:rPr>
              <w:t xml:space="preserve">0.0103</w:t>
            </w:r>
          </w:p>
        </w:tc>
        <w:tc>
          <w:tcPr>
            <w:tcW w:type="dxa" w:w="1412"/>
          </w:tcPr>
          <w:p>
            <w:pPr>
              <w:pStyle w:val="Compact"/>
              <w:spacing w:after="0"/>
              <w:ind w:firstLine="0"/>
              <w:jc w:val="left"/>
            </w:pPr>
            <w:r>
              <w:rPr>
                <w:rFonts w:ascii="Times New Roman" w:hAnsi="Times New Roman"/>
                <w:sz w:val="15"/>
              </w:rPr>
              <w:t xml:space="preserve">48.9%</w:t>
            </w:r>
          </w:p>
        </w:tc>
        <w:tc>
          <w:tcPr>
            <w:tcW w:type="dxa" w:w="1513"/>
          </w:tcPr>
          <w:p>
            <w:pPr>
              <w:pStyle w:val="Compact"/>
              <w:spacing w:after="0"/>
              <w:ind w:firstLine="0"/>
              <w:jc w:val="left"/>
            </w:pPr>
            <w:r>
              <w:rPr>
                <w:rFonts w:ascii="Times New Roman" w:hAnsi="Times New Roman"/>
                <w:sz w:val="15"/>
              </w:rPr>
              <w:t xml:space="preserve">37.5%</w:t>
            </w:r>
          </w:p>
        </w:tc>
      </w:tr>
    </w:tbl>
    <w:p>
      <w:pPr>
        <w:pStyle w:val="TableNote"/>
      </w:pPr>
      <w:r>
        <w:t xml:space="preserve">Rows are comparable only with each other: the uncalibrated full-V2 row (0.7234) is not the frozen calibrated V2 result (0.7326), and the V1-feature reference (0.4996) is not the served V1 model (0.4860). Configuration C has twelve features but is not V1 (it includes the phone-address flag and omits payee_is_new). Single fits without significance tests.</w:t>
      </w:r>
    </w:p>
    <w:p>
      <w:pPr>
        <w:pStyle w:val="Marker"/>
        <w:sectPr>
          <w:type w:val="continuous"/>
          <w:pgSz w:w="11906" w:h="16838"/>
          <w:pgMar w:top="1077" w:right="907" w:bottom="1247" w:left="907" w:header="567" w:footer="567" w:gutter="0"/>
          <w:cols w:num="1" w:space="284"/>
        </w:sectPr>
      </w:pPr>
      <w:r/>
    </w:p>
    <w:p>
      <w:pPr>
        <w:pStyle w:val="BodyText"/>
      </w:pPr>
      <w:r>
        <w:t xml:space="preserve">Table VI reports the V2 ablation and model-family comparison, which should be read only for differences between its own rows. Adding the simulated graph group to configuration C raises PR-AUC from 0.4562 to 0.5653, and adding the message, link and intent groups raises it to 0.5923. Removing either group from the full set lowers PR-AUC, to 0.6298 without graph and 0.6101 without message, link and intent. Removing the message channels reduces SE recall most (to 36.8%), whereas removing the graph group reduces MC recall most (to 60.0%). On the full features, gradient boosting (0.7234) exceeds the random forest (0.6915), extremely randomised trees (0.5145) and logistic regression (0.5055).</w:t>
      </w:r>
    </w:p>
    <w:bookmarkEnd w:id="56"/>
    <w:bookmarkStart w:id="57" w:name="X86e487c755c34bac1e9175ccbc088bb3fcc545a"/>
    <w:p>
      <w:pPr>
        <w:pStyle w:val="Heading2"/>
      </w:pPr>
      <w:r>
        <w:t xml:space="preserve">F. Missing History and Software Validation</w:t>
      </w:r>
    </w:p>
    <w:p>
      <w:pPr>
        <w:pStyle w:val="FirstParagraph"/>
      </w:pPr>
      <w:r>
        <w:t xml:space="preserve">Payee history is hidden on 29,376 of 120,000 rows (24.48%), where simulated prevalence is 1.729% against 1.005% on visible rows, and even among hidden-history rows 98.3% of payments are legitimate. The availability flag, although a classifier input, has a V2 permutation importance of 0.0000. The artefacts do not break test performance down by availability.</w:t>
      </w:r>
    </w:p>
    <w:p>
      <w:pPr>
        <w:pStyle w:val="BodyText"/>
      </w:pPr>
      <w:r>
        <w:t xml:space="preserve">Five software-test modules with 91 cases, all passing on the evaluated code, verify implementation properties rather than predictive accuracy. The graph-cache tests (21) cover incremental updates, component merging, transactional rollback and concurrent observations, and confirm that a check writes nothing, never rebuilds the graph, and issues a bounded number of queries as the store grows. The graph-semantics tests (18) confirm that merchant or household overlap is not treated as evidence, component size is never a finding, and an unknown payee is unavailable rather than zero. The evidence-availability tests (15) check that no population constants are substituted, that a measured zero differs from unavailability, and that availability does not act as a label proxy. The evidence-model tests (18) check that unavailable evidence has no score or vote, that the damped combination is monotonic and that each family votes once. The V2-dataset tests (19) confirm that V1 columns, labels and order are bit-identical, that generation is deterministic and that the ten-payer overlap gate is respected.</w:t>
      </w:r>
    </w:p>
    <w:bookmarkEnd w:id="57"/>
    <w:bookmarkEnd w:id="58"/>
    <w:bookmarkStart w:id="59" w:name="viii.-discussion-and-limitations"/>
    <w:p>
      <w:pPr>
        <w:pStyle w:val="Heading1"/>
      </w:pPr>
      <w:r>
        <w:t xml:space="preserve">VIII. Discussion and Limitations</w:t>
      </w:r>
    </w:p>
    <w:p>
      <w:pPr>
        <w:pStyle w:val="FirstParagraph"/>
      </w:pPr>
      <w:r>
        <w:rPr>
          <w:iCs/>
          <w:i/>
        </w:rPr>
        <w:t xml:space="preserve">Why V2 differs from V1.</w:t>
      </w:r>
      <w:r>
        <w:t xml:space="preserve"> </w:t>
      </w:r>
      <w:r>
        <w:t xml:space="preserve">The V1 results separate by scenario because seven of its twelve features describe the payer. Account takeover and card testing depart from the payer’s habits and are detected; in social engineering the payer behaves normally, and V1’s only view of the payee is its age, payer count and repeat ratio (unavailable for about a quarter of payments) plus novelty. V2 supplies what V1 lacks, namely relational, graph, message, link and purpose channels, and attribution and ablation agree on where its gain comes from: payee novelty is the most useful input, social-engineering gains come mainly from the message channels, and mule-collection gains mainly from the graph channels. The direction of this result supports the premise that payee-side, relational and contextual evidence matters for payer-authorised fraud. Its magnitude does not transfer, because the designers set the scenario-conditional distributions of those channels and one message feature is fitted on the templates that V2 draws from. The more robust finding concerns the learning setup: a calibrated classical learner can use a heterogeneous representation in which whole groups are often missing, with explicit availability indicators, without missingness dominating.</w:t>
      </w:r>
    </w:p>
    <w:p>
      <w:pPr>
        <w:pStyle w:val="BodyText"/>
      </w:pPr>
      <w:r>
        <w:rPr>
          <w:iCs/>
          <w:i/>
        </w:rPr>
        <w:t xml:space="preserve">Implications for pre-payment assessment.</w:t>
      </w:r>
      <w:r>
        <w:t xml:space="preserve"> </w:t>
      </w:r>
      <w:r>
        <w:t xml:space="preserve">Explicit missingness avoids the most harmful default, describing an unknown address as established, and the opposite error of warning on every first payment to a stranger. Separating risk from coverage keeps a low score caused by missing evidence from resembling one caused by reassuring evidence. At a 1% false-positive budget, slightly more than half of the classifier’s alerts are legitimate payments, and class weighting and calibration do not remove the dependence of precision on prevalence; at a lower real prevalence the same budget would yield a larger share of false alerts. In the full architecture the classifier is one bounded input, and how aggregation changes the alert burden was not measured.</w:t>
      </w:r>
    </w:p>
    <w:p>
      <w:pPr>
        <w:pStyle w:val="BodyText"/>
      </w:pPr>
      <w:r>
        <w:rPr>
          <w:iCs/>
          <w:i/>
        </w:rPr>
        <w:t xml:space="preserve">Limitations.</w:t>
      </w:r>
      <w:r>
        <w:t xml:space="preserve"> </w:t>
      </w:r>
      <w:r>
        <w:t xml:space="preserve">(i)</w:t>
      </w:r>
      <w:r>
        <w:t xml:space="preserve"> </w:t>
      </w:r>
      <w:r>
        <w:rPr>
          <w:iCs/>
          <w:i/>
        </w:rPr>
        <w:t xml:space="preserve">Synthetic data:</w:t>
      </w:r>
      <w:r>
        <w:t xml:space="preserve"> </w:t>
      </w:r>
      <w:r>
        <w:t xml:space="preserve">no real UPI transactions or labels were used, the populations, scenarios, prevalence and mixture are simulator settings, and an evaluation drawn from the same simulator cannot reveal where its assumptions are wrong. (ii)</w:t>
      </w:r>
      <w:r>
        <w:t xml:space="preserve"> </w:t>
      </w:r>
      <w:r>
        <w:rPr>
          <w:iCs/>
          <w:i/>
        </w:rPr>
        <w:t xml:space="preserve">Simulated V2 channels:</w:t>
      </w:r>
      <w:r>
        <w:t xml:space="preserve"> </w:t>
      </w:r>
      <w:r>
        <w:t xml:space="preserve">graph, message, link, intent and relationship features are simulator-generated, and the 1,022 message templates were written for the project, so generalisation to real scam language is untested. (iii)</w:t>
      </w:r>
      <w:r>
        <w:t xml:space="preserve"> </w:t>
      </w:r>
      <w:r>
        <w:rPr>
          <w:iCs/>
          <w:i/>
        </w:rPr>
        <w:t xml:space="preserve">Graph and verdicts not evaluated predictively:</w:t>
      </w:r>
      <w:r>
        <w:t xml:space="preserve"> </w:t>
      </w:r>
      <w:r>
        <w:t xml:space="preserve">the incremental graph and its positional finding were validated only by software tests, and the rule-based families, aggregation and verdict bands were checked for correctness but not for detection performance, so the verdict distribution for fraudulent and legitimate payments is not established. (iv)</w:t>
      </w:r>
      <w:r>
        <w:t xml:space="preserve"> </w:t>
      </w:r>
      <w:r>
        <w:rPr>
          <w:iCs/>
          <w:i/>
        </w:rPr>
        <w:t xml:space="preserve">Temporal boundary:</w:t>
      </w:r>
      <w:r>
        <w:t xml:space="preserve"> </w:t>
      </w:r>
      <w:r>
        <w:t xml:space="preserve">the live path enforces the pre-payment boundary, but aggregates and the graph are not time-indexed, so historical replay against a later store would not reproduce the pre-payment state; offline, the boundary holds only by construction. (v)</w:t>
      </w:r>
      <w:r>
        <w:t xml:space="preserve"> </w:t>
      </w:r>
      <w:r>
        <w:rPr>
          <w:iCs/>
          <w:i/>
        </w:rPr>
        <w:t xml:space="preserve">Shift and calibration:</w:t>
      </w:r>
      <w:r>
        <w:t xml:space="preserve"> </w:t>
      </w:r>
      <w:r>
        <w:t xml:space="preserve">real behaviour, scam language, graph structure and prevalence may differ from the simulator and adapt over time [3]; the isotonic calibrators rest on roughly 170 fraudulent examples per training fold, and all results come from one seed and one split. (vi)</w:t>
      </w:r>
      <w:r>
        <w:t xml:space="preserve"> </w:t>
      </w:r>
      <w:r>
        <w:rPr>
          <w:iCs/>
          <w:i/>
        </w:rPr>
        <w:t xml:space="preserve">Deployment:</w:t>
      </w:r>
      <w:r>
        <w:t xml:space="preserve"> </w:t>
      </w:r>
      <w:r>
        <w:t xml:space="preserve">the prototype is not deployed, performs no external verification, has no latency benchmark, and, as an advisory layer, could itself be probed or manipulated.</w:t>
      </w:r>
    </w:p>
    <w:bookmarkEnd w:id="59"/>
    <w:bookmarkStart w:id="60" w:name="ix.-conclusion"/>
    <w:p>
      <w:pPr>
        <w:pStyle w:val="Heading1"/>
      </w:pPr>
      <w:r>
        <w:t xml:space="preserve">IX. Conclusion</w:t>
      </w:r>
    </w:p>
    <w:p>
      <w:pPr>
        <w:pStyle w:val="FirstParagraph"/>
      </w:pPr>
      <w:r>
        <w:t xml:space="preserve">This study asked whether a pre-payment assessment for UPI-style payments can combine payer behaviour, observed payee history, relational structure and payment context while remaining explicit about what it does not know. The proposed architecture does so through ten evidence families that declare availability and typed facts, an incrementally maintained payer–payee graph that supplies explicit relational quantities, a damped-maximum aggregation with fact-aware corroboration, and separate reporting of risk and coverage; these properties hold by construction and are checked by software tests. On a synthetic corpus, the served V1 model reaches a held-out PR-AUC of 0.4860 but detects only 19.23% of social-engineering payments, whereas the offline V2 representation reaches a PR-AUC of 0.7326 and a recall of 0.7803 at an FPR of 0.00995 with well-calibrated probabilities on the simulator. Because the added channels are simulator-generated, this supports the direction of the premise but not the size of any real-world gain. The next step is evaluation on independent real transaction data and externally validated, multilingual scam-message corpora, together with a chronological end-to-end benchmark of the incremental graph and the complete verdict system using time-indexed aggregates.</w:t>
      </w:r>
    </w:p>
    <w:bookmarkEnd w:id="60"/>
    <w:bookmarkStart w:id="61" w:name="references"/>
    <w:p>
      <w:pPr>
        <w:pStyle w:val="Heading1"/>
      </w:pPr>
      <w:r>
        <w:t xml:space="preserve">References</w:t>
      </w:r>
    </w:p>
    <w:p>
      <w:pPr>
        <w:pStyle w:val="Reference"/>
      </w:pPr>
      <w:r>
        <w:t xml:space="preserve">[1] S. Rastogi, C. Panse, A. Sharma, and V. M. Bhimavarapu,</w:t>
      </w:r>
      <w:r>
        <w:t xml:space="preserve"> </w:t>
      </w:r>
      <w:r>
        <w:t xml:space="preserve">“</w:t>
      </w:r>
      <w:r>
        <w:t xml:space="preserve">Unified Payment Interface (UPI): A digital innovation and its impact on financial inclusion and economic development,</w:t>
      </w:r>
      <w:r>
        <w:t xml:space="preserve">”</w:t>
      </w:r>
      <w:r>
        <w:t xml:space="preserve"> </w:t>
      </w:r>
      <w:r>
        <w:rPr>
          <w:iCs/>
          <w:i/>
        </w:rPr>
        <w:t xml:space="preserve">Universal J. Accounting Finance</w:t>
      </w:r>
      <w:r>
        <w:t xml:space="preserve">, vol. 9, no. 3, pp. 518–530, 2021, doi: 10.13189/ujaf.2021.090326.</w:t>
      </w:r>
    </w:p>
    <w:p>
      <w:pPr>
        <w:pStyle w:val="Reference"/>
      </w:pPr>
      <w:r>
        <w:t xml:space="preserve">[2] R. J. Bolton and D. J. Hand,</w:t>
      </w:r>
      <w:r>
        <w:t xml:space="preserve"> </w:t>
      </w:r>
      <w:r>
        <w:t xml:space="preserve">“</w:t>
      </w:r>
      <w:r>
        <w:t xml:space="preserve">Statistical fraud detection: A review,</w:t>
      </w:r>
      <w:r>
        <w:t xml:space="preserve">”</w:t>
      </w:r>
      <w:r>
        <w:t xml:space="preserve"> </w:t>
      </w:r>
      <w:r>
        <w:rPr>
          <w:iCs/>
          <w:i/>
        </w:rPr>
        <w:t xml:space="preserve">Statist. Sci.</w:t>
      </w:r>
      <w:r>
        <w:t xml:space="preserve">, vol. 17, no. 3, pp. 235–255, 2002, doi: 10.1214/ss/1042727940.</w:t>
      </w:r>
    </w:p>
    <w:p>
      <w:pPr>
        <w:pStyle w:val="Reference"/>
      </w:pPr>
      <w:r>
        <w:t xml:space="preserve">[3] A. Dal Pozzolo, G. Boracchi, O. Caelen, C. Alippi, and G. Bontempi,</w:t>
      </w:r>
      <w:r>
        <w:t xml:space="preserve"> </w:t>
      </w:r>
      <w:r>
        <w:t xml:space="preserve">“</w:t>
      </w:r>
      <w:r>
        <w:t xml:space="preserve">Credit card fraud detection: A realistic modeling and a novel learning strategy,</w:t>
      </w:r>
      <w:r>
        <w:t xml:space="preserve">”</w:t>
      </w:r>
      <w:r>
        <w:t xml:space="preserve"> </w:t>
      </w:r>
      <w:r>
        <w:rPr>
          <w:iCs/>
          <w:i/>
        </w:rPr>
        <w:t xml:space="preserve">IEEE Trans. Neural Netw. Learn. Syst.</w:t>
      </w:r>
      <w:r>
        <w:t xml:space="preserve">, vol. 29, no. 8, pp. 3784–3797, Aug. 2018, doi: 10.1109/TNNLS.2017.2736643.</w:t>
      </w:r>
    </w:p>
    <w:p>
      <w:pPr>
        <w:pStyle w:val="Reference"/>
      </w:pPr>
      <w:r>
        <w:t xml:space="preserve">[4] J. Braithwaite,</w:t>
      </w:r>
      <w:r>
        <w:t xml:space="preserve"> </w:t>
      </w:r>
      <w:r>
        <w:t xml:space="preserve">“</w:t>
      </w:r>
      <w:r>
        <w:t xml:space="preserve">‘</w:t>
      </w:r>
      <w:r>
        <w:t xml:space="preserve">Authorized push payment</w:t>
      </w:r>
      <w:r>
        <w:t xml:space="preserve">’</w:t>
      </w:r>
      <w:r>
        <w:t xml:space="preserve"> </w:t>
      </w:r>
      <w:r>
        <w:t xml:space="preserve">bank fraud: What does an effective regulatory response look like?,</w:t>
      </w:r>
      <w:r>
        <w:t xml:space="preserve">”</w:t>
      </w:r>
      <w:r>
        <w:t xml:space="preserve"> </w:t>
      </w:r>
      <w:r>
        <w:rPr>
          <w:iCs/>
          <w:i/>
        </w:rPr>
        <w:t xml:space="preserve">J. Financial Regulation</w:t>
      </w:r>
      <w:r>
        <w:t xml:space="preserve">, vol. 10, no. 2, pp. 174–193, 2024, doi: 10.1093/jfr/fjae006.</w:t>
      </w:r>
    </w:p>
    <w:p>
      <w:pPr>
        <w:pStyle w:val="Reference"/>
      </w:pPr>
      <w:r>
        <w:t xml:space="preserve">[5] R. Rani, A. Alam, and A. Javed,</w:t>
      </w:r>
      <w:r>
        <w:t xml:space="preserve"> </w:t>
      </w:r>
      <w:r>
        <w:t xml:space="preserve">“</w:t>
      </w:r>
      <w:r>
        <w:t xml:space="preserve">Secure UPI: Machine learning-driven fraud detection system for UPI transactions,</w:t>
      </w:r>
      <w:r>
        <w:t xml:space="preserve">”</w:t>
      </w:r>
      <w:r>
        <w:t xml:space="preserve"> </w:t>
      </w:r>
      <w:r>
        <w:t xml:space="preserve">in</w:t>
      </w:r>
      <w:r>
        <w:t xml:space="preserve"> </w:t>
      </w:r>
      <w:r>
        <w:rPr>
          <w:iCs/>
          <w:i/>
        </w:rPr>
        <w:t xml:space="preserve">Proc. 2nd Int. Conf. Disruptive Technol. (ICDT)</w:t>
      </w:r>
      <w:r>
        <w:t xml:space="preserve">, 2024, pp. 924–928, doi: 10.1109/ICDT61202.2024.10489682.</w:t>
      </w:r>
    </w:p>
    <w:p>
      <w:pPr>
        <w:pStyle w:val="Reference"/>
      </w:pPr>
      <w:r>
        <w:t xml:space="preserve">[6] B. Hooi, H. A. Song, A. Beutel, N. Shah, K. Shin, and C. Faloutsos,</w:t>
      </w:r>
      <w:r>
        <w:t xml:space="preserve"> </w:t>
      </w:r>
      <w:r>
        <w:t xml:space="preserve">“</w:t>
      </w:r>
      <w:r>
        <w:t xml:space="preserve">FRAUDAR: Bounding graph fraud in the face of camouflage,</w:t>
      </w:r>
      <w:r>
        <w:t xml:space="preserve">”</w:t>
      </w:r>
      <w:r>
        <w:t xml:space="preserve"> </w:t>
      </w:r>
      <w:r>
        <w:t xml:space="preserve">in</w:t>
      </w:r>
      <w:r>
        <w:t xml:space="preserve"> </w:t>
      </w:r>
      <w:r>
        <w:rPr>
          <w:iCs/>
          <w:i/>
        </w:rPr>
        <w:t xml:space="preserve">Proc. 22nd ACM SIGKDD Int. Conf. Knowl. Discovery Data Mining</w:t>
      </w:r>
      <w:r>
        <w:t xml:space="preserve">, 2016, pp. 895–904, doi: 10.1145/2939672.2939747.</w:t>
      </w:r>
    </w:p>
    <w:p>
      <w:pPr>
        <w:pStyle w:val="Reference"/>
      </w:pPr>
      <w:r>
        <w:t xml:space="preserve">[7] Y. Dou, Z. Liu, L. Sun, Y. Deng, H. Peng, and P. S. Yu,</w:t>
      </w:r>
      <w:r>
        <w:t xml:space="preserve"> </w:t>
      </w:r>
      <w:r>
        <w:t xml:space="preserve">“</w:t>
      </w:r>
      <w:r>
        <w:t xml:space="preserve">Enhancing graph neural network-based fraud detectors against camouflaged fraudsters,</w:t>
      </w:r>
      <w:r>
        <w:t xml:space="preserve">”</w:t>
      </w:r>
      <w:r>
        <w:t xml:space="preserve"> </w:t>
      </w:r>
      <w:r>
        <w:t xml:space="preserve">in</w:t>
      </w:r>
      <w:r>
        <w:t xml:space="preserve"> </w:t>
      </w:r>
      <w:r>
        <w:rPr>
          <w:iCs/>
          <w:i/>
        </w:rPr>
        <w:t xml:space="preserve">Proc. 29th ACM Int. Conf. Inf. Knowl. Manage. (CIKM)</w:t>
      </w:r>
      <w:r>
        <w:t xml:space="preserve">, 2020, pp. 315–324, doi: 10.1145/3340531.3411903.</w:t>
      </w:r>
    </w:p>
    <w:p>
      <w:pPr>
        <w:pStyle w:val="Reference"/>
      </w:pPr>
      <w:r>
        <w:t xml:space="preserve">[8] X. Wang, H. Yu, J. Guo, P. Li, and X. Luo,</w:t>
      </w:r>
      <w:r>
        <w:t xml:space="preserve"> </w:t>
      </w:r>
      <w:r>
        <w:t xml:space="preserve">“</w:t>
      </w:r>
      <w:r>
        <w:t xml:space="preserve">Towards fraud detection via fine-grained classification of user behavior,</w:t>
      </w:r>
      <w:r>
        <w:t xml:space="preserve">”</w:t>
      </w:r>
      <w:r>
        <w:t xml:space="preserve"> </w:t>
      </w:r>
      <w:r>
        <w:rPr>
          <w:iCs/>
          <w:i/>
        </w:rPr>
        <w:t xml:space="preserve">IEEE Trans. Big Data</w:t>
      </w:r>
      <w:r>
        <w:t xml:space="preserve">, vol. 11, no. 4, pp. 1994–2007, 2025, doi: 10.1109/TBDATA.2024.3517313.</w:t>
      </w:r>
    </w:p>
    <w:p>
      <w:pPr>
        <w:pStyle w:val="Reference"/>
      </w:pPr>
      <w:r>
        <w:t xml:space="preserve">[9] J. Jiang, Y. Chen, B. He, M. Chen, and J. Chen,</w:t>
      </w:r>
      <w:r>
        <w:t xml:space="preserve"> </w:t>
      </w:r>
      <w:r>
        <w:t xml:space="preserve">“</w:t>
      </w:r>
      <w:r>
        <w:t xml:space="preserve">Spade+: A generic real-time fraud detection framework on dynamic graphs,</w:t>
      </w:r>
      <w:r>
        <w:t xml:space="preserve">”</w:t>
      </w:r>
      <w:r>
        <w:t xml:space="preserve"> </w:t>
      </w:r>
      <w:r>
        <w:rPr>
          <w:iCs/>
          <w:i/>
        </w:rPr>
        <w:t xml:space="preserve">IEEE Trans. Knowl. Data Eng.</w:t>
      </w:r>
      <w:r>
        <w:t xml:space="preserve">, vol. 36, no. 11, pp. 7058–7073, Nov. 2024, doi: 10.1109/TKDE.2024.3394155.</w:t>
      </w:r>
    </w:p>
    <w:p>
      <w:pPr>
        <w:pStyle w:val="Reference"/>
      </w:pPr>
      <w:r>
        <w:t xml:space="preserve">[10] J. Ma, S. Xiang, Q. Li, L. Yuan, D. Cheng, and C. Jiang,</w:t>
      </w:r>
      <w:r>
        <w:t xml:space="preserve"> </w:t>
      </w:r>
      <w:r>
        <w:t xml:space="preserve">“</w:t>
      </w:r>
      <w:r>
        <w:t xml:space="preserve">Parallel graph learning with temporal stamp encoding for fraudulent transactions detections,</w:t>
      </w:r>
      <w:r>
        <w:t xml:space="preserve">”</w:t>
      </w:r>
      <w:r>
        <w:t xml:space="preserve"> </w:t>
      </w:r>
      <w:r>
        <w:rPr>
          <w:iCs/>
          <w:i/>
        </w:rPr>
        <w:t xml:space="preserve">IEEE Trans. Big Data</w:t>
      </w:r>
      <w:r>
        <w:t xml:space="preserve">, vol. 11, no. 4, pp. 1945–1958, 2025, doi: 10.1109/TBDATA.2024.3499338.</w:t>
      </w:r>
    </w:p>
    <w:p>
      <w:pPr>
        <w:pStyle w:val="Reference"/>
      </w:pPr>
      <w:r>
        <w:t xml:space="preserve">[11] T. Saito and M. Rehmsmeier,</w:t>
      </w:r>
      <w:r>
        <w:t xml:space="preserve"> </w:t>
      </w:r>
      <w:r>
        <w:t xml:space="preserve">“</w:t>
      </w:r>
      <w:r>
        <w:t xml:space="preserve">The precision-recall plot is more informative than the ROC plot when evaluating binary classifiers on imbalanced datasets,</w:t>
      </w:r>
      <w:r>
        <w:t xml:space="preserve">”</w:t>
      </w:r>
      <w:r>
        <w:t xml:space="preserve"> </w:t>
      </w:r>
      <w:r>
        <w:rPr>
          <w:iCs/>
          <w:i/>
        </w:rPr>
        <w:t xml:space="preserve">PLoS ONE</w:t>
      </w:r>
      <w:r>
        <w:t xml:space="preserve">, vol. 10, no. 3, Art. no. e0118432, 2015, doi: 10.1371/journal.pone.0118432.</w:t>
      </w:r>
    </w:p>
    <w:p>
      <w:pPr>
        <w:pStyle w:val="Reference"/>
      </w:pPr>
      <w:r>
        <w:t xml:space="preserve">[12] J. Davis and M. Goadrich,</w:t>
      </w:r>
      <w:r>
        <w:t xml:space="preserve"> </w:t>
      </w:r>
      <w:r>
        <w:t xml:space="preserve">“</w:t>
      </w:r>
      <w:r>
        <w:t xml:space="preserve">The relationship between precision-recall and ROC curves,</w:t>
      </w:r>
      <w:r>
        <w:t xml:space="preserve">”</w:t>
      </w:r>
      <w:r>
        <w:t xml:space="preserve"> </w:t>
      </w:r>
      <w:r>
        <w:t xml:space="preserve">in</w:t>
      </w:r>
      <w:r>
        <w:t xml:space="preserve"> </w:t>
      </w:r>
      <w:r>
        <w:rPr>
          <w:iCs/>
          <w:i/>
        </w:rPr>
        <w:t xml:space="preserve">Proc. 23rd Int. Conf. Mach. Learn. (ICML)</w:t>
      </w:r>
      <w:r>
        <w:t xml:space="preserve">, 2006, pp. 233–240, doi: 10.1145/1143844.1143874.</w:t>
      </w:r>
    </w:p>
    <w:p>
      <w:pPr>
        <w:pStyle w:val="Reference"/>
      </w:pPr>
      <w:r>
        <w:t xml:space="preserve">[13] A. Niculescu-Mizil and R. Caruana,</w:t>
      </w:r>
      <w:r>
        <w:t xml:space="preserve"> </w:t>
      </w:r>
      <w:r>
        <w:t xml:space="preserve">“</w:t>
      </w:r>
      <w:r>
        <w:t xml:space="preserve">Predicting good probabilities with supervised learning,</w:t>
      </w:r>
      <w:r>
        <w:t xml:space="preserve">”</w:t>
      </w:r>
      <w:r>
        <w:t xml:space="preserve"> </w:t>
      </w:r>
      <w:r>
        <w:t xml:space="preserve">in</w:t>
      </w:r>
      <w:r>
        <w:t xml:space="preserve"> </w:t>
      </w:r>
      <w:r>
        <w:rPr>
          <w:iCs/>
          <w:i/>
        </w:rPr>
        <w:t xml:space="preserve">Proc. 22nd Int. Conf. Mach. Learn. (ICML)</w:t>
      </w:r>
      <w:r>
        <w:t xml:space="preserve">, 2005, pp. 625–632, doi: 10.1145/1102351.1102430.</w:t>
      </w:r>
    </w:p>
    <w:p>
      <w:pPr>
        <w:pStyle w:val="Reference"/>
      </w:pPr>
      <w:r>
        <w:t xml:space="preserve">[14] B. Zadrozny and C. Elkan,</w:t>
      </w:r>
      <w:r>
        <w:t xml:space="preserve"> </w:t>
      </w:r>
      <w:r>
        <w:t xml:space="preserve">“</w:t>
      </w:r>
      <w:r>
        <w:t xml:space="preserve">Transforming classifier scores into accurate multiclass probability estimates,</w:t>
      </w:r>
      <w:r>
        <w:t xml:space="preserve">”</w:t>
      </w:r>
      <w:r>
        <w:t xml:space="preserve"> </w:t>
      </w:r>
      <w:r>
        <w:t xml:space="preserve">in</w:t>
      </w:r>
      <w:r>
        <w:t xml:space="preserve"> </w:t>
      </w:r>
      <w:r>
        <w:rPr>
          <w:iCs/>
          <w:i/>
        </w:rPr>
        <w:t xml:space="preserve">Proc. 8th ACM SIGKDD Int. Conf. Knowl. Discovery Data Mining</w:t>
      </w:r>
      <w:r>
        <w:t xml:space="preserve">, 2002, pp. 694–699, doi: 10.1145/775047.775151.</w:t>
      </w:r>
    </w:p>
    <w:p>
      <w:pPr>
        <w:pStyle w:val="Reference"/>
      </w:pPr>
      <w:r>
        <w:t xml:space="preserve">[15] G. W. Brier,</w:t>
      </w:r>
      <w:r>
        <w:t xml:space="preserve"> </w:t>
      </w:r>
      <w:r>
        <w:t xml:space="preserve">“</w:t>
      </w:r>
      <w:r>
        <w:t xml:space="preserve">Verification of forecasts expressed in terms of probability,</w:t>
      </w:r>
      <w:r>
        <w:t xml:space="preserve">”</w:t>
      </w:r>
      <w:r>
        <w:t xml:space="preserve"> </w:t>
      </w:r>
      <w:r>
        <w:rPr>
          <w:iCs/>
          <w:i/>
        </w:rPr>
        <w:t xml:space="preserve">Monthly Weather Rev.</w:t>
      </w:r>
      <w:r>
        <w:t xml:space="preserve">, vol. 78, no. 1, pp. 1–3, 1950.</w:t>
      </w:r>
    </w:p>
    <w:p>
      <w:pPr>
        <w:pStyle w:val="Reference"/>
      </w:pPr>
      <w:r>
        <w:t xml:space="preserve">[16] J. H. Friedman,</w:t>
      </w:r>
      <w:r>
        <w:t xml:space="preserve"> </w:t>
      </w:r>
      <w:r>
        <w:t xml:space="preserve">“</w:t>
      </w:r>
      <w:r>
        <w:t xml:space="preserve">Greedy function approximation: A gradient boosting machine,</w:t>
      </w:r>
      <w:r>
        <w:t xml:space="preserve">”</w:t>
      </w:r>
      <w:r>
        <w:t xml:space="preserve"> </w:t>
      </w:r>
      <w:r>
        <w:rPr>
          <w:iCs/>
          <w:i/>
        </w:rPr>
        <w:t xml:space="preserve">Ann. Statist.</w:t>
      </w:r>
      <w:r>
        <w:t xml:space="preserve">, vol. 29, no. 5, pp. 1189–1232, 2001, doi: 10.1214/aos/1013203451.</w:t>
      </w:r>
    </w:p>
    <w:p>
      <w:pPr>
        <w:pStyle w:val="Reference"/>
      </w:pPr>
      <w:r>
        <w:t xml:space="preserve">[17] E. A. Lopez-Rojas, A. Elmir, and S. Axelsson,</w:t>
      </w:r>
      <w:r>
        <w:t xml:space="preserve"> </w:t>
      </w:r>
      <w:r>
        <w:t xml:space="preserve">“</w:t>
      </w:r>
      <w:r>
        <w:t xml:space="preserve">PaySim: A financial mobile money simulator for fraud detection,</w:t>
      </w:r>
      <w:r>
        <w:t xml:space="preserve">”</w:t>
      </w:r>
      <w:r>
        <w:t xml:space="preserve"> </w:t>
      </w:r>
      <w:r>
        <w:t xml:space="preserve">in</w:t>
      </w:r>
      <w:r>
        <w:t xml:space="preserve"> </w:t>
      </w:r>
      <w:r>
        <w:rPr>
          <w:iCs/>
          <w:i/>
        </w:rPr>
        <w:t xml:space="preserve">Proc. Eur. Model. Simul. Symp. (EMSS)</w:t>
      </w:r>
      <w:r>
        <w:t xml:space="preserve">, 2016, pp. 249–255.</w:t>
      </w:r>
    </w:p>
    <w:p>
      <w:pPr>
        <w:pStyle w:val="Reference"/>
      </w:pPr>
      <w:r>
        <w:t xml:space="preserve">[18] N. V. Chawla, K. W. Bowyer, L. O. Hall, and W. P. Kegelmeyer,</w:t>
      </w:r>
      <w:r>
        <w:t xml:space="preserve"> </w:t>
      </w:r>
      <w:r>
        <w:t xml:space="preserve">“</w:t>
      </w:r>
      <w:r>
        <w:t xml:space="preserve">SMOTE: Synthetic minority over-sampling technique,</w:t>
      </w:r>
      <w:r>
        <w:t xml:space="preserve">”</w:t>
      </w:r>
      <w:r>
        <w:t xml:space="preserve"> </w:t>
      </w:r>
      <w:r>
        <w:rPr>
          <w:iCs/>
          <w:i/>
        </w:rPr>
        <w:t xml:space="preserve">J. Artif. Intell. Res.</w:t>
      </w:r>
      <w:r>
        <w:t xml:space="preserve">, vol. 16, pp. 321–357, 2002, doi: 10.1613/jair.953.</w:t>
      </w:r>
    </w:p>
    <w:p>
      <w:pPr>
        <w:pStyle w:val="Reference"/>
      </w:pPr>
      <w:r>
        <w:t xml:space="preserve">[19] G. Ke, Q. Meng, T. Finley, T. Wang, W. Chen, W. Ma, Q. Ye, and T.-Y. Liu,</w:t>
      </w:r>
      <w:r>
        <w:t xml:space="preserve"> </w:t>
      </w:r>
      <w:r>
        <w:t xml:space="preserve">“</w:t>
      </w:r>
      <w:r>
        <w:t xml:space="preserve">LightGBM: A highly efficient gradient boosting decision tree,</w:t>
      </w:r>
      <w:r>
        <w:t xml:space="preserve">”</w:t>
      </w:r>
      <w:r>
        <w:t xml:space="preserve"> </w:t>
      </w:r>
      <w:r>
        <w:t xml:space="preserve">in</w:t>
      </w:r>
      <w:r>
        <w:t xml:space="preserve"> </w:t>
      </w:r>
      <w:r>
        <w:rPr>
          <w:iCs/>
          <w:i/>
        </w:rPr>
        <w:t xml:space="preserve">Proc. Adv. Neural Inf. Process. Syst. (NIPS)</w:t>
      </w:r>
      <w:r>
        <w:t xml:space="preserve">, vol. 30, 2017, pp. 3146–3154.</w:t>
      </w:r>
    </w:p>
    <w:p>
      <w:pPr>
        <w:pStyle w:val="Reference"/>
      </w:pPr>
      <w:r>
        <w:t xml:space="preserve">[20]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Proc. Adv. Neural Inf. Process. Syst. (NIPS)</w:t>
      </w:r>
      <w:r>
        <w:t xml:space="preserve">, vol. 30, 2017, pp. 4765–4774.</w:t>
      </w:r>
    </w:p>
    <w:p>
      <w:pPr>
        <w:pStyle w:val="Reference"/>
      </w:pPr>
      <w:r>
        <w:t xml:space="preserve">[21] L. Breiman,</w:t>
      </w:r>
      <w:r>
        <w:t xml:space="preserve"> </w:t>
      </w:r>
      <w:r>
        <w:t xml:space="preserve">“</w:t>
      </w:r>
      <w:r>
        <w:t xml:space="preserve">Random forests,</w:t>
      </w:r>
      <w:r>
        <w:t xml:space="preserve">”</w:t>
      </w:r>
      <w:r>
        <w:t xml:space="preserve"> </w:t>
      </w:r>
      <w:r>
        <w:rPr>
          <w:iCs/>
          <w:i/>
        </w:rPr>
        <w:t xml:space="preserve">Mach. Learn.</w:t>
      </w:r>
      <w:r>
        <w:t xml:space="preserve">, vol. 45, no. 1, pp. 5–32, 2001, doi: 10.1023/A:1010933404324.</w:t>
      </w:r>
    </w:p>
    <w:p>
      <w:pPr>
        <w:pStyle w:val="Reference"/>
      </w:pPr>
      <w:r>
        <w:t xml:space="preserve">[22] F. Pedregosa</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 Mach. Learn. Res.</w:t>
      </w:r>
      <w:r>
        <w:t xml:space="preserve">, vol. 12, pp. 2825–2830, 2011.</w:t>
      </w:r>
    </w:p>
    <w:bookmarkEnd w:id="61"/>
    <w:sectPr>
      <w:type w:val="continuous"/>
      <w:pgSz w:w="11906" w:h="16838"/>
      <w:pgMar w:top="1077" w:right="907" w:bottom="1247" w:left="907" w:header="567" w:footer="567" w:gutter="0"/>
      <w:cols w:num="2" w:spa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ind w:firstLine="202"/>
      <w:jc w:val="both"/>
    </w:pPr>
    <w:rPr>
      <w:rFonts w:ascii="Times New Roman" w:hAnsi="Times New Roman" w:cs="Times New Roman" w:eastAsia="Times New Roman"/>
      <w:color w:val="000000"/>
      <w:sz w:val="20"/>
    </w:rPr>
  </w:style>
  <w:style w:styleId="BodyText" w:type="paragraph">
    <w:name w:val="Body Text"/>
    <w:basedOn w:val="Normal"/>
    <w:link w:val="BodyTextChar"/>
    <w:pPr>
      <w:spacing w:after="0" w:before="0" w:line="240" w:lineRule="auto"/>
      <w:ind w:firstLine="202"/>
      <w:jc w:val="both"/>
    </w:pPr>
    <w:qFormat/>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0" w:line="240" w:lineRule="auto"/>
      <w:ind w:firstLine="202"/>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240" w:lineRule="auto"/>
      <w:ind w:firstLine="0"/>
      <w:jc w:val="left"/>
    </w:pPr>
    <w:rPr>
      <w:rFonts w:ascii="Times New Roman" w:hAnsi="Times New Roman" w:cs="Times New Roman" w:eastAsia="Times New Roman"/>
      <w:color w:val="000000"/>
      <w:sz w:val="20"/>
    </w:rPr>
  </w:style>
  <w:style w:styleId="Title" w:type="paragraph">
    <w:name w:val="Title"/>
    <w:basedOn w:val="Normal"/>
    <w:next w:val="BodyText"/>
    <w:qFormat/>
    <w:pPr>
      <w:keepNext/>
      <w:keepLines/>
      <w:spacing w:after="160" w:before="0"/>
      <w:jc w:val="center"/>
    </w:pPr>
    <w:rPr>
      <w:rFonts w:cstheme="majorBidi" w:ascii="Times New Roman" w:hAnsi="Times New Roman" w:cs="Times New Roman" w:eastAsia="Times New Roman"/>
      <w:b/>
      <w:bCs/>
      <w:color w:val="000000"/>
      <w:sz w:val="44"/>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80" w:before="160"/>
      <w:jc w:val="center"/>
      <w:outlineLvl w:val="0"/>
    </w:pPr>
    <w:rPr>
      <w:rFonts w:cstheme="majorBidi" w:ascii="Times New Roman" w:hAnsi="Times New Roman" w:cs="Times New Roman" w:eastAsia="Times New Roman"/>
      <w:b w:val="0"/>
      <w:bCs/>
      <w:i w:val="0"/>
      <w:smallCaps/>
      <w:color w:val="000000"/>
      <w:sz w:val="20"/>
      <w:szCs w:val="32"/>
    </w:rPr>
  </w:style>
  <w:style w:styleId="Heading2" w:type="paragraph">
    <w:name w:val="Heading 2"/>
    <w:basedOn w:val="Normal"/>
    <w:next w:val="BodyText"/>
    <w:uiPriority w:val="9"/>
    <w:unhideWhenUsed/>
    <w:qFormat/>
    <w:pPr>
      <w:keepNext/>
      <w:keepLines/>
      <w:spacing w:after="40" w:before="100"/>
      <w:jc w:val="left"/>
      <w:outlineLvl w:val="1"/>
    </w:pPr>
    <w:rPr>
      <w:rFonts w:cstheme="majorBidi" w:ascii="Times New Roman" w:hAnsi="Times New Roman" w:cs="Times New Roman" w:eastAsia="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cstheme="majorBidi"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spacing w:before="160" w:after="60"/>
      <w:ind w:firstLine="0"/>
      <w:jc w:val="center"/>
    </w:pPr>
    <w:rPr>
      <w:rFonts w:ascii="Times New Roman" w:hAnsi="Times New Roman" w:cs="Times New Roman" w:eastAsia="Times New Roman"/>
      <w:i w:val="0"/>
      <w:smallCaps/>
      <w:color w:val="000000"/>
      <w:sz w:val="16"/>
    </w:rPr>
  </w:style>
  <w:style w:customStyle="1" w:styleId="ImageCaption" w:type="paragraph">
    <w:name w:val="Image Caption"/>
    <w:basedOn w:val="Caption"/>
    <w:pPr>
      <w:spacing w:before="40" w:after="160"/>
      <w:ind w:firstLine="0"/>
      <w:jc w:val="both"/>
    </w:pPr>
    <w:rPr>
      <w:rFonts w:ascii="Times New Roman" w:hAnsi="Times New Roman" w:cs="Times New Roman" w:eastAsia="Times New Roman"/>
      <w:i w:val="0"/>
      <w:color w:val="000000"/>
      <w:sz w:val="16"/>
    </w:rPr>
  </w:style>
  <w:style w:customStyle="1" w:styleId="Figure" w:type="paragraph">
    <w:name w:val="Figure"/>
    <w:basedOn w:val="Normal"/>
    <w:pPr>
      <w:keepNext/>
      <w:spacing w:before="120" w:after="0"/>
      <w:ind w:firstLine="0"/>
      <w:jc w:val="center"/>
    </w:pPr>
    <w:rPr>
      <w:rFonts w:ascii="Times New Roman" w:hAnsi="Times New Roman" w:cs="Times New Roman" w:eastAsia="Times New Roman"/>
      <w:color w:val="000000"/>
    </w:rPr>
  </w:style>
  <w:style w:customStyle="1" w:styleId="CaptionedFigure" w:type="paragraph">
    <w:name w:val="Captioned Figure"/>
    <w:basedOn w:val="Figure"/>
    <w:pPr>
      <w:keepNext/>
      <w:spacing w:before="120" w:after="0"/>
      <w:ind w:firstLine="0"/>
      <w:jc w:val="center"/>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val="000000"/>
    </w:rPr>
  </w:style>
  <w:style w:type="paragraph" w:customStyle="1" w:styleId="AbstractPara">
    <w:name w:val="AbstractPara"/>
    <w:basedOn w:val="BodyText"/>
    <w:qFormat/>
    <w:pPr>
      <w:spacing w:after="80"/>
      <w:ind w:firstLine="202"/>
      <w:jc w:val="both"/>
    </w:pPr>
    <w:rPr>
      <w:rFonts w:ascii="Times New Roman" w:hAnsi="Times New Roman" w:cs="Times New Roman" w:eastAsia="Times New Roman"/>
      <w:b/>
      <w:color w:val="000000"/>
      <w:sz w:val="18"/>
    </w:rPr>
  </w:style>
  <w:style w:type="paragraph" w:customStyle="1" w:styleId="Affiliation">
    <w:name w:val="Affiliation"/>
    <w:basedOn w:val="BodyText"/>
    <w:qFormat/>
    <w:pPr>
      <w:spacing w:after="200"/>
      <w:ind w:firstLine="0"/>
      <w:jc w:val="center"/>
    </w:pPr>
    <w:rPr>
      <w:rFonts w:ascii="Times New Roman" w:hAnsi="Times New Roman" w:cs="Times New Roman" w:eastAsia="Times New Roman"/>
      <w:i/>
      <w:color w:val="000000"/>
      <w:sz w:val="18"/>
    </w:rPr>
  </w:style>
  <w:style w:type="paragraph" w:customStyle="1" w:styleId="AuthorLine">
    <w:name w:val="AuthorLine"/>
    <w:basedOn w:val="BodyText"/>
    <w:qFormat/>
    <w:pPr>
      <w:spacing w:after="40"/>
      <w:ind w:firstLine="0"/>
      <w:jc w:val="center"/>
    </w:pPr>
    <w:rPr>
      <w:rFonts w:ascii="Times New Roman" w:hAnsi="Times New Roman" w:cs="Times New Roman" w:eastAsia="Times New Roman"/>
      <w:color w:val="000000"/>
      <w:sz w:val="22"/>
    </w:rPr>
  </w:style>
  <w:style w:type="paragraph" w:customStyle="1" w:styleId="IndexTerms">
    <w:name w:val="IndexTerms"/>
    <w:basedOn w:val="BodyText"/>
    <w:qFormat/>
    <w:pPr>
      <w:spacing w:after="200"/>
      <w:ind w:firstLine="202"/>
      <w:jc w:val="both"/>
    </w:pPr>
    <w:rPr>
      <w:rFonts w:ascii="Times New Roman" w:hAnsi="Times New Roman" w:cs="Times New Roman" w:eastAsia="Times New Roman"/>
      <w:b/>
      <w:color w:val="000000"/>
      <w:sz w:val="18"/>
    </w:rPr>
  </w:style>
  <w:style w:type="paragraph" w:customStyle="1" w:styleId="Marker">
    <w:name w:val="Marker"/>
    <w:basedOn w:val="BodyText"/>
    <w:qFormat/>
    <w:pPr>
      <w:spacing w:after="0" w:before="0" w:line="20" w:lineRule="exact"/>
    </w:pPr>
    <w:rPr>
      <w:rFonts w:ascii="Times New Roman" w:hAnsi="Times New Roman" w:cs="Times New Roman" w:eastAsia="Times New Roman"/>
      <w:color w:val="000000"/>
      <w:sz w:val="2"/>
    </w:rPr>
  </w:style>
  <w:style w:type="paragraph" w:customStyle="1" w:styleId="Reference">
    <w:name w:val="Reference"/>
    <w:basedOn w:val="BodyText"/>
    <w:qFormat/>
    <w:pPr>
      <w:spacing w:after="20"/>
      <w:ind w:left="432" w:hanging="432"/>
      <w:jc w:val="left"/>
    </w:pPr>
    <w:rPr>
      <w:rFonts w:ascii="Times New Roman" w:hAnsi="Times New Roman" w:cs="Times New Roman" w:eastAsia="Times New Roman"/>
      <w:color w:val="000000"/>
      <w:sz w:val="16"/>
    </w:rPr>
  </w:style>
  <w:style w:type="paragraph" w:customStyle="1" w:styleId="TableNote">
    <w:name w:val="TableNote"/>
    <w:basedOn w:val="BodyText"/>
    <w:qFormat/>
    <w:pPr>
      <w:spacing w:after="120"/>
      <w:ind w:firstLine="0"/>
      <w:jc w:val="left"/>
    </w:pPr>
    <w:rPr>
      <w:rFonts w:ascii="Times New Roman" w:hAnsi="Times New Roman" w:cs="Times New Roman" w:eastAsia="Times New Roman"/>
      <w:color w:val="000000"/>
      <w:sz w:val="15"/>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24" Type="http://schemas.openxmlformats.org/officeDocument/2006/relationships/image" Target="media/rId24.png"/><Relationship Id="rId28" Type="http://schemas.openxmlformats.org/officeDocument/2006/relationships/image" Target="media/rId28.png"/><Relationship Id="rId53" Type="http://schemas.openxmlformats.org/officeDocument/2006/relationships/image" Target="media/rId53.png"/><Relationship Id="rId44" Type="http://schemas.openxmlformats.org/officeDocument/2006/relationships/image" Target="media/rId4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Graph-Based Pre-Payment Fraud Risk Assessment for UPI Transactions with Scam Link and QR Analysis</dc:title>
  <dc:creator>C. Murali Naga Raju et al.</dc:creator>
  <cp:keywords/>
  <dcterms:created xsi:type="dcterms:W3CDTF">2026-09-29T14:39:15Z</dcterms:created>
  <dcterms:modified xsi:type="dcterms:W3CDTF">2026-09-29T14:39:15Z</dcterms:modified>
</cp:coreProperties>
</file>

<file path=docProps/custom.xml><?xml version="1.0" encoding="utf-8"?>
<Properties xmlns="http://schemas.openxmlformats.org/officeDocument/2006/custom-properties" xmlns:vt="http://schemas.openxmlformats.org/officeDocument/2006/docPropsVTypes"/>
</file>