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1b770d976f87a70b6c006f925458447557605b8"/>
    <w:p>
      <w:pPr>
        <w:pStyle w:val="Heading1"/>
      </w:pPr>
      <w:r>
        <w:t xml:space="preserve">Pre-Payment Fraud Interception on UPI: Escalation-Only Fusion of Graph, Identifier and Linguistic Evidence</w:t>
      </w:r>
    </w:p>
    <w:p>
      <w:pPr>
        <w:pStyle w:val="FirstParagraph"/>
      </w:pPr>
      <w:r>
        <w:t xml:space="preserve">[Author 1]¹, [Author 2]¹, [Author 3]¹, [Author 4]¹, [Guide Name]²</w:t>
      </w:r>
    </w:p>
    <w:p>
      <w:pPr>
        <w:pStyle w:val="BodyText"/>
      </w:pPr>
      <w:r>
        <w:t xml:space="preserve">¹ B.Tech Student, Department of Artificial Intelligence and Data Science ² [Designation], Department of Artificial Intelligence and Data Science</w:t>
      </w:r>
    </w:p>
    <w:p>
      <w:pPr>
        <w:pStyle w:val="BodyText"/>
      </w:pPr>
      <w:r>
        <w:t xml:space="preserve">Sagi Rama Krishnam Raju Engineering College, Bhimavaram, Andhra Pradesh, India</w:t>
      </w:r>
    </w:p>
    <w:p>
      <w:pPr>
        <w:pStyle w:val="BodyText"/>
      </w:pPr>
      <w:r>
        <w:rPr>
          <w:rStyle w:val="VerbatimChar"/>
        </w:rPr>
        <w:t xml:space="preserve">[author1@email]</w:t>
      </w:r>
      <w:r>
        <w:t xml:space="preserve">,</w:t>
      </w:r>
      <w:r>
        <w:t xml:space="preserve"> </w:t>
      </w:r>
      <w:r>
        <w:rPr>
          <w:rStyle w:val="VerbatimChar"/>
        </w:rPr>
        <w:t xml:space="preserve">[author2@email]</w:t>
      </w:r>
      <w:r>
        <w:t xml:space="preserve">,</w:t>
      </w:r>
      <w:r>
        <w:t xml:space="preserve"> </w:t>
      </w:r>
      <w:r>
        <w:rPr>
          <w:rStyle w:val="VerbatimChar"/>
        </w:rPr>
        <w:t xml:space="preserve">[author3@email]</w:t>
      </w:r>
      <w:r>
        <w:t xml:space="preserve">,</w:t>
      </w:r>
      <w:r>
        <w:t xml:space="preserve"> </w:t>
      </w:r>
      <w:r>
        <w:rPr>
          <w:rStyle w:val="VerbatimChar"/>
        </w:rPr>
        <w:t xml:space="preserve">[author4@email]</w:t>
      </w:r>
      <w:r>
        <w:t xml:space="preserve">,</w:t>
      </w:r>
      <w:r>
        <w:t xml:space="preserve"> </w:t>
      </w:r>
      <w:r>
        <w:rPr>
          <w:rStyle w:val="VerbatimChar"/>
        </w:rPr>
        <w:t xml:space="preserve">[guide@email]</w:t>
      </w:r>
    </w:p>
    <w:p>
      <w:r>
        <w:pict>
          <v:rect style="width:0;height:1.5pt" o:hralign="center" o:hrstd="t" o:hr="t"/>
        </w:pict>
      </w:r>
    </w:p>
    <w:p>
      <w:pPr>
        <w:pStyle w:val="FirstParagraph"/>
      </w:pPr>
      <w:r>
        <w:t xml:space="preserve">2026-09-16 ·</w:t>
      </w:r>
      <w:r>
        <w:t xml:space="preserve"> </w:t>
      </w:r>
      <w:r>
        <w:t xml:space="preserve">@Someone</w:t>
      </w:r>
    </w:p>
    <w:bookmarkStart w:id="20" w:name="abstract"/>
    <w:p>
      <w:pPr>
        <w:pStyle w:val="Heading2"/>
      </w:pPr>
      <w:r>
        <w:t xml:space="preserve">Abstract</w:t>
      </w:r>
    </w:p>
    <w:p>
      <w:pPr>
        <w:pStyle w:val="FirstParagraph"/>
      </w:pPr>
      <w:r>
        <w:t xml:space="preserve">Payments on the Unified Payments Interface (UPI) settle in seconds and cannot be recalled, so a risk score computed after authorisation records a loss rather than preventing one. The larger difficulty is that the dominant complaint category on this rail is not technical compromise but deception: the account holder enters the PIN themselves, after being persuaded. We refer to this class as</w:t>
      </w:r>
      <w:r>
        <w:t xml:space="preserve"> </w:t>
      </w:r>
      <w:r>
        <w:rPr>
          <w:iCs/>
          <w:i/>
        </w:rPr>
        <w:t xml:space="preserve">victim-authorised fraud</w:t>
      </w:r>
      <w:r>
        <w:t xml:space="preserve">, and it is invisible to any classifier that reads only transaction attributes, because the transaction itself is ordinary.</w:t>
      </w:r>
    </w:p>
    <w:p>
      <w:pPr>
        <w:pStyle w:val="BodyText"/>
      </w:pPr>
      <w:r>
        <w:t xml:space="preserve">This paper presents the Pre-Payment Evidence Engine (PPEE), which returns a verdict before the payer commits and derives that verdict from four evidence channels scored independently: self-relative payer behaviour, an</w:t>
      </w:r>
      <w:r>
        <w:t xml:space="preserve"> </w:t>
      </w:r>
      <w:r>
        <w:rPr>
          <w:iCs/>
          <w:i/>
        </w:rPr>
        <w:t xml:space="preserve">inflow shape signature</w:t>
      </w:r>
      <w:r>
        <w:t xml:space="preserve"> </w:t>
      </w:r>
      <w:r>
        <w:t xml:space="preserve">computed over the payer-payee bipartite graph, deterministic analysis of the payee identifier and the scanned payload, and a linguistic detector for coercive framing in the message that prompted the payment. The channels are merged under an</w:t>
      </w:r>
      <w:r>
        <w:t xml:space="preserve"> </w:t>
      </w:r>
      <w:r>
        <w:rPr>
          <w:iCs/>
          <w:i/>
        </w:rPr>
        <w:t xml:space="preserve">escalation-only</w:t>
      </w:r>
      <w:r>
        <w:t xml:space="preserve"> </w:t>
      </w:r>
      <w:r>
        <w:t xml:space="preserve">rule: any channel may raise the risk band, none may lower a band another has raised. We motivate the rule by showing that each channel is structurally blind to at least one attack the others detect.</w:t>
      </w:r>
    </w:p>
    <w:p>
      <w:pPr>
        <w:pStyle w:val="BodyText"/>
      </w:pPr>
      <w:r>
        <w:t xml:space="preserve">On a 120,000-transaction corpus the behavioural classifier reaches a PR-AUC of 0.5284 and recalls 55.8% of fraud at a measured false-positive rate of 0.93%, inside a 1% operating budget fixed in advance. Recall on victim-authorised transfers is 28.6%, and an ablation shows payee-side structure contributes 19.8 percentage points of that figure over the stronger single-sided model. The coercion detector reaches 74.3% recall at a 0.6% false-positive rate against hard negatives drawn from genuine bank and delivery notifications. Median end-to-end latency is 84 ms with no GPU and no external lookup.</w:t>
      </w:r>
    </w:p>
    <w:p>
      <w:pPr>
        <w:pStyle w:val="BodyText"/>
      </w:pPr>
      <w:r>
        <w:rPr>
          <w:bCs/>
          <w:b/>
        </w:rPr>
        <w:t xml:space="preserve">Index Terms</w:t>
      </w:r>
      <w:r>
        <w:t xml:space="preserve"> </w:t>
      </w:r>
      <w:r>
        <w:t xml:space="preserve">— Unified Payments Interface, push payment fraud, bipartite graph analysis, pre-authorisation risk scoring, probability calibration, homoglyph detection, social engineering, class imbalance.</w:t>
      </w:r>
    </w:p>
    <w:bookmarkEnd w:id="20"/>
    <w:bookmarkStart w:id="24" w:name="i.-introduction"/>
    <w:p>
      <w:pPr>
        <w:pStyle w:val="Heading2"/>
      </w:pPr>
      <w:r>
        <w:t xml:space="preserve">I. Introduction</w:t>
      </w:r>
    </w:p>
    <w:p>
      <w:pPr>
        <w:pStyle w:val="FirstParagraph"/>
      </w:pPr>
      <w:r>
        <w:t xml:space="preserve">The Unified Payments Interface has made a bank transfer as quick as handing over cash, and it has inherited one property of cash that the rest of retail banking had engineered away. A completed UPI transfer is final. There is no chargeback window, no issuing-bank reversal, no settlement delay in which a dispute can be raised. Once the payer enters the PIN, the money is gone in about a second, and recovering it depends on a police complaint and the cooperation of a beneficiary bank whose customer has usually already withdrawn the balance.</w:t>
      </w:r>
    </w:p>
    <w:p>
      <w:pPr>
        <w:pStyle w:val="BodyText"/>
      </w:pPr>
      <w:r>
        <w:t xml:space="preserve">Three controls stand between a payer and a payment today, and none of them looks at who is being paid. Device and credential binding proves the person pressing send holds the account. Payer-side behavioural scoring at the payment service provider compares the transaction against that customer’s own history and may hold an outlier, but it runs after authorisation and its alerts generally arrive after settlement. Name display shows whatever name is registered against the beneficiary account, or, for a scanned code, whatever string the person who generated the code chose to put in the payee-name field.</w:t>
      </w:r>
    </w:p>
    <w:p>
      <w:pPr>
        <w:pStyle w:val="BodyText"/>
      </w:pPr>
      <w:r>
        <w:t xml:space="preserve">So at the moment of decision the payer sees an address, a name and an amount. What they do not see is how old the receiving account is, how many unrelated people have paid it this week, whether any of those people ever paid it twice, whether the displayed name bears any relation to the address being credited, or whether the address is spelled with characters that merely resemble the ones in a bank’s real handle. Some of that information already exists inside the payment network. None of it reaches the person making the decision.</w:t>
      </w:r>
    </w:p>
    <w:bookmarkStart w:id="21" w:name="a.-victim-authorised-fraud"/>
    <w:p>
      <w:pPr>
        <w:pStyle w:val="Heading3"/>
      </w:pPr>
      <w:r>
        <w:t xml:space="preserve">A. Victim-Authorised Fraud</w:t>
      </w:r>
    </w:p>
    <w:p>
      <w:pPr>
        <w:pStyle w:val="FirstParagraph"/>
      </w:pPr>
      <w:r>
        <w:t xml:space="preserve">The gap matters more on this rail than it would on a card network, because of what the fraud looks like. Published complaint data from the Reserve Bank of India and from NPCI attribute the majority of UPI fraud reports not to technical compromise but to persuasion [1], [7]. A caller impersonates a bank officer, a delivery agent, an electricity board, or a buyer on a classifieds site. The victim is talked into sending money, or into scanning a code that the fraudster supplies. The account holder authorises the payment personally, on their own device, with full knowledge that they are sending money.</w:t>
      </w:r>
    </w:p>
    <w:p>
      <w:pPr>
        <w:pStyle w:val="BodyText"/>
      </w:pPr>
      <w:r>
        <w:t xml:space="preserve">We call this</w:t>
      </w:r>
      <w:r>
        <w:t xml:space="preserve"> </w:t>
      </w:r>
      <w:r>
        <w:rPr>
          <w:bCs/>
          <w:b/>
        </w:rPr>
        <w:t xml:space="preserve">victim-authorised fraud</w:t>
      </w:r>
      <w:r>
        <w:t xml:space="preserve">, and the term is deliberately chosen over</w:t>
      </w:r>
      <w:r>
        <w:t xml:space="preserve"> </w:t>
      </w:r>
      <w:r>
        <w:t xml:space="preserve">“</w:t>
      </w:r>
      <w:r>
        <w:t xml:space="preserve">social engineering</w:t>
      </w:r>
      <w:r>
        <w:t xml:space="preserve">”</w:t>
      </w:r>
      <w:r>
        <w:t xml:space="preserve">, which names the attacker’s method rather than the property that defeats detection. That property is simple: the transaction carries no anomaly to find. An established customer pays an ordinary amount at an ordinary hour, which is exactly what they do every week. The deception happened in a phone call an hour earlier. The transaction is the consequence of the fraud, not evidence of it.</w:t>
      </w:r>
    </w:p>
    <w:p>
      <w:pPr>
        <w:pStyle w:val="BodyText"/>
      </w:pPr>
      <w:r>
        <w:t xml:space="preserve">Any detector that reads only transaction attributes is therefore structurally limited on the largest fraud class on the rail, and will report excellent aggregate discrimination while missing it. We quantify this in Section IX: our own behavioural classifier reaches a ROC-AUC of 0.9702 and recalls 28.6% of victim-authorised transfers.</w:t>
      </w:r>
    </w:p>
    <w:bookmarkEnd w:id="21"/>
    <w:bookmarkStart w:id="22" w:name="b.-contributions"/>
    <w:p>
      <w:pPr>
        <w:pStyle w:val="Heading3"/>
      </w:pPr>
      <w:r>
        <w:t xml:space="preserve">B. Contributions</w:t>
      </w:r>
    </w:p>
    <w:p>
      <w:pPr>
        <w:pStyle w:val="FirstParagraph"/>
      </w:pPr>
      <w:r>
        <w:t xml:space="preserve">This paper makes the following contributions.</w:t>
      </w:r>
    </w:p>
    <w:p>
      <w:pPr>
        <w:numPr>
          <w:ilvl w:val="0"/>
          <w:numId w:val="1001"/>
        </w:numPr>
        <w:pStyle w:val="Compact"/>
      </w:pPr>
      <w:r>
        <w:rPr>
          <w:bCs/>
          <w:b/>
        </w:rPr>
        <w:t xml:space="preserve">A pre-authorisation architecture for push payments.</w:t>
      </w:r>
      <w:r>
        <w:t xml:space="preserve"> </w:t>
      </w:r>
      <w:r>
        <w:t xml:space="preserve">The Pre-Payment Evidence Engine (PPEE) returns a verdict before the payer commits, within a latency budget that lets it sit inside the payment flow. Every feature it uses is computable from local state, with no external lookup, which is what makes the budget attainable.</w:t>
      </w:r>
    </w:p>
    <w:p>
      <w:pPr>
        <w:numPr>
          <w:ilvl w:val="0"/>
          <w:numId w:val="1001"/>
        </w:numPr>
        <w:pStyle w:val="Compact"/>
      </w:pPr>
      <w:r>
        <w:rPr>
          <w:bCs/>
          <w:b/>
        </w:rPr>
        <w:t xml:space="preserve">The inflow shape signature.</w:t>
      </w:r>
      <w:r>
        <w:t xml:space="preserve"> </w:t>
      </w:r>
      <w:r>
        <w:t xml:space="preserve">We characterise a receiving account by the</w:t>
      </w:r>
      <w:r>
        <w:t xml:space="preserve"> </w:t>
      </w:r>
      <w:r>
        <w:rPr>
          <w:iCs/>
          <w:i/>
        </w:rPr>
        <w:t xml:space="preserve">form</w:t>
      </w:r>
      <w:r>
        <w:t xml:space="preserve"> </w:t>
      </w:r>
      <w:r>
        <w:t xml:space="preserve">of the money arriving at it rather than by how much arrives. Repeat-payer fraction, arrival concentration and account age separate a collection account from a busy street vendor that has similar degree. Degree alone does not, a point made in the anomaly-detection literature [4] and not usually acted on in payment systems.</w:t>
      </w:r>
    </w:p>
    <w:p>
      <w:pPr>
        <w:numPr>
          <w:ilvl w:val="0"/>
          <w:numId w:val="1001"/>
        </w:numPr>
        <w:pStyle w:val="Compact"/>
      </w:pPr>
      <w:r>
        <w:rPr>
          <w:bCs/>
          <w:b/>
        </w:rPr>
        <w:t xml:space="preserve">Escalation-only fusion.</w:t>
      </w:r>
      <w:r>
        <w:t xml:space="preserve"> </w:t>
      </w:r>
      <w:r>
        <w:t xml:space="preserve">We formalise a merge rule under which any evidence channel may raise the risk band and none may lower a band another channel has raised, and we justify it by showing that each channel is blind, not merely weak, on at least one attack the others detect.</w:t>
      </w:r>
    </w:p>
    <w:p>
      <w:pPr>
        <w:numPr>
          <w:ilvl w:val="0"/>
          <w:numId w:val="1001"/>
        </w:numPr>
        <w:pStyle w:val="Compact"/>
      </w:pPr>
      <w:r>
        <w:rPr>
          <w:bCs/>
          <w:b/>
        </w:rPr>
        <w:t xml:space="preserve">Hard-negative saturation for coercion detection.</w:t>
      </w:r>
      <w:r>
        <w:t xml:space="preserve"> </w:t>
      </w:r>
      <w:r>
        <w:t xml:space="preserve">Our message corpus is majority genuine institutional notification, because a classifier trained against ordinary conversation learns that financial vocabulary predicts fraud and then flags every real bank alert the user receives. We report false positives against those hard negatives specifically.</w:t>
      </w:r>
    </w:p>
    <w:p>
      <w:pPr>
        <w:numPr>
          <w:ilvl w:val="0"/>
          <w:numId w:val="1001"/>
        </w:numPr>
        <w:pStyle w:val="Compact"/>
      </w:pPr>
      <w:r>
        <w:rPr>
          <w:bCs/>
          <w:b/>
        </w:rPr>
        <w:t xml:space="preserve">Payload analysis inside the risk engine.</w:t>
      </w:r>
      <w:r>
        <w:t xml:space="preserve"> </w:t>
      </w:r>
      <w:r>
        <w:t xml:space="preserve">The scanned code is decoded on the payer’s device, the deep link is parsed, and the displayed payee name is checked against the address actually being credited. The image is never transmitted.</w:t>
      </w:r>
    </w:p>
    <w:p>
      <w:pPr>
        <w:numPr>
          <w:ilvl w:val="0"/>
          <w:numId w:val="1001"/>
        </w:numPr>
        <w:pStyle w:val="Compact"/>
      </w:pPr>
      <w:r>
        <w:rPr>
          <w:bCs/>
          <w:b/>
        </w:rPr>
        <w:t xml:space="preserve">A documented integrity audit of the evaluation pipeline.</w:t>
      </w:r>
      <w:r>
        <w:t xml:space="preserve"> </w:t>
      </w:r>
      <w:r>
        <w:t xml:space="preserve">We describe two defects in our own corpus generator that made the label partially recoverable from the features, the guards that now prevent them, and the effect on reported performance. Every figure in this paper is post-correction.</w:t>
      </w:r>
    </w:p>
    <w:bookmarkEnd w:id="22"/>
    <w:bookmarkStart w:id="23" w:name="c.-organisation"/>
    <w:p>
      <w:pPr>
        <w:pStyle w:val="Heading3"/>
      </w:pPr>
      <w:r>
        <w:t xml:space="preserve">C. Organisation</w:t>
      </w:r>
    </w:p>
    <w:p>
      <w:pPr>
        <w:pStyle w:val="FirstParagraph"/>
      </w:pPr>
      <w:r>
        <w:t xml:space="preserve">Section II reviews related work and identifies what each family of methods misses. Section III states the decision problem and the cost asymmetry that fixes our operating point. Section IV describes PPEE and the fusion rule. Sections V to VII cover corpus construction, feature design and the classifier. Section VIII gives the experimental protocol, Section IX the results, and Section X the limitations that bound them.</w:t>
      </w:r>
    </w:p>
    <w:bookmarkEnd w:id="23"/>
    <w:bookmarkEnd w:id="24"/>
    <w:bookmarkStart w:id="30" w:name="ii.-related-work"/>
    <w:p>
      <w:pPr>
        <w:pStyle w:val="Heading2"/>
      </w:pPr>
      <w:r>
        <w:t xml:space="preserve">II. Related Work</w:t>
      </w:r>
    </w:p>
    <w:p>
      <w:pPr>
        <w:pStyle w:val="FirstParagraph"/>
      </w:pPr>
      <w:r>
        <w:t xml:space="preserve">Work relevant to this problem divides by the evidence it reads. We take the four divisions in turn and note, for each, the attack it cannot see.</w:t>
      </w:r>
    </w:p>
    <w:bookmarkStart w:id="25" w:name="a.-transaction-level-classifiers"/>
    <w:p>
      <w:pPr>
        <w:pStyle w:val="Heading3"/>
      </w:pPr>
      <w:r>
        <w:t xml:space="preserve">A. Transaction-Level Classifiers</w:t>
      </w:r>
    </w:p>
    <w:p>
      <w:pPr>
        <w:pStyle w:val="FirstParagraph"/>
      </w:pPr>
      <w:r>
        <w:t xml:space="preserve">The card-fraud literature is the most developed source of method here. Dal Pozzolo et al. [2] argue that payment fraud must be assessed under class imbalance and drift, and that a model reporting high accuracy on a one-percent base rate may be doing nothing; they recommend precision-recall analysis and measurement at a fixed alert budget. We adopt both. Bahnsen et al. [3] show that the cost of a miss scales with the transaction amount while the cost of a false alarm is roughly flat, which transfers cleanly to a rail with a per-transaction ceiling.</w:t>
      </w:r>
    </w:p>
    <w:p>
      <w:pPr>
        <w:pStyle w:val="BodyText"/>
      </w:pPr>
      <w:r>
        <w:t xml:space="preserve">These methods assume the account holder did not authorise the payment. That assumption is what makes the fraudulent transaction anomalous, and it does not hold for the class described in Section I-A. Neither work addresses fraud in which the customer is the one pressing send.</w:t>
      </w:r>
    </w:p>
    <w:p>
      <w:pPr>
        <w:pStyle w:val="BodyText"/>
      </w:pPr>
      <w:r>
        <w:t xml:space="preserve">Unsupervised outlier detection [19], [20] is sometimes offered as an alternative where labels are scarce. It shares the same assumption and inherits the same blind spot, and we include it in Section IX as a control rather than as a competitor.</w:t>
      </w:r>
    </w:p>
    <w:bookmarkEnd w:id="25"/>
    <w:bookmarkStart w:id="26" w:name="b.-graph-and-network-methods"/>
    <w:p>
      <w:pPr>
        <w:pStyle w:val="Heading3"/>
      </w:pPr>
      <w:r>
        <w:t xml:space="preserve">B. Graph and Network Methods</w:t>
      </w:r>
    </w:p>
    <w:p>
      <w:pPr>
        <w:pStyle w:val="FirstParagraph"/>
      </w:pPr>
      <w:r>
        <w:t xml:space="preserve">Van Vlasselaer et al. [5] combine transaction attributes with features derived from a bipartite client-merchant graph and show that the network features add real discrimination. This is the closest antecedent to our payee channel. The setting differs in one way that matters: a card merchant is an onboarded, identified entity with a stable presence, while a UPI address can be created in minutes and abandoned in days, so the graph is far more churny and a new node is the common case rather than the exception.</w:t>
      </w:r>
    </w:p>
    <w:p>
      <w:pPr>
        <w:pStyle w:val="BodyText"/>
      </w:pPr>
      <w:r>
        <w:t xml:space="preserve">Akoglu et al. [4] survey graph anomaly detection and record a result we treat as a design constraint: high degree usually indicates popularity, not fraud. A detector that flags accounts for receiving many payments will flag every successful small trader on the rail. Hooi et al. [6] give FRAUDAR, which finds dense subgraphs resistant to camouflage, with bounds on how far a fraudster can dilute their footprint. The density assumption suits fake reviews and follower inflation. A collection account is sparse and short-lived rather than dense, so the construction does not transfer directly.</w:t>
      </w:r>
    </w:p>
    <w:p>
      <w:pPr>
        <w:pStyle w:val="BodyText"/>
      </w:pPr>
      <w:r>
        <w:t xml:space="preserve">Weber et al. [8] apply graph convolutional networks to an anti-money-laundering task and report that gradient-boosted trees over hand-built structural features beat the learned embedding on the illicit class. We read this as evidence that explicit structure is worth designing rather than learning when labelled data is limited, and we design ours explicitly.</w:t>
      </w:r>
    </w:p>
    <w:p>
      <w:pPr>
        <w:pStyle w:val="BodyText"/>
      </w:pPr>
      <w:r>
        <w:t xml:space="preserve">The common limitation across this family is cold start. A payee with no history has no graph position, and a first-time victim paying a four-day-old account is exactly the case the graph channel cannot decide alone.</w:t>
      </w:r>
    </w:p>
    <w:bookmarkEnd w:id="26"/>
    <w:bookmarkStart w:id="27" w:name="c.-identifier-and-payload-spoofing"/>
    <w:p>
      <w:pPr>
        <w:pStyle w:val="Heading3"/>
      </w:pPr>
      <w:r>
        <w:t xml:space="preserve">C. Identifier and Payload Spoofing</w:t>
      </w:r>
    </w:p>
    <w:p>
      <w:pPr>
        <w:pStyle w:val="FirstParagraph"/>
      </w:pPr>
      <w:r>
        <w:t xml:space="preserve">Unicode Technical Standard #39 [9] specifies skeleton generation and confusable detection for identifier spoofing. It is applied routinely to domain names. We are not aware of published payment-risk work that applies it to virtual payment addresses, where the local part and the provider handle are both attacker-choosable and both rendered to the payer in a font that makes several character pairs indistinguishable.</w:t>
      </w:r>
    </w:p>
    <w:p>
      <w:pPr>
        <w:pStyle w:val="BodyText"/>
      </w:pPr>
      <w:r>
        <w:t xml:space="preserve">Work on code-based payment security [10] establishes that a scanned code carries no integrity guarantee to a human reader, which is what makes a printed overlay effective: the payload is not human-readable, so a sticker placed over a genuine code is undetectable by inspection. The remedy proposed is cryptographic signing, which requires the whole ecosystem to adopt it. A payer-side check needs no such coordination, and none of the reviewed risk engines performs one.</w:t>
      </w:r>
    </w:p>
    <w:p>
      <w:pPr>
        <w:pStyle w:val="BodyText"/>
      </w:pPr>
      <w:r>
        <w:t xml:space="preserve">What this family cannot see is a genuine, correctly spelled, correctly issued address that happens to be operated by a fraudster.</w:t>
      </w:r>
    </w:p>
    <w:bookmarkEnd w:id="27"/>
    <w:bookmarkStart w:id="28" w:name="d.-persuasion-in-attacker-text"/>
    <w:p>
      <w:pPr>
        <w:pStyle w:val="Heading3"/>
      </w:pPr>
      <w:r>
        <w:t xml:space="preserve">D. Persuasion in Attacker Text</w:t>
      </w:r>
    </w:p>
    <w:p>
      <w:pPr>
        <w:pStyle w:val="FirstParagraph"/>
      </w:pPr>
      <w:r>
        <w:t xml:space="preserve">Ferreira and Teles [11] catalogue persuasion principles in phishing and demonstrate their measurable presence in attack messages. Verma and Hossain [12] apply language processing to phishing detection with strong results on curated corpora. Later replications of work in this family report a consistent weakness: performance falls sharply when legitimate messages sharing the same surface vocabulary are added as negatives. A model that has never seen a genuine overdue-bill notice will classify one as an attack.</w:t>
      </w:r>
    </w:p>
    <w:p>
      <w:pPr>
        <w:pStyle w:val="BodyText"/>
      </w:pPr>
      <w:r>
        <w:t xml:space="preserve">This family also depends on obtaining the message, which is not always possible, and it says nothing about the account being paid.</w:t>
      </w:r>
    </w:p>
    <w:bookmarkEnd w:id="28"/>
    <w:bookmarkStart w:id="29" w:name="e.-what-the-divisions-leave-open"/>
    <w:p>
      <w:pPr>
        <w:pStyle w:val="Heading3"/>
      </w:pPr>
      <w:r>
        <w:t xml:space="preserve">E. What the Divisions Leave Open</w:t>
      </w:r>
    </w:p>
    <w:p>
      <w:pPr>
        <w:pStyle w:val="FirstParagraph"/>
      </w:pPr>
      <w:r>
        <w:t xml:space="preserve">Table I sets the four families against the attacks in scope.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Evidence read</w:t>
            </w:r>
          </w:p>
        </w:tc>
        <w:tc>
          <w:tcPr/>
          <w:p>
            <w:pPr>
              <w:pStyle w:val="Compact"/>
              <w:jc w:val="left"/>
            </w:pPr>
            <w:r>
              <w:t xml:space="preserve">Detects</w:t>
            </w:r>
          </w:p>
        </w:tc>
        <w:tc>
          <w:tcPr/>
          <w:p>
            <w:pPr>
              <w:pStyle w:val="Compact"/>
              <w:jc w:val="left"/>
            </w:pPr>
            <w:r>
              <w:t xml:space="preserve">Blind to</w:t>
            </w:r>
          </w:p>
        </w:tc>
        <w:tc>
          <w:tcPr/>
          <w:p>
            <w:pPr>
              <w:pStyle w:val="Compact"/>
              <w:jc w:val="left"/>
            </w:pPr>
            <w:r>
              <w:t xml:space="preserve">Refs</w:t>
            </w:r>
          </w:p>
        </w:tc>
      </w:tr>
      <w:tr>
        <w:tc>
          <w:tcPr/>
          <w:p>
            <w:pPr>
              <w:pStyle w:val="Compact"/>
              <w:jc w:val="left"/>
            </w:pPr>
            <w:r>
              <w:t xml:space="preserve">Payer transaction attributes</w:t>
            </w:r>
          </w:p>
        </w:tc>
        <w:tc>
          <w:tcPr/>
          <w:p>
            <w:pPr>
              <w:pStyle w:val="Compact"/>
              <w:jc w:val="left"/>
            </w:pPr>
            <w:r>
              <w:t xml:space="preserve">Hijacked profiles, probe bursts</w:t>
            </w:r>
          </w:p>
        </w:tc>
        <w:tc>
          <w:tcPr/>
          <w:p>
            <w:pPr>
              <w:pStyle w:val="Compact"/>
              <w:jc w:val="left"/>
            </w:pPr>
            <w:r>
              <w:t xml:space="preserve">Victim-authorised transfers</w:t>
            </w:r>
          </w:p>
        </w:tc>
        <w:tc>
          <w:tcPr/>
          <w:p>
            <w:pPr>
              <w:pStyle w:val="Compact"/>
              <w:jc w:val="left"/>
            </w:pPr>
            <w:r>
              <w:t xml:space="preserve">[2], [3], [19]</w:t>
            </w:r>
          </w:p>
        </w:tc>
      </w:tr>
      <w:tr>
        <w:tc>
          <w:tcPr/>
          <w:p>
            <w:pPr>
              <w:pStyle w:val="Compact"/>
              <w:jc w:val="left"/>
            </w:pPr>
            <w:r>
              <w:t xml:space="preserve">Payer-payee graph structure</w:t>
            </w:r>
          </w:p>
        </w:tc>
        <w:tc>
          <w:tcPr/>
          <w:p>
            <w:pPr>
              <w:pStyle w:val="Compact"/>
              <w:jc w:val="left"/>
            </w:pPr>
            <w:r>
              <w:t xml:space="preserve">Funnel and collection accounts</w:t>
            </w:r>
          </w:p>
        </w:tc>
        <w:tc>
          <w:tcPr/>
          <w:p>
            <w:pPr>
              <w:pStyle w:val="Compact"/>
              <w:jc w:val="left"/>
            </w:pPr>
            <w:r>
              <w:t xml:space="preserve">Cold-start payees; first-day addresses</w:t>
            </w:r>
          </w:p>
        </w:tc>
        <w:tc>
          <w:tcPr/>
          <w:p>
            <w:pPr>
              <w:pStyle w:val="Compact"/>
              <w:jc w:val="left"/>
            </w:pPr>
            <w:r>
              <w:t xml:space="preserve">[4], [5], [6], [8]</w:t>
            </w:r>
          </w:p>
        </w:tc>
      </w:tr>
      <w:tr>
        <w:tc>
          <w:tcPr/>
          <w:p>
            <w:pPr>
              <w:pStyle w:val="Compact"/>
              <w:jc w:val="left"/>
            </w:pPr>
            <w:r>
              <w:t xml:space="preserve">Identifier and scanned payload</w:t>
            </w:r>
          </w:p>
        </w:tc>
        <w:tc>
          <w:tcPr/>
          <w:p>
            <w:pPr>
              <w:pStyle w:val="Compact"/>
              <w:jc w:val="left"/>
            </w:pPr>
            <w:r>
              <w:t xml:space="preserve">Lookalike addresses, substituted codes</w:t>
            </w:r>
          </w:p>
        </w:tc>
        <w:tc>
          <w:tcPr/>
          <w:p>
            <w:pPr>
              <w:pStyle w:val="Compact"/>
              <w:jc w:val="left"/>
            </w:pPr>
            <w:r>
              <w:t xml:space="preserve">Genuine addresses under fraudster control</w:t>
            </w:r>
          </w:p>
        </w:tc>
        <w:tc>
          <w:tcPr/>
          <w:p>
            <w:pPr>
              <w:pStyle w:val="Compact"/>
              <w:jc w:val="left"/>
            </w:pPr>
            <w:r>
              <w:t xml:space="preserve">[9], [10]</w:t>
            </w:r>
          </w:p>
        </w:tc>
      </w:tr>
      <w:tr>
        <w:tc>
          <w:tcPr/>
          <w:p>
            <w:pPr>
              <w:pStyle w:val="Compact"/>
              <w:jc w:val="left"/>
            </w:pPr>
            <w:r>
              <w:t xml:space="preserve">Message language</w:t>
            </w:r>
          </w:p>
        </w:tc>
        <w:tc>
          <w:tcPr/>
          <w:p>
            <w:pPr>
              <w:pStyle w:val="Compact"/>
              <w:jc w:val="left"/>
            </w:pPr>
            <w:r>
              <w:t xml:space="preserve">The setup preceding a transfer</w:t>
            </w:r>
          </w:p>
        </w:tc>
        <w:tc>
          <w:tcPr/>
          <w:p>
            <w:pPr>
              <w:pStyle w:val="Compact"/>
              <w:jc w:val="left"/>
            </w:pPr>
            <w:r>
              <w:t xml:space="preserve">Cases where no message is available</w:t>
            </w:r>
          </w:p>
        </w:tc>
        <w:tc>
          <w:tcPr/>
          <w:p>
            <w:pPr>
              <w:pStyle w:val="Compact"/>
              <w:jc w:val="left"/>
            </w:pPr>
            <w:r>
              <w:t xml:space="preserve">[11], [12]</w:t>
            </w:r>
          </w:p>
        </w:tc>
      </w:tr>
    </w:tbl>
    <w:p>
      <w:pPr>
        <w:pStyle w:val="BodyText"/>
      </w:pPr>
      <w:r>
        <w:rPr>
          <w:iCs/>
          <w:i/>
        </w:rPr>
        <w:t xml:space="preserve">Table I. Coverage and blind spots of the four evidence families.</w:t>
      </w:r>
    </w:p>
    <w:p>
      <w:pPr>
        <w:pStyle w:val="BodyText"/>
      </w:pPr>
      <w:r>
        <w:t xml:space="preserve">Three observations follow, and they set up the rest of this paper.</w:t>
      </w:r>
    </w:p>
    <w:p>
      <w:pPr>
        <w:pStyle w:val="BodyText"/>
      </w:pPr>
      <w:r>
        <w:t xml:space="preserve">First,</w:t>
      </w:r>
      <w:r>
        <w:t xml:space="preserve"> </w:t>
      </w:r>
      <w:r>
        <w:rPr>
          <w:bCs/>
          <w:b/>
        </w:rPr>
        <w:t xml:space="preserve">the blind spots are disjoint</w:t>
      </w:r>
      <w:r>
        <w:t xml:space="preserve">. Behavioural modelling fails precisely where linguistic analysis is strongest. Graph analysis fails on a payee’s first day, which is when an identifier check on a freshly registered lookalike address is most informative. A system built on one family inherits that family’s blind spot whole, and the reviewed work is largely single-family.</w:t>
      </w:r>
    </w:p>
    <w:p>
      <w:pPr>
        <w:pStyle w:val="BodyText"/>
      </w:pPr>
      <w:r>
        <w:t xml:space="preserve">Second,</w:t>
      </w:r>
      <w:r>
        <w:t xml:space="preserve"> </w:t>
      </w:r>
      <w:r>
        <w:rPr>
          <w:bCs/>
          <w:b/>
        </w:rPr>
        <w:t xml:space="preserve">combination is under-specified where it appears at all</w:t>
      </w:r>
      <w:r>
        <w:t xml:space="preserve">. Systems that use more than one signal typically sum or average them. Neither operation distinguishes four correlated observations inside one family from four independent families agreeing, although the second is much stronger evidence. Nor does either prevent a confident low score from one family cancelling a decisive finding from another, which is the failure we argue against in Section IV-C.</w:t>
      </w:r>
    </w:p>
    <w:p>
      <w:pPr>
        <w:pStyle w:val="BodyText"/>
      </w:pPr>
      <w:r>
        <w:t xml:space="preserve">Third,</w:t>
      </w:r>
      <w:r>
        <w:t xml:space="preserve"> </w:t>
      </w:r>
      <w:r>
        <w:rPr>
          <w:bCs/>
          <w:b/>
        </w:rPr>
        <w:t xml:space="preserve">evaluation practice is uneven</w:t>
      </w:r>
      <w:r>
        <w:t xml:space="preserve">. Several reviewed studies report accuracy or ROC-AUC on heavily imbalanced data, both of which flatter a fraud model, as [2] sets out. We report precision-recall area and recall at a false-positive budget fixed before the test data was read, and we report recall separately per attack mode, because an aggregate figure conceals the structure that determines where the system can be trusted.</w:t>
      </w:r>
    </w:p>
    <w:bookmarkEnd w:id="29"/>
    <w:bookmarkEnd w:id="30"/>
    <w:bookmarkStart w:id="35" w:name="iii.-problem-formulation"/>
    <w:p>
      <w:pPr>
        <w:pStyle w:val="Heading2"/>
      </w:pPr>
      <w:r>
        <w:t xml:space="preserve">III. Problem Formulation</w:t>
      </w:r>
    </w:p>
    <w:bookmarkStart w:id="31" w:name="a.-notation"/>
    <w:p>
      <w:pPr>
        <w:pStyle w:val="Heading3"/>
      </w:pPr>
      <w:r>
        <w:t xml:space="preserve">A. Notation</w:t>
      </w:r>
    </w:p>
    <w:p>
      <w:pPr>
        <w:pStyle w:val="FirstParagraph"/>
      </w:pPr>
      <w:r>
        <w:t xml:space="preserve">Let</w:t>
      </w:r>
      <w:r>
        <w:t xml:space="preserve"> </w:t>
      </w:r>
      <w:r>
        <w:rPr>
          <w:iCs/>
          <w:i/>
        </w:rPr>
        <w:t xml:space="preserve">P</w:t>
      </w:r>
      <w:r>
        <w:t xml:space="preserve"> </w:t>
      </w:r>
      <w:r>
        <w:t xml:space="preserve">be the set of payers and</w:t>
      </w:r>
      <w:r>
        <w:t xml:space="preserve"> </w:t>
      </w:r>
      <w:r>
        <w:rPr>
          <w:iCs/>
          <w:i/>
        </w:rPr>
        <w:t xml:space="preserve">Q</w:t>
      </w:r>
      <w:r>
        <w:t xml:space="preserve"> </w:t>
      </w:r>
      <w:r>
        <w:t xml:space="preserve">the set of payee addresses. A payment attempt is a tuple</w:t>
      </w:r>
    </w:p>
    <w:p>
      <w:pPr>
        <w:pStyle w:val="BlockText"/>
      </w:pPr>
      <w:r>
        <w:rPr>
          <w:iCs/>
          <w:i/>
        </w:rPr>
        <w:t xml:space="preserve">t</w:t>
      </w:r>
      <w:r>
        <w:t xml:space="preserve"> </w:t>
      </w:r>
      <w:r>
        <w:t xml:space="preserve">= (</w:t>
      </w:r>
      <w:r>
        <w:rPr>
          <w:iCs/>
          <w:i/>
        </w:rPr>
        <w:t xml:space="preserve">p</w:t>
      </w:r>
      <w:r>
        <w:t xml:space="preserve">,</w:t>
      </w:r>
      <w:r>
        <w:t xml:space="preserve"> </w:t>
      </w:r>
      <w:r>
        <w:rPr>
          <w:iCs/>
          <w:i/>
        </w:rPr>
        <w:t xml:space="preserve">q</w:t>
      </w:r>
      <w:r>
        <w:t xml:space="preserve">,</w:t>
      </w:r>
      <w:r>
        <w:t xml:space="preserve"> </w:t>
      </w:r>
      <w:r>
        <w:rPr>
          <w:iCs/>
          <w:i/>
        </w:rPr>
        <w:t xml:space="preserve">a</w:t>
      </w:r>
      <w:r>
        <w:t xml:space="preserve">,</w:t>
      </w:r>
      <w:r>
        <w:t xml:space="preserve"> </w:t>
      </w:r>
      <w:r>
        <w:rPr>
          <w:iCs/>
          <w:i/>
        </w:rPr>
        <w:t xml:space="preserve">τ</w:t>
      </w:r>
      <w:r>
        <w:t xml:space="preserve">,</w:t>
      </w:r>
      <w:r>
        <w:t xml:space="preserve"> </w:t>
      </w:r>
      <w:r>
        <w:rPr>
          <w:iCs/>
          <w:i/>
        </w:rPr>
        <w:t xml:space="preserve">m</w:t>
      </w:r>
      <w:r>
        <w:t xml:space="preserve">)</w:t>
      </w:r>
    </w:p>
    <w:p>
      <w:pPr>
        <w:pStyle w:val="FirstParagraph"/>
      </w:pPr>
      <w:r>
        <w:t xml:space="preserve">where</w:t>
      </w:r>
      <w:r>
        <w:t xml:space="preserve"> </w:t>
      </w:r>
      <w:r>
        <w:rPr>
          <w:iCs/>
          <w:i/>
        </w:rPr>
        <w:t xml:space="preserve">p</w:t>
      </w:r>
      <w:r>
        <w:t xml:space="preserve"> </w:t>
      </w:r>
      <w:r>
        <w:t xml:space="preserve">∈</w:t>
      </w:r>
      <w:r>
        <w:t xml:space="preserve"> </w:t>
      </w:r>
      <w:r>
        <w:rPr>
          <w:iCs/>
          <w:i/>
        </w:rPr>
        <w:t xml:space="preserve">P</w:t>
      </w:r>
      <w:r>
        <w:t xml:space="preserve">,</w:t>
      </w:r>
      <w:r>
        <w:t xml:space="preserve"> </w:t>
      </w:r>
      <w:r>
        <w:rPr>
          <w:iCs/>
          <w:i/>
        </w:rPr>
        <w:t xml:space="preserve">q</w:t>
      </w:r>
      <w:r>
        <w:t xml:space="preserve"> </w:t>
      </w:r>
      <w:r>
        <w:t xml:space="preserve">∈</w:t>
      </w:r>
      <w:r>
        <w:t xml:space="preserve"> </w:t>
      </w:r>
      <w:r>
        <w:rPr>
          <w:iCs/>
          <w:i/>
        </w:rPr>
        <w:t xml:space="preserve">Q</w:t>
      </w:r>
      <w:r>
        <w:t xml:space="preserve">,</w:t>
      </w:r>
      <w:r>
        <w:t xml:space="preserve"> </w:t>
      </w:r>
      <w:r>
        <w:rPr>
          <w:iCs/>
          <w:i/>
        </w:rPr>
        <w:t xml:space="preserve">a</w:t>
      </w:r>
      <w:r>
        <w:t xml:space="preserve"> </w:t>
      </w:r>
      <w:r>
        <w:t xml:space="preserve">is the amount in rupees,</w:t>
      </w:r>
      <w:r>
        <w:t xml:space="preserve"> </w:t>
      </w:r>
      <w:r>
        <w:rPr>
          <w:iCs/>
          <w:i/>
        </w:rPr>
        <w:t xml:space="preserve">τ</w:t>
      </w:r>
      <w:r>
        <w:t xml:space="preserve"> </w:t>
      </w:r>
      <w:r>
        <w:t xml:space="preserve">the instant of the attempt, and</w:t>
      </w:r>
      <w:r>
        <w:t xml:space="preserve"> </w:t>
      </w:r>
      <w:r>
        <w:rPr>
          <w:iCs/>
          <w:i/>
        </w:rPr>
        <w:t xml:space="preserve">m</w:t>
      </w:r>
      <w:r>
        <w:t xml:space="preserve"> </w:t>
      </w:r>
      <w:r>
        <w:t xml:space="preserve">an optional message the payer supplies as the reason they are paying. The message is optional in the strict sense: most attempts carry none, and the system must decide without it.</w:t>
      </w:r>
    </w:p>
    <w:p>
      <w:pPr>
        <w:pStyle w:val="BodyText"/>
      </w:pPr>
      <w:r>
        <w:t xml:space="preserve">Write</w:t>
      </w:r>
      <w:r>
        <w:t xml:space="preserve"> </w:t>
      </w:r>
      <w:r>
        <w:rPr>
          <w:iCs/>
          <w:i/>
        </w:rPr>
        <w:t xml:space="preserve">H</w:t>
      </w:r>
      <w:r>
        <w:t xml:space="preserve">(</w:t>
      </w:r>
      <w:r>
        <w:rPr>
          <w:iCs/>
          <w:i/>
        </w:rPr>
        <w:t xml:space="preserve">τ</w:t>
      </w:r>
      <w:r>
        <w:t xml:space="preserve">) for the set of payments observed strictly before</w:t>
      </w:r>
      <w:r>
        <w:t xml:space="preserve"> </w:t>
      </w:r>
      <w:r>
        <w:rPr>
          <w:iCs/>
          <w:i/>
        </w:rPr>
        <w:t xml:space="preserve">τ</w:t>
      </w:r>
      <w:r>
        <w:t xml:space="preserve">, and let</w:t>
      </w:r>
    </w:p>
    <w:p>
      <w:pPr>
        <w:pStyle w:val="BlockText"/>
      </w:pPr>
      <w:r>
        <w:rPr>
          <w:iCs/>
          <w:i/>
        </w:rPr>
        <w:t xml:space="preserve">G</w:t>
      </w:r>
      <w:r>
        <w:t xml:space="preserve">(</w:t>
      </w:r>
      <w:r>
        <w:rPr>
          <w:iCs/>
          <w:i/>
        </w:rPr>
        <w:t xml:space="preserve">τ</w:t>
      </w:r>
      <w:r>
        <w:t xml:space="preserve">) = (</w:t>
      </w:r>
      <w:r>
        <w:rPr>
          <w:iCs/>
          <w:i/>
        </w:rPr>
        <w:t xml:space="preserve">P</w:t>
      </w:r>
      <w:r>
        <w:t xml:space="preserve"> </w:t>
      </w:r>
      <w:r>
        <w:t xml:space="preserve">∪</w:t>
      </w:r>
      <w:r>
        <w:t xml:space="preserve"> </w:t>
      </w:r>
      <w:r>
        <w:rPr>
          <w:iCs/>
          <w:i/>
        </w:rPr>
        <w:t xml:space="preserve">Q</w:t>
      </w:r>
      <w:r>
        <w:t xml:space="preserve">,</w:t>
      </w:r>
      <w:r>
        <w:t xml:space="preserve"> </w:t>
      </w:r>
      <w:r>
        <w:rPr>
          <w:iCs/>
          <w:i/>
        </w:rPr>
        <w:t xml:space="preserve">E</w:t>
      </w:r>
      <w:r>
        <w:t xml:space="preserve">(</w:t>
      </w:r>
      <w:r>
        <w:rPr>
          <w:iCs/>
          <w:i/>
        </w:rPr>
        <w:t xml:space="preserve">τ</w:t>
      </w:r>
      <w:r>
        <w:t xml:space="preserve">))</w:t>
      </w:r>
    </w:p>
    <w:p>
      <w:pPr>
        <w:pStyle w:val="FirstParagraph"/>
      </w:pPr>
      <w:r>
        <w:t xml:space="preserve">be the bipartite directed graph induced by</w:t>
      </w:r>
      <w:r>
        <w:t xml:space="preserve"> </w:t>
      </w:r>
      <w:r>
        <w:rPr>
          <w:iCs/>
          <w:i/>
        </w:rPr>
        <w:t xml:space="preserve">H</w:t>
      </w:r>
      <w:r>
        <w:t xml:space="preserve">(</w:t>
      </w:r>
      <w:r>
        <w:rPr>
          <w:iCs/>
          <w:i/>
        </w:rPr>
        <w:t xml:space="preserve">τ</w:t>
      </w:r>
      <w:r>
        <w:t xml:space="preserve">), with one edge per ordered pair that has transacted and edge weight equal to the number of payments along it. Both sides are needed:</w:t>
      </w:r>
      <w:r>
        <w:t xml:space="preserve"> </w:t>
      </w:r>
      <w:r>
        <w:rPr>
          <w:iCs/>
          <w:i/>
        </w:rPr>
        <w:t xml:space="preserve">G</w:t>
      </w:r>
      <w:r>
        <w:t xml:space="preserve"> </w:t>
      </w:r>
      <w:r>
        <w:t xml:space="preserve">is not a social graph, and a path from one payer to another through a shared payee carries no meaning we use.</w:t>
      </w:r>
    </w:p>
    <w:p>
      <w:pPr>
        <w:pStyle w:val="BodyText"/>
      </w:pPr>
      <w:r>
        <w:t xml:space="preserve">The risk bands are ordered,</w:t>
      </w:r>
    </w:p>
    <w:p>
      <w:pPr>
        <w:pStyle w:val="BlockText"/>
      </w:pPr>
      <w:r>
        <w:rPr>
          <w:iCs/>
          <w:i/>
        </w:rPr>
        <w:t xml:space="preserve">B</w:t>
      </w:r>
      <w:r>
        <w:t xml:space="preserve"> </w:t>
      </w:r>
      <w:r>
        <w:t xml:space="preserve">= { clear ≺ caution ≺ high ≺ critical },</w:t>
      </w:r>
    </w:p>
    <w:p>
      <w:pPr>
        <w:pStyle w:val="FirstParagraph"/>
      </w:pPr>
      <w:r>
        <w:t xml:space="preserve">and the system implements a decision function</w:t>
      </w:r>
    </w:p>
    <w:p>
      <w:pPr>
        <w:pStyle w:val="BlockText"/>
      </w:pPr>
      <w:r>
        <w:rPr>
          <w:iCs/>
          <w:i/>
        </w:rPr>
        <w:t xml:space="preserve">D</w:t>
      </w:r>
      <w:r>
        <w:t xml:space="preserve"> </w:t>
      </w:r>
      <w:r>
        <w:t xml:space="preserve">: (</w:t>
      </w:r>
      <w:r>
        <w:rPr>
          <w:iCs/>
          <w:i/>
        </w:rPr>
        <w:t xml:space="preserve">t</w:t>
      </w:r>
      <w:r>
        <w:t xml:space="preserve">,</w:t>
      </w:r>
      <w:r>
        <w:t xml:space="preserve"> </w:t>
      </w:r>
      <w:r>
        <w:rPr>
          <w:iCs/>
          <w:i/>
        </w:rPr>
        <w:t xml:space="preserve">H</w:t>
      </w:r>
      <w:r>
        <w:t xml:space="preserve">(</w:t>
      </w:r>
      <w:r>
        <w:rPr>
          <w:iCs/>
          <w:i/>
        </w:rPr>
        <w:t xml:space="preserve">τ</w:t>
      </w:r>
      <w:r>
        <w:t xml:space="preserve">),</w:t>
      </w:r>
      <w:r>
        <w:t xml:space="preserve"> </w:t>
      </w:r>
      <w:r>
        <w:rPr>
          <w:iCs/>
          <w:i/>
        </w:rPr>
        <w:t xml:space="preserve">G</w:t>
      </w:r>
      <w:r>
        <w:t xml:space="preserve">(</w:t>
      </w:r>
      <w:r>
        <w:rPr>
          <w:iCs/>
          <w:i/>
        </w:rPr>
        <w:t xml:space="preserve">τ</w:t>
      </w:r>
      <w:r>
        <w:t xml:space="preserve">)) → (</w:t>
      </w:r>
      <w:r>
        <w:rPr>
          <w:iCs/>
          <w:i/>
        </w:rPr>
        <w:t xml:space="preserve">b</w:t>
      </w:r>
      <w:r>
        <w:t xml:space="preserve">,</w:t>
      </w:r>
      <w:r>
        <w:t xml:space="preserve"> </w:t>
      </w:r>
      <w:r>
        <w:rPr>
          <w:iCs/>
          <w:i/>
        </w:rPr>
        <w:t xml:space="preserve">s</w:t>
      </w:r>
      <w:r>
        <w:t xml:space="preserve">,</w:t>
      </w:r>
      <w:r>
        <w:t xml:space="preserve"> </w:t>
      </w:r>
      <w:r>
        <w:rPr>
          <w:iCs/>
          <w:i/>
        </w:rPr>
        <w:t xml:space="preserve">F</w:t>
      </w:r>
      <w:r>
        <w:t xml:space="preserve">)</w:t>
      </w:r>
    </w:p>
    <w:p>
      <w:pPr>
        <w:pStyle w:val="FirstParagraph"/>
      </w:pPr>
      <w:r>
        <w:t xml:space="preserve">returning a band</w:t>
      </w:r>
      <w:r>
        <w:t xml:space="preserve"> </w:t>
      </w:r>
      <w:r>
        <w:rPr>
          <w:iCs/>
          <w:i/>
        </w:rPr>
        <w:t xml:space="preserve">b</w:t>
      </w:r>
      <w:r>
        <w:t xml:space="preserve"> </w:t>
      </w:r>
      <w:r>
        <w:t xml:space="preserve">∈</w:t>
      </w:r>
      <w:r>
        <w:t xml:space="preserve"> </w:t>
      </w:r>
      <w:r>
        <w:rPr>
          <w:iCs/>
          <w:i/>
        </w:rPr>
        <w:t xml:space="preserve">B</w:t>
      </w:r>
      <w:r>
        <w:t xml:space="preserve">, an ordinal score</w:t>
      </w:r>
      <w:r>
        <w:t xml:space="preserve"> </w:t>
      </w:r>
      <w:r>
        <w:rPr>
          <w:iCs/>
          <w:i/>
        </w:rPr>
        <w:t xml:space="preserve">s</w:t>
      </w:r>
      <w:r>
        <w:t xml:space="preserve"> </w:t>
      </w:r>
      <w:r>
        <w:t xml:space="preserve">∈ [0, 100] used for ranking and display, and a set</w:t>
      </w:r>
      <w:r>
        <w:t xml:space="preserve"> </w:t>
      </w:r>
      <w:r>
        <w:rPr>
          <w:iCs/>
          <w:i/>
        </w:rPr>
        <w:t xml:space="preserve">F</w:t>
      </w:r>
      <w:r>
        <w:t xml:space="preserve"> </w:t>
      </w:r>
      <w:r>
        <w:t xml:space="preserve">of named findings, each of which must be expressible in a sentence the payer can act on.</w:t>
      </w:r>
    </w:p>
    <w:bookmarkEnd w:id="31"/>
    <w:bookmarkStart w:id="32" w:name="b.-three-binding-constraints"/>
    <w:p>
      <w:pPr>
        <w:pStyle w:val="Heading3"/>
      </w:pPr>
      <w:r>
        <w:t xml:space="preserve">B. Three Binding Constraints</w:t>
      </w:r>
    </w:p>
    <w:p>
      <w:pPr>
        <w:pStyle w:val="FirstParagraph"/>
      </w:pPr>
      <w:r>
        <w:rPr>
          <w:bCs/>
          <w:b/>
        </w:rPr>
        <w:t xml:space="preserve">C1. The decision precedes the act.</w:t>
      </w:r>
      <w:r>
        <w:t xml:space="preserve"> </w:t>
      </w:r>
      <w:r>
        <w:rPr>
          <w:iCs/>
          <w:i/>
        </w:rPr>
        <w:t xml:space="preserve">D</w:t>
      </w:r>
      <w:r>
        <w:t xml:space="preserve"> </w:t>
      </w:r>
      <w:r>
        <w:t xml:space="preserve">must return before the payer authorises, not after. This is the difference between prevention and record-keeping on an irreversible rail, and it rules out any design in which the verdict depends on the payment having been submitted.</w:t>
      </w:r>
    </w:p>
    <w:p>
      <w:pPr>
        <w:pStyle w:val="BodyText"/>
      </w:pPr>
      <w:r>
        <w:rPr>
          <w:bCs/>
          <w:b/>
        </w:rPr>
        <w:t xml:space="preserve">C2. The decision is local.</w:t>
      </w:r>
      <w:r>
        <w:t xml:space="preserve"> </w:t>
      </w:r>
      <w:r>
        <w:rPr>
          <w:iCs/>
          <w:i/>
        </w:rPr>
        <w:t xml:space="preserve">D</w:t>
      </w:r>
      <w:r>
        <w:t xml:space="preserve"> </w:t>
      </w:r>
      <w:r>
        <w:t xml:space="preserve">may read</w:t>
      </w:r>
      <w:r>
        <w:t xml:space="preserve"> </w:t>
      </w:r>
      <w:r>
        <w:rPr>
          <w:iCs/>
          <w:i/>
        </w:rPr>
        <w:t xml:space="preserve">H</w:t>
      </w:r>
      <w:r>
        <w:t xml:space="preserve">(</w:t>
      </w:r>
      <w:r>
        <w:rPr>
          <w:iCs/>
          <w:i/>
        </w:rPr>
        <w:t xml:space="preserve">τ</w:t>
      </w:r>
      <w:r>
        <w:t xml:space="preserve">) and</w:t>
      </w:r>
      <w:r>
        <w:t xml:space="preserve"> </w:t>
      </w:r>
      <w:r>
        <w:rPr>
          <w:iCs/>
          <w:i/>
        </w:rPr>
        <w:t xml:space="preserve">G</w:t>
      </w:r>
      <w:r>
        <w:t xml:space="preserve">(</w:t>
      </w:r>
      <w:r>
        <w:rPr>
          <w:iCs/>
          <w:i/>
        </w:rPr>
        <w:t xml:space="preserve">τ</w:t>
      </w:r>
      <w:r>
        <w:t xml:space="preserve">) as held by the deployment and nothing else. No call to an external reputation service, no lookup against a hosted blocklist. The reason is C1: the check runs inside a screen the payer is waiting on, and a network round trip to a third party at that moment is a dependency the payment flow cannot absorb. We adopt a working budget of 300 ms for the whole of</w:t>
      </w:r>
      <w:r>
        <w:t xml:space="preserve"> </w:t>
      </w:r>
      <w:r>
        <w:rPr>
          <w:iCs/>
          <w:i/>
        </w:rPr>
        <w:t xml:space="preserve">D</w:t>
      </w:r>
      <w:r>
        <w:t xml:space="preserve">, excluding transport to our own service.</w:t>
      </w:r>
    </w:p>
    <w:p>
      <w:pPr>
        <w:pStyle w:val="BodyText"/>
      </w:pPr>
      <w:r>
        <w:rPr>
          <w:bCs/>
          <w:b/>
        </w:rPr>
        <w:t xml:space="preserve">C3. The finding must be explicable.</w:t>
      </w:r>
      <w:r>
        <w:t xml:space="preserve"> </w:t>
      </w:r>
      <w:r>
        <w:t xml:space="preserve">Every element of</w:t>
      </w:r>
      <w:r>
        <w:t xml:space="preserve"> </w:t>
      </w:r>
      <w:r>
        <w:rPr>
          <w:iCs/>
          <w:i/>
        </w:rPr>
        <w:t xml:space="preserve">F</w:t>
      </w:r>
      <w:r>
        <w:t xml:space="preserve"> </w:t>
      </w:r>
      <w:r>
        <w:t xml:space="preserve">carries a plain-language reason. A band raised for reasons the payer cannot be told is a band that will be dismissed. This constraint eliminates a class of otherwise attractive representations, learned graph embeddings among them, from the part of the system that produces findings.</w:t>
      </w:r>
    </w:p>
    <w:bookmarkEnd w:id="32"/>
    <w:bookmarkStart w:id="33" w:name="c.-objective-and-the-operating-point"/>
    <w:p>
      <w:pPr>
        <w:pStyle w:val="Heading3"/>
      </w:pPr>
      <w:r>
        <w:t xml:space="preserve">C. Objective and the Operating Point</w:t>
      </w:r>
    </w:p>
    <w:p>
      <w:pPr>
        <w:pStyle w:val="FirstParagraph"/>
      </w:pPr>
      <w:r>
        <w:t xml:space="preserve">Let</w:t>
      </w:r>
      <w:r>
        <w:t xml:space="preserve"> </w:t>
      </w:r>
      <w:r>
        <w:rPr>
          <w:iCs/>
          <w:i/>
        </w:rPr>
        <w:t xml:space="preserve">y</w:t>
      </w:r>
      <w:r>
        <w:t xml:space="preserve"> </w:t>
      </w:r>
      <w:r>
        <w:t xml:space="preserve">∈ {0, 1} be the true label and let the system raise a warning whenever</w:t>
      </w:r>
      <w:r>
        <w:t xml:space="preserve"> </w:t>
      </w:r>
      <w:r>
        <w:rPr>
          <w:iCs/>
          <w:i/>
        </w:rPr>
        <w:t xml:space="preserve">b</w:t>
      </w:r>
      <w:r>
        <w:t xml:space="preserve"> </w:t>
      </w:r>
      <w:r>
        <w:t xml:space="preserve">≻ clear. The naive objective is to maximise detection. We do not use it, because the two errors are asymmetric in a way that runs opposite to intuition.</w:t>
      </w:r>
    </w:p>
    <w:p>
      <w:pPr>
        <w:pStyle w:val="BodyText"/>
      </w:pPr>
      <w:r>
        <w:t xml:space="preserve">A miss costs the payer one fraudulent transfer. A false alarm costs them one additional confirmation tap, which is trivial in isolation. The cost that matters is not per-event but cumulative: a warning the payer has learned to dismiss unread protects nobody, and at that point the system has made the payer</w:t>
      </w:r>
      <w:r>
        <w:t xml:space="preserve"> </w:t>
      </w:r>
      <w:r>
        <w:rPr>
          <w:iCs/>
          <w:i/>
        </w:rPr>
        <w:t xml:space="preserve">less</w:t>
      </w:r>
      <w:r>
        <w:t xml:space="preserve"> </w:t>
      </w:r>
      <w:r>
        <w:t xml:space="preserve">safe than before it existed, because it has trained them to tap through an interruption at the moment of payment. Alert fatigue is therefore not a usability annoyance in this setting. It is the failure mode.</w:t>
      </w:r>
    </w:p>
    <w:p>
      <w:pPr>
        <w:pStyle w:val="BodyText"/>
      </w:pPr>
      <w:r>
        <w:t xml:space="preserve">We accordingly fix a false-alarm budget</w:t>
      </w:r>
      <w:r>
        <w:t xml:space="preserve"> </w:t>
      </w:r>
      <w:r>
        <w:rPr>
          <w:iCs/>
          <w:i/>
        </w:rPr>
        <w:t xml:space="preserve">α</w:t>
      </w:r>
      <w:r>
        <w:t xml:space="preserve"> </w:t>
      </w:r>
      <w:r>
        <w:t xml:space="preserve">in advance and maximise recall subject to it:</w:t>
      </w:r>
    </w:p>
    <w:p>
      <w:pPr>
        <w:pStyle w:val="BlockText"/>
      </w:pPr>
      <w:r>
        <w:t xml:space="preserve">maximise E[</w:t>
      </w:r>
      <w:r>
        <w:t xml:space="preserve"> </w:t>
      </w:r>
      <w:r>
        <w:rPr>
          <w:iCs/>
          <w:i/>
        </w:rPr>
        <w:t xml:space="preserve">b</w:t>
      </w:r>
      <w:r>
        <w:t xml:space="preserve"> </w:t>
      </w:r>
      <w:r>
        <w:t xml:space="preserve">≻ clear ∣</w:t>
      </w:r>
      <w:r>
        <w:t xml:space="preserve"> </w:t>
      </w:r>
      <w:r>
        <w:rPr>
          <w:iCs/>
          <w:i/>
        </w:rPr>
        <w:t xml:space="preserve">y</w:t>
      </w:r>
      <w:r>
        <w:t xml:space="preserve"> </w:t>
      </w:r>
      <w:r>
        <w:t xml:space="preserve">= 1 ] subject to E[</w:t>
      </w:r>
      <w:r>
        <w:t xml:space="preserve"> </w:t>
      </w:r>
      <w:r>
        <w:rPr>
          <w:iCs/>
          <w:i/>
        </w:rPr>
        <w:t xml:space="preserve">b</w:t>
      </w:r>
      <w:r>
        <w:t xml:space="preserve"> </w:t>
      </w:r>
      <w:r>
        <w:t xml:space="preserve">≻ clear ∣</w:t>
      </w:r>
      <w:r>
        <w:t xml:space="preserve"> </w:t>
      </w:r>
      <w:r>
        <w:rPr>
          <w:iCs/>
          <w:i/>
        </w:rPr>
        <w:t xml:space="preserve">y</w:t>
      </w:r>
      <w:r>
        <w:t xml:space="preserve"> </w:t>
      </w:r>
      <w:r>
        <w:t xml:space="preserve">= 0 ] ≤</w:t>
      </w:r>
      <w:r>
        <w:t xml:space="preserve"> </w:t>
      </w:r>
      <w:r>
        <w:rPr>
          <w:iCs/>
          <w:i/>
        </w:rPr>
        <w:t xml:space="preserve">α</w:t>
      </w:r>
      <w:r>
        <w:t xml:space="preserve">, with</w:t>
      </w:r>
      <w:r>
        <w:t xml:space="preserve"> </w:t>
      </w:r>
      <w:r>
        <w:rPr>
          <w:iCs/>
          <w:i/>
        </w:rPr>
        <w:t xml:space="preserve">α</w:t>
      </w:r>
      <w:r>
        <w:t xml:space="preserve"> </w:t>
      </w:r>
      <w:r>
        <w:t xml:space="preserve">= 0.01.</w:t>
      </w:r>
    </w:p>
    <w:p>
      <w:pPr>
        <w:pStyle w:val="FirstParagraph"/>
      </w:pPr>
      <w:r>
        <w:t xml:space="preserve">The value of</w:t>
      </w:r>
      <w:r>
        <w:t xml:space="preserve"> </w:t>
      </w:r>
      <w:r>
        <w:rPr>
          <w:iCs/>
          <w:i/>
        </w:rPr>
        <w:t xml:space="preserve">α</w:t>
      </w:r>
      <w:r>
        <w:t xml:space="preserve"> </w:t>
      </w:r>
      <w:r>
        <w:t xml:space="preserve">is a product decision, not a tuned hyperparameter. One interruption per hundred payments is roughly one every few months for a typical retail user, which we judge rare enough to remain salient. Section IX-B reports the sensitivity of recall to</w:t>
      </w:r>
      <w:r>
        <w:t xml:space="preserve"> </w:t>
      </w:r>
      <w:r>
        <w:rPr>
          <w:iCs/>
          <w:i/>
        </w:rPr>
        <w:t xml:space="preserve">α</w:t>
      </w:r>
      <w:r>
        <w:t xml:space="preserve">, so a deployment with different tolerance can read off its own operating point.</w:t>
      </w:r>
    </w:p>
    <w:p>
      <w:pPr>
        <w:pStyle w:val="BodyText"/>
      </w:pPr>
      <w:r>
        <w:t xml:space="preserve">Accuracy is not used anywhere in this paper. At the base rate we work with, predicting</w:t>
      </w:r>
      <w:r>
        <w:t xml:space="preserve"> </w:t>
      </w:r>
      <w:r>
        <w:t xml:space="preserve">“</w:t>
      </w:r>
      <w:r>
        <w:t xml:space="preserve">legitimate</w:t>
      </w:r>
      <w:r>
        <w:t xml:space="preserve">”</w:t>
      </w:r>
      <w:r>
        <w:t xml:space="preserve"> </w:t>
      </w:r>
      <w:r>
        <w:t xml:space="preserve">for every attempt exceeds 98%.</w:t>
      </w:r>
    </w:p>
    <w:bookmarkEnd w:id="33"/>
    <w:bookmarkStart w:id="34" w:name="d.-validity-bounds-are-not-risk"/>
    <w:p>
      <w:pPr>
        <w:pStyle w:val="Heading3"/>
      </w:pPr>
      <w:r>
        <w:t xml:space="preserve">D. Validity Bounds Are Not Risk</w:t>
      </w:r>
    </w:p>
    <w:p>
      <w:pPr>
        <w:pStyle w:val="FirstParagraph"/>
      </w:pPr>
      <w:r>
        <w:t xml:space="preserve">One class of check is separated from the above and handled before scoring. NPCI fixes a per-transaction ceiling on the rail: since 15 September 2025, ₹1,00,000 for ordinary transfers and ₹5,00,000 for signed verified-merchant collections [7]. An amount outside those bounds is not a suspicious payment. It is not a payment at all, and treating it as a high score rather than a validation failure both confuses the user and pollutes the amount feature with values the rail cannot produce. We enforce the bounds as a precondition on</w:t>
      </w:r>
      <w:r>
        <w:t xml:space="preserve"> </w:t>
      </w:r>
      <w:r>
        <w:rPr>
          <w:iCs/>
          <w:i/>
        </w:rPr>
        <w:t xml:space="preserve">t</w:t>
      </w:r>
      <w:r>
        <w:t xml:space="preserve">, from a single module that the training pipeline, the inference path and the client all read, and we discuss in Section V-C what happens to a learned model when this is done inconsistently.</w:t>
      </w:r>
    </w:p>
    <w:bookmarkEnd w:id="34"/>
    <w:bookmarkEnd w:id="35"/>
    <w:bookmarkStart w:id="40" w:name="iv.-the-pre-payment-evidence-engine"/>
    <w:p>
      <w:pPr>
        <w:pStyle w:val="Heading2"/>
      </w:pPr>
      <w:r>
        <w:t xml:space="preserve">IV. The Pre-Payment Evidence Engine</w:t>
      </w:r>
    </w:p>
    <w:bookmarkStart w:id="36" w:name="a.-architecture"/>
    <w:p>
      <w:pPr>
        <w:pStyle w:val="Heading3"/>
      </w:pPr>
      <w:r>
        <w:t xml:space="preserve">A. Architecture</w:t>
      </w:r>
    </w:p>
    <w:p>
      <w:pPr>
        <w:pStyle w:val="FirstParagraph"/>
      </w:pPr>
      <w:r>
        <w:t xml:space="preserve">PPEE sits between the payer’s intent and the payment app’s authorisation screen. The payer supplies a destination in one of three ways: an address typed or pasted, a deep link opened from a message, or a code presented to the camera. All three are reduced to the same tuple</w:t>
      </w:r>
      <w:r>
        <w:t xml:space="preserve"> </w:t>
      </w:r>
      <w:r>
        <w:rPr>
          <w:iCs/>
          <w:i/>
        </w:rPr>
        <w:t xml:space="preserve">t</w:t>
      </w:r>
      <w:r>
        <w:t xml:space="preserve"> </w:t>
      </w:r>
      <w:r>
        <w:t xml:space="preserve">before scoring.</w:t>
      </w:r>
    </w:p>
    <w:p>
      <w:pPr>
        <w:pStyle w:val="SourceCode"/>
      </w:pPr>
      <w:r>
        <w:rPr>
          <w:rStyle w:val="VerbatimChar"/>
        </w:rPr>
        <w:t xml:space="preserve">            payer intent</w:t>
      </w:r>
      <w:r>
        <w:br/>
      </w:r>
      <w:r>
        <w:rPr>
          <w:rStyle w:val="VerbatimChar"/>
        </w:rPr>
        <w:t xml:space="preserve">   typed VPA | deep link | scanned code</w:t>
      </w:r>
      <w:r>
        <w:br/>
      </w:r>
      <w:r>
        <w:rPr>
          <w:rStyle w:val="VerbatimChar"/>
        </w:rPr>
        <w:t xml:space="preserve">                  |</w:t>
      </w:r>
      <w:r>
        <w:br/>
      </w:r>
      <w:r>
        <w:rPr>
          <w:rStyle w:val="VerbatimChar"/>
        </w:rPr>
        <w:t xml:space="preserve">        [ on-device decode + parse ]        &lt;- image never transmitted</w:t>
      </w:r>
      <w:r>
        <w:br/>
      </w:r>
      <w:r>
        <w:rPr>
          <w:rStyle w:val="VerbatimChar"/>
        </w:rPr>
        <w:t xml:space="preserve">                  |</w:t>
      </w:r>
      <w:r>
        <w:br/>
      </w:r>
      <w:r>
        <w:rPr>
          <w:rStyle w:val="VerbatimChar"/>
        </w:rPr>
        <w:t xml:space="preserve">        [ validity bounds (Sec. III-D) ]    -&gt; reject, not score</w:t>
      </w:r>
      <w:r>
        <w:br/>
      </w:r>
      <w:r>
        <w:rPr>
          <w:rStyle w:val="VerbatimChar"/>
        </w:rPr>
        <w:t xml:space="preserve">                  |</w:t>
      </w:r>
      <w:r>
        <w:br/>
      </w:r>
      <w:r>
        <w:rPr>
          <w:rStyle w:val="VerbatimChar"/>
        </w:rPr>
        <w:t xml:space="preserve">     +------------+------------+------------+</w:t>
      </w:r>
      <w:r>
        <w:br/>
      </w:r>
      <w:r>
        <w:rPr>
          <w:rStyle w:val="VerbatimChar"/>
        </w:rPr>
        <w:t xml:space="preserve">     |            |            |            |</w:t>
      </w:r>
      <w:r>
        <w:br/>
      </w:r>
      <w:r>
        <w:rPr>
          <w:rStyle w:val="VerbatimChar"/>
        </w:rPr>
        <w:t xml:space="preserve">   CH-1         CH-2         CH-3         CH-4</w:t>
      </w:r>
      <w:r>
        <w:br/>
      </w:r>
      <w:r>
        <w:rPr>
          <w:rStyle w:val="VerbatimChar"/>
        </w:rPr>
        <w:t xml:space="preserve">  payer        payee        identifier    message</w:t>
      </w:r>
      <w:r>
        <w:br/>
      </w:r>
      <w:r>
        <w:rPr>
          <w:rStyle w:val="VerbatimChar"/>
        </w:rPr>
        <w:t xml:space="preserve"> behaviour   inflow shape   &amp; payload    language</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 escalation-only fusion (Sec. IV-C) ]</w:t>
      </w:r>
      <w:r>
        <w:br/>
      </w:r>
      <w:r>
        <w:rPr>
          <w:rStyle w:val="VerbatimChar"/>
        </w:rPr>
        <w:t xml:space="preserve">                  |</w:t>
      </w:r>
      <w:r>
        <w:br/>
      </w:r>
      <w:r>
        <w:rPr>
          <w:rStyle w:val="VerbatimChar"/>
        </w:rPr>
        <w:t xml:space="preserve">        band b, score s, findings F</w:t>
      </w:r>
      <w:r>
        <w:br/>
      </w:r>
      <w:r>
        <w:rPr>
          <w:rStyle w:val="VerbatimChar"/>
        </w:rPr>
        <w:t xml:space="preserve">                  |</w:t>
      </w:r>
      <w:r>
        <w:br/>
      </w:r>
      <w:r>
        <w:rPr>
          <w:rStyle w:val="VerbatimChar"/>
        </w:rPr>
        <w:t xml:space="preserve">          payer-facing interstitial</w:t>
      </w:r>
    </w:p>
    <w:p>
      <w:pPr>
        <w:pStyle w:val="FirstParagraph"/>
      </w:pPr>
      <w:r>
        <w:rPr>
          <w:iCs/>
          <w:i/>
        </w:rPr>
        <w:t xml:space="preserve">Fig. 1. Evidence flow through PPEE. Channels are scored independently and merged once.</w:t>
      </w:r>
    </w:p>
    <w:p>
      <w:pPr>
        <w:pStyle w:val="BodyText"/>
      </w:pPr>
      <w:r>
        <w:t xml:space="preserve">Decoding happens on the payer’s device. For a scanned code, the image is reduced to the embedded string locally and only that string is transmitted, which keeps the check usable on a poor connection and removes an entire category of data handling from the deployment. Our decoder attempts the native browser barcode interface first and falls back to a JavaScript decoder loaded on demand, running four preprocessing passes in sequence: fixed-width resize, original resolution, contrast stretch at fixed width, and contrast stretch at enlarged width. We implemented rotation passes as well and removed them after instrumentation: across our fixture set they never produced a decode the other passes had missed, which is expected given that the finder patterns make the symbol rotation-invariant by construction.</w:t>
      </w:r>
    </w:p>
    <w:bookmarkEnd w:id="36"/>
    <w:bookmarkStart w:id="37" w:name="b.-the-four-channels"/>
    <w:p>
      <w:pPr>
        <w:pStyle w:val="Heading3"/>
      </w:pPr>
      <w:r>
        <w:t xml:space="preserve">B. The Four Channels</w:t>
      </w:r>
    </w:p>
    <w:p>
      <w:pPr>
        <w:pStyle w:val="FirstParagraph"/>
      </w:pPr>
      <w:r>
        <w:rPr>
          <w:bCs/>
          <w:b/>
        </w:rPr>
        <w:t xml:space="preserve">CH-1, payer behaviour.</w:t>
      </w:r>
      <w:r>
        <w:t xml:space="preserve"> </w:t>
      </w:r>
      <w:r>
        <w:t xml:space="preserve">Compares the attempt against the payer’s own record: amount relative to their median, inter-arrival percentile within their own history, familiarity of the hour band, and short-window count. Every comparison is self-relative. ₹40,000 is routine for someone whose median payment is ₹35,000 and extraordinary for someone whose median is ₹200, and a population-relative feature cannot express the difference.</w:t>
      </w:r>
    </w:p>
    <w:p>
      <w:pPr>
        <w:pStyle w:val="BodyText"/>
      </w:pPr>
      <w:r>
        <w:rPr>
          <w:bCs/>
          <w:b/>
        </w:rPr>
        <w:t xml:space="preserve">CH-2, inflow shape.</w:t>
      </w:r>
      <w:r>
        <w:t xml:space="preserve"> </w:t>
      </w:r>
      <w:r>
        <w:t xml:space="preserve">Characterises the receiving address by the form of money arriving at it. We define the</w:t>
      </w:r>
      <w:r>
        <w:t xml:space="preserve"> </w:t>
      </w:r>
      <w:r>
        <w:rPr>
          <w:bCs/>
          <w:b/>
        </w:rPr>
        <w:t xml:space="preserve">inflow shape signature</w:t>
      </w:r>
      <w:r>
        <w:t xml:space="preserve"> </w:t>
      </w:r>
      <w:r>
        <w:t xml:space="preserve">of</w:t>
      </w:r>
      <w:r>
        <w:t xml:space="preserve"> </w:t>
      </w:r>
      <w:r>
        <w:rPr>
          <w:iCs/>
          <w:i/>
        </w:rPr>
        <w:t xml:space="preserve">q</w:t>
      </w:r>
      <w:r>
        <w:t xml:space="preserve"> </w:t>
      </w:r>
      <w:r>
        <w:t xml:space="preserve">at time</w:t>
      </w:r>
      <w:r>
        <w:t xml:space="preserve"> </w:t>
      </w:r>
      <w:r>
        <w:rPr>
          <w:iCs/>
          <w:i/>
        </w:rPr>
        <w:t xml:space="preserve">τ</w:t>
      </w:r>
      <w:r>
        <w:t xml:space="preserve"> </w:t>
      </w:r>
      <w:r>
        <w:t xml:space="preserve">as the triple</w:t>
      </w:r>
    </w:p>
    <w:p>
      <w:pPr>
        <w:pStyle w:val="BlockText"/>
      </w:pPr>
      <w:r>
        <w:t xml:space="preserve">ISS(</w:t>
      </w:r>
      <w:r>
        <w:rPr>
          <w:iCs/>
          <w:i/>
        </w:rPr>
        <w:t xml:space="preserve">q</w:t>
      </w:r>
      <w:r>
        <w:t xml:space="preserve">,</w:t>
      </w:r>
      <w:r>
        <w:t xml:space="preserve"> </w:t>
      </w:r>
      <w:r>
        <w:rPr>
          <w:iCs/>
          <w:i/>
        </w:rPr>
        <w:t xml:space="preserve">τ</w:t>
      </w:r>
      <w:r>
        <w:t xml:space="preserve">) = (</w:t>
      </w:r>
      <w:r>
        <w:t xml:space="preserve"> </w:t>
      </w:r>
      <w:r>
        <w:rPr>
          <w:iCs/>
          <w:i/>
        </w:rPr>
        <w:t xml:space="preserve">ρ</w:t>
      </w:r>
      <w:r>
        <w:t xml:space="preserve">,</w:t>
      </w:r>
      <w:r>
        <w:t xml:space="preserve"> </w:t>
      </w:r>
      <w:r>
        <w:rPr>
          <w:iCs/>
          <w:i/>
        </w:rPr>
        <w:t xml:space="preserve">β</w:t>
      </w:r>
      <w:r>
        <w:t xml:space="preserve">,</w:t>
      </w:r>
      <w:r>
        <w:t xml:space="preserve"> </w:t>
      </w:r>
      <w:r>
        <w:rPr>
          <w:iCs/>
          <w:i/>
        </w:rPr>
        <w:t xml:space="preserve">α</w:t>
      </w:r>
      <w:r>
        <w:t xml:space="preserve">ₐ )</w:t>
      </w:r>
    </w:p>
    <w:p>
      <w:pPr>
        <w:pStyle w:val="FirstParagraph"/>
      </w:pPr>
      <w:r>
        <w:t xml:space="preserve">where</w:t>
      </w:r>
      <w:r>
        <w:t xml:space="preserve"> </w:t>
      </w:r>
      <w:r>
        <w:rPr>
          <w:iCs/>
          <w:i/>
        </w:rPr>
        <w:t xml:space="preserve">ρ</w:t>
      </w:r>
      <w:r>
        <w:t xml:space="preserve"> </w:t>
      </w:r>
      <w:r>
        <w:t xml:space="preserve">is the repeat-payer fraction, the share of distinct payers of</w:t>
      </w:r>
      <w:r>
        <w:t xml:space="preserve"> </w:t>
      </w:r>
      <w:r>
        <w:rPr>
          <w:iCs/>
          <w:i/>
        </w:rPr>
        <w:t xml:space="preserve">q</w:t>
      </w:r>
      <w:r>
        <w:t xml:space="preserve"> </w:t>
      </w:r>
      <w:r>
        <w:t xml:space="preserve">that have paid it more than once;</w:t>
      </w:r>
      <w:r>
        <w:t xml:space="preserve"> </w:t>
      </w:r>
      <w:r>
        <w:rPr>
          <w:iCs/>
          <w:i/>
        </w:rPr>
        <w:t xml:space="preserve">β</w:t>
      </w:r>
      <w:r>
        <w:t xml:space="preserve"> </w:t>
      </w:r>
      <w:r>
        <w:t xml:space="preserve">is the arrival burst, the count of payments received in the last hour divided by the mean hourly rate over the last day; and</w:t>
      </w:r>
      <w:r>
        <w:t xml:space="preserve"> </w:t>
      </w:r>
      <w:r>
        <w:rPr>
          <w:iCs/>
          <w:i/>
        </w:rPr>
        <w:t xml:space="preserve">α</w:t>
      </w:r>
      <w:r>
        <w:t xml:space="preserve">ₐ is the age of</w:t>
      </w:r>
      <w:r>
        <w:t xml:space="preserve"> </w:t>
      </w:r>
      <w:r>
        <w:rPr>
          <w:iCs/>
          <w:i/>
        </w:rPr>
        <w:t xml:space="preserve">q</w:t>
      </w:r>
      <w:r>
        <w:t xml:space="preserve"> </w:t>
      </w:r>
      <w:r>
        <w:t xml:space="preserve">in days since first observation. The signature deliberately excludes degree. A street vendor and a collection account may both receive sixty payments in a day. They differ in that the vendor’s customers come back (</w:t>
      </w:r>
      <w:r>
        <w:rPr>
          <w:iCs/>
          <w:i/>
        </w:rPr>
        <w:t xml:space="preserve">ρ</w:t>
      </w:r>
      <w:r>
        <w:t xml:space="preserve"> </w:t>
      </w:r>
      <w:r>
        <w:t xml:space="preserve">high) and arrive spread through trading hours (</w:t>
      </w:r>
      <w:r>
        <w:rPr>
          <w:iCs/>
          <w:i/>
        </w:rPr>
        <w:t xml:space="preserve">β</w:t>
      </w:r>
      <w:r>
        <w:t xml:space="preserve"> </w:t>
      </w:r>
      <w:r>
        <w:t xml:space="preserve">near 1), while the collection account’s payers each pay once (</w:t>
      </w:r>
      <w:r>
        <w:rPr>
          <w:iCs/>
          <w:i/>
        </w:rPr>
        <w:t xml:space="preserve">ρ</w:t>
      </w:r>
      <w:r>
        <w:t xml:space="preserve"> </w:t>
      </w:r>
      <w:r>
        <w:t xml:space="preserve">near 0) inside a narrow window (</w:t>
      </w:r>
      <w:r>
        <w:rPr>
          <w:iCs/>
          <w:i/>
        </w:rPr>
        <w:t xml:space="preserve">β</w:t>
      </w:r>
      <w:r>
        <w:t xml:space="preserve"> </w:t>
      </w:r>
      <w:r>
        <w:t xml:space="preserve">large) into an address opened last week (</w:t>
      </w:r>
      <w:r>
        <w:rPr>
          <w:iCs/>
          <w:i/>
        </w:rPr>
        <w:t xml:space="preserve">α</w:t>
      </w:r>
      <w:r>
        <w:t xml:space="preserve">ₐ small). Scoring by degree penalises the vendor. Scoring by shape does not.</w:t>
      </w:r>
    </w:p>
    <w:p>
      <w:pPr>
        <w:pStyle w:val="BodyText"/>
      </w:pPr>
      <w:r>
        <w:rPr>
          <w:bCs/>
          <w:b/>
        </w:rPr>
        <w:t xml:space="preserve">CH-3, identifier and payload.</w:t>
      </w:r>
      <w:r>
        <w:t xml:space="preserve"> </w:t>
      </w:r>
      <w:r>
        <w:t xml:space="preserve">Folds the address under the confusable mapping of [9] and tests for collision with a set of institutional handles; a folded collision on an address that is not literally the institutional handle is the strongest single deterministic finding we emit. Also validates the provider handle against those actually issued, and, for a deep link, compares the payee-name field carried in the link against the address being credited, since a mismatch is the signature of a substituted code.</w:t>
      </w:r>
    </w:p>
    <w:p>
      <w:pPr>
        <w:pStyle w:val="BodyText"/>
      </w:pPr>
      <w:r>
        <w:rPr>
          <w:bCs/>
          <w:b/>
        </w:rPr>
        <w:t xml:space="preserve">CH-4, message language.</w:t>
      </w:r>
      <w:r>
        <w:t xml:space="preserve"> </w:t>
      </w:r>
      <w:r>
        <w:t xml:space="preserve">Scores a supplied message for coercive framing. The channel reports the phrases responsible, which satisfies C3, and is described in Section VIII-C.</w:t>
      </w:r>
    </w:p>
    <w:bookmarkEnd w:id="37"/>
    <w:bookmarkStart w:id="38" w:name="c.-escalation-only-fusion"/>
    <w:p>
      <w:pPr>
        <w:pStyle w:val="Heading3"/>
      </w:pPr>
      <w:r>
        <w:t xml:space="preserve">C. Escalation-Only Fusion</w:t>
      </w:r>
    </w:p>
    <w:p>
      <w:pPr>
        <w:pStyle w:val="FirstParagraph"/>
      </w:pPr>
      <w:r>
        <w:t xml:space="preserve">Each channel emits findings. A finding carries a severity level</w:t>
      </w:r>
      <w:r>
        <w:t xml:space="preserve"> </w:t>
      </w:r>
      <w:r>
        <w:rPr>
          <w:iCs/>
          <w:i/>
        </w:rPr>
        <w:t xml:space="preserve">σ</w:t>
      </w:r>
      <w:r>
        <w:t xml:space="preserve"> </w:t>
      </w:r>
      <w:r>
        <w:t xml:space="preserve">∈ {info, warn, high, critical} and a weight. Fusion obeys one rule:</w:t>
      </w:r>
    </w:p>
    <w:p>
      <w:pPr>
        <w:pStyle w:val="BlockText"/>
      </w:pPr>
      <w:r>
        <w:rPr>
          <w:bCs/>
          <w:b/>
        </w:rPr>
        <w:t xml:space="preserve">Any channel may raise the band. No channel may lower a band another channel has raised.</w:t>
      </w:r>
    </w:p>
    <w:p>
      <w:pPr>
        <w:pStyle w:val="FirstParagraph"/>
      </w:pPr>
      <w:r>
        <w:t xml:space="preserve">The rule is not a heuristic for combining uncertain opinions. It follows from the blindness results in Table I. CH-1 does not read the characters of the address, so a transfer to a handle spelled with a Cyrillic character that resembles a Latin one produces a feature vector identical to a transfer to the genuine handle. The behavioural model will score it low, correctly given its inputs and disastrously given the facts. Symmetrically, CH-3 sees a perfectly well-formed, correctly issued address and has no way to know that four hundred strangers have paid it this week. If either channel could veto the other, the channel that is blind to a given attack would be permitted to overrule the channel that can see it, and every row of Table I supplies a concrete instance.</w:t>
      </w:r>
    </w:p>
    <w:p>
      <w:pPr>
        <w:pStyle w:val="BodyText"/>
      </w:pPr>
      <w:r>
        <w:t xml:space="preserve">We write the rule as Algorithm 1.</w:t>
      </w:r>
    </w:p>
    <w:p>
      <w:pPr>
        <w:pStyle w:val="SourceCode"/>
      </w:pPr>
      <w:r>
        <w:rPr>
          <w:rStyle w:val="VerbatimChar"/>
        </w:rPr>
        <w:t xml:space="preserve">Algorithm 1: Escalation-only fusion</w:t>
      </w:r>
      <w:r>
        <w:br/>
      </w:r>
      <w:r>
        <w:br/>
      </w:r>
      <w:r>
        <w:rPr>
          <w:rStyle w:val="VerbatimChar"/>
        </w:rPr>
        <w:t xml:space="preserve">input : findings F1..F4 from CH-1..CH-4; calibrated p from CH-1</w:t>
      </w:r>
      <w:r>
        <w:br/>
      </w:r>
      <w:r>
        <w:rPr>
          <w:rStyle w:val="VerbatimChar"/>
        </w:rPr>
        <w:t xml:space="preserve">output: band b, score s</w:t>
      </w:r>
      <w:r>
        <w:br/>
      </w:r>
      <w:r>
        <w:br/>
      </w:r>
      <w:r>
        <w:rPr>
          <w:rStyle w:val="VerbatimChar"/>
        </w:rPr>
        <w:t xml:space="preserve"> 1  b &lt;- clear ; s &lt;- 0</w:t>
      </w:r>
      <w:r>
        <w:br/>
      </w:r>
      <w:r>
        <w:rPr>
          <w:rStyle w:val="VerbatimChar"/>
        </w:rPr>
        <w:t xml:space="preserve"> 2  for each channel i in 1..4 do</w:t>
      </w:r>
      <w:r>
        <w:br/>
      </w:r>
      <w:r>
        <w:rPr>
          <w:rStyle w:val="VerbatimChar"/>
        </w:rPr>
        <w:t xml:space="preserve"> 3      bi &lt;- band justified by channel i alone</w:t>
      </w:r>
      <w:r>
        <w:br/>
      </w:r>
      <w:r>
        <w:rPr>
          <w:rStyle w:val="VerbatimChar"/>
        </w:rPr>
        <w:t xml:space="preserve"> 4      b  &lt;- max(b, bi)                    // ordered by Sec. III-A</w:t>
      </w:r>
      <w:r>
        <w:br/>
      </w:r>
      <w:r>
        <w:rPr>
          <w:rStyle w:val="VerbatimChar"/>
        </w:rPr>
        <w:t xml:space="preserve"> 5      s  &lt;- s + sum( weight(f) for f in Fi )</w:t>
      </w:r>
      <w:r>
        <w:br/>
      </w:r>
      <w:r>
        <w:rPr>
          <w:rStyle w:val="VerbatimChar"/>
        </w:rPr>
        <w:t xml:space="preserve"> 6  end</w:t>
      </w:r>
      <w:r>
        <w:br/>
      </w:r>
      <w:r>
        <w:rPr>
          <w:rStyle w:val="VerbatimChar"/>
        </w:rPr>
        <w:t xml:space="preserve"> 7  s &lt;- min(100, s)</w:t>
      </w:r>
      <w:r>
        <w:br/>
      </w:r>
      <w:r>
        <w:rPr>
          <w:rStyle w:val="VerbatimChar"/>
        </w:rPr>
        <w:t xml:space="preserve"> 8  // agreement across channels, not repetition within one</w:t>
      </w:r>
      <w:r>
        <w:br/>
      </w:r>
      <w:r>
        <w:rPr>
          <w:rStyle w:val="VerbatimChar"/>
        </w:rPr>
        <w:t xml:space="preserve"> 9  k &lt;- |{ i : bi &gt; clear }|</w:t>
      </w:r>
      <w:r>
        <w:br/>
      </w:r>
      <w:r>
        <w:rPr>
          <w:rStyle w:val="VerbatimChar"/>
        </w:rPr>
        <w:t xml:space="preserve">10  if k &gt;= 2 then b &lt;- max(b, high)</w:t>
      </w:r>
      <w:r>
        <w:br/>
      </w:r>
      <w:r>
        <w:rPr>
          <w:rStyle w:val="VerbatimChar"/>
        </w:rPr>
        <w:t xml:space="preserve">11  if k &gt;= 3 then b &lt;- critical</w:t>
      </w:r>
      <w:r>
        <w:br/>
      </w:r>
      <w:r>
        <w:rPr>
          <w:rStyle w:val="VerbatimChar"/>
        </w:rPr>
        <w:t xml:space="preserve">12  return (b, s)</w:t>
      </w:r>
    </w:p>
    <w:p>
      <w:pPr>
        <w:pStyle w:val="FirstParagraph"/>
      </w:pPr>
      <w:r>
        <w:t xml:space="preserve">Lines 9 to 11 encode the second observation from Section II-E. Four correlated findings inside one channel are one piece of evidence seen four times. Two channels agreeing is a different thing, because their error modes are not shared, and the rule treats it as such. Line 4 is the escalation-only constraint itself, and there is no operation anywhere in the algorithm that decreases</w:t>
      </w:r>
      <w:r>
        <w:t xml:space="preserve"> </w:t>
      </w:r>
      <w:r>
        <w:rPr>
          <w:iCs/>
          <w:i/>
        </w:rPr>
        <w:t xml:space="preserve">b</w:t>
      </w:r>
      <w:r>
        <w:t xml:space="preserve">.</w:t>
      </w:r>
    </w:p>
    <w:bookmarkEnd w:id="38"/>
    <w:bookmarkStart w:id="39" w:name="d.-severity-banded-weighting"/>
    <w:p>
      <w:pPr>
        <w:pStyle w:val="Heading3"/>
      </w:pPr>
      <w:r>
        <w:t xml:space="preserve">D. Severity-Banded Weighting</w:t>
      </w:r>
    </w:p>
    <w:p>
      <w:pPr>
        <w:pStyle w:val="FirstParagraph"/>
      </w:pPr>
      <w:r>
        <w:t xml:space="preserve">An early version of the scorer assigned every finding of a given severity a fixed weight. Because a handful of common findings fire on most checks, the resulting score sat at almost the same value regardless of what was actually wrong, and carried close to no information. The fix lets each finding compute its own weight as a continuous function of its evidence while clamping that weight into a band determined by its severity: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Severity</w:t>
            </w:r>
          </w:p>
        </w:tc>
        <w:tc>
          <w:tcPr/>
          <w:p>
            <w:pPr>
              <w:pStyle w:val="Compact"/>
              <w:jc w:val="left"/>
            </w:pPr>
            <w:r>
              <w:t xml:space="preserve">Weight band</w:t>
            </w:r>
          </w:p>
        </w:tc>
      </w:tr>
      <w:tr>
        <w:tc>
          <w:tcPr/>
          <w:p>
            <w:pPr>
              <w:pStyle w:val="Compact"/>
              <w:jc w:val="left"/>
            </w:pPr>
            <w:r>
              <w:t xml:space="preserve">info</w:t>
            </w:r>
          </w:p>
        </w:tc>
        <w:tc>
          <w:tcPr/>
          <w:p>
            <w:pPr>
              <w:pStyle w:val="Compact"/>
              <w:jc w:val="left"/>
            </w:pPr>
            <w:r>
              <w:t xml:space="preserve">0</w:t>
            </w:r>
          </w:p>
        </w:tc>
      </w:tr>
      <w:tr>
        <w:tc>
          <w:tcPr/>
          <w:p>
            <w:pPr>
              <w:pStyle w:val="Compact"/>
              <w:jc w:val="left"/>
            </w:pPr>
            <w:r>
              <w:t xml:space="preserve">warn</w:t>
            </w:r>
          </w:p>
        </w:tc>
        <w:tc>
          <w:tcPr/>
          <w:p>
            <w:pPr>
              <w:pStyle w:val="Compact"/>
              <w:jc w:val="left"/>
            </w:pPr>
            <w:r>
              <w:t xml:space="preserve">6 - 22</w:t>
            </w:r>
          </w:p>
        </w:tc>
      </w:tr>
      <w:tr>
        <w:tc>
          <w:tcPr/>
          <w:p>
            <w:pPr>
              <w:pStyle w:val="Compact"/>
              <w:jc w:val="left"/>
            </w:pPr>
            <w:r>
              <w:t xml:space="preserve">high</w:t>
            </w:r>
          </w:p>
        </w:tc>
        <w:tc>
          <w:tcPr/>
          <w:p>
            <w:pPr>
              <w:pStyle w:val="Compact"/>
              <w:jc w:val="left"/>
            </w:pPr>
            <w:r>
              <w:t xml:space="preserve">24 - 52</w:t>
            </w:r>
          </w:p>
        </w:tc>
      </w:tr>
      <w:tr>
        <w:tc>
          <w:tcPr/>
          <w:p>
            <w:pPr>
              <w:pStyle w:val="Compact"/>
              <w:jc w:val="left"/>
            </w:pPr>
            <w:r>
              <w:t xml:space="preserve">critical</w:t>
            </w:r>
          </w:p>
        </w:tc>
        <w:tc>
          <w:tcPr/>
          <w:p>
            <w:pPr>
              <w:pStyle w:val="Compact"/>
              <w:jc w:val="left"/>
            </w:pPr>
            <w:r>
              <w:t xml:space="preserve">60 - 100</w:t>
            </w:r>
          </w:p>
        </w:tc>
      </w:tr>
    </w:tbl>
    <w:p>
      <w:pPr>
        <w:pStyle w:val="BodyText"/>
      </w:pPr>
      <w:r>
        <w:rPr>
          <w:iCs/>
          <w:i/>
        </w:rPr>
        <w:t xml:space="preserve">Table II. Severity bands for finding weights.</w:t>
      </w:r>
    </w:p>
    <w:p>
      <w:pPr>
        <w:pStyle w:val="BodyText"/>
      </w:pPr>
      <w:r>
        <w:t xml:space="preserve">This preserves two properties at once. Inside a severity the score is graded, so an address opened one day ago and one opened twenty-five days ago no longer produce the same number. Across severities the bands do not overlap, so accumulating minor findings can never outrank a single critical one and the ordering of verdicts cannot be inverted by volume of weak evidence.</w:t>
      </w:r>
    </w:p>
    <w:p>
      <w:pPr>
        <w:pStyle w:val="BodyText"/>
      </w:pPr>
      <w:r>
        <w:t xml:space="preserve">The interpolation helper that grades a weight takes a range, a value and an output interval. Its guard must test for an empty range and not for an inverted one, because several of our findings use a deliberately descending range where a larger input means lower risk, account age being the obvious case. We record this because our first implementation guarded on the wrong condition, silently collapsed every descending range to a constant, and reproduced the flat-score defect it was written to fix inside the fix itself.</w:t>
      </w:r>
    </w:p>
    <w:bookmarkEnd w:id="39"/>
    <w:bookmarkEnd w:id="40"/>
    <w:bookmarkStart w:id="45" w:name="v.-corpus-construction"/>
    <w:p>
      <w:pPr>
        <w:pStyle w:val="Heading2"/>
      </w:pPr>
      <w:r>
        <w:t xml:space="preserve">V. Corpus Construction</w:t>
      </w:r>
    </w:p>
    <w:bookmarkStart w:id="41" w:name="a.-why-the-corpus-is-generated"/>
    <w:p>
      <w:pPr>
        <w:pStyle w:val="Heading3"/>
      </w:pPr>
      <w:r>
        <w:t xml:space="preserve">A. Why the Corpus Is Generated</w:t>
      </w:r>
    </w:p>
    <w:p>
      <w:pPr>
        <w:pStyle w:val="FirstParagraph"/>
      </w:pPr>
      <w:r>
        <w:t xml:space="preserve">No public labelled corpus of UPI transactions exists, and the reason is structural rather than accidental. Transaction records are held by the remitter bank, the beneficiary bank and NPCI. Every record contains the addresses of both parties, which are directly identifying and therefore within scope of the Digital Personal Data Protection Act, 2023 [18]. Labels, where they exist, come from complaint and investigation processes that are themselves confidential. The card-fraud corpora commonly used as substitutes carry no payee identity and no graph structure, which is exactly the information this work depends on, and their fraud classes do not include the one we care most about.</w:t>
      </w:r>
    </w:p>
    <w:p>
      <w:pPr>
        <w:pStyle w:val="BodyText"/>
      </w:pPr>
      <w:r>
        <w:t xml:space="preserve">We therefore generate the corpus, and we accept the limitation this places on every number in Section IX. Three measures keep the generator from simply confirming the design.</w:t>
      </w:r>
    </w:p>
    <w:p>
      <w:pPr>
        <w:pStyle w:val="BodyText"/>
      </w:pPr>
      <w:r>
        <w:t xml:space="preserve">First, the mix of attack modes is set to the composition reported in aggregate by regulators [1], [7], rather than chosen for balance.</w:t>
      </w:r>
    </w:p>
    <w:p>
      <w:pPr>
        <w:pStyle w:val="BodyText"/>
      </w:pPr>
      <w:r>
        <w:t xml:space="preserve">Second, the generator is written against the model rather than for it. Wherever an attack mode admitted an easy and a hard construction, we used the hard one. Mode M4 in particular is built to be behaviourally indistinguishable from a legitimate payment, and the measured recall on it is correspondingly poor. A generator tuned to flatter would have yielded a much better headline figure and a much less useful paper.</w:t>
      </w:r>
    </w:p>
    <w:p>
      <w:pPr>
        <w:pStyle w:val="BodyText"/>
      </w:pPr>
      <w:r>
        <w:t xml:space="preserve">Third, the parts of the system that face real input formats are validated on real input formats. The decoder and the deep-link parser are tested against genuine codes photographed in the field, and the statement importer against genuine exports from four wallet applications. Only the transaction stream is synthetic.</w:t>
      </w:r>
    </w:p>
    <w:bookmarkEnd w:id="41"/>
    <w:bookmarkStart w:id="42" w:name="b.-population-before-transactions"/>
    <w:p>
      <w:pPr>
        <w:pStyle w:val="Heading3"/>
      </w:pPr>
      <w:r>
        <w:t xml:space="preserve">B. Population Before Transactions</w:t>
      </w:r>
    </w:p>
    <w:p>
      <w:pPr>
        <w:pStyle w:val="FirstParagraph"/>
      </w:pPr>
      <w:r>
        <w:t xml:space="preserve">The generator builds a population before it builds any payment. Each synthetic payer carries latent attributes that govern behaviour across the whole simulated period: a habitual payment size drawn log-normally with</w:t>
      </w:r>
      <w:r>
        <w:t xml:space="preserve"> </w:t>
      </w:r>
      <w:r>
        <w:rPr>
          <w:iCs/>
          <w:i/>
        </w:rPr>
        <w:t xml:space="preserve">σ</w:t>
      </w:r>
      <w:r>
        <w:t xml:space="preserve"> </w:t>
      </w:r>
      <w:r>
        <w:t xml:space="preserve">= 1.1, a Poisson activity rate, a circle of habitual payees sampled with preferential attachment, and a binary attribute we call</w:t>
      </w:r>
      <w:r>
        <w:t xml:space="preserve"> </w:t>
      </w:r>
      <w:r>
        <w:rPr>
          <w:iCs/>
          <w:i/>
        </w:rPr>
        <w:t xml:space="preserve">large-payer</w:t>
      </w:r>
      <w:r>
        <w:t xml:space="preserve"> </w:t>
      </w:r>
      <w:r>
        <w:t xml:space="preserve">that is set for 12% of the population.</w:t>
      </w:r>
    </w:p>
    <w:p>
      <w:pPr>
        <w:pStyle w:val="BodyText"/>
      </w:pPr>
      <w:r>
        <w:t xml:space="preserve">The large-payer attribute exists because of a defect, and the episode is worth recording since it generalises. Our first generator drew every legitimate amount from one distribution. Almost no legitimate payment exceeded ₹70,000, while several attack modes routinely did, and the conditional probability of fraud given an amount above ₹70,000 came out at 0.90. The classifier learned, correctly for that corpus and uselessly for the world, that a large amount is nearly sufficient evidence. Introducing a minority of payers who genuinely send large amounts, people paying rent, tuition or supplier invoices, brought that conditional down to 0.206, a lift of 17.4 over the base rate. The feature stays informative without standing in for the label. Real populations contain such payers; a generator that omits them teaches a rule that fails on the first landlord it meets.</w:t>
      </w:r>
    </w:p>
    <w:bookmarkEnd w:id="42"/>
    <w:bookmarkStart w:id="43" w:name="c.-attack-modes"/>
    <w:p>
      <w:pPr>
        <w:pStyle w:val="Heading3"/>
      </w:pPr>
      <w:r>
        <w:t xml:space="preserve">C. Attack Modes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w:t>
            </w:r>
          </w:p>
        </w:tc>
        <w:tc>
          <w:tcPr/>
          <w:p>
            <w:pPr>
              <w:pStyle w:val="Compact"/>
              <w:jc w:val="left"/>
            </w:pPr>
            <w:r>
              <w:t xml:space="preserve">Name</w:t>
            </w:r>
          </w:p>
        </w:tc>
        <w:tc>
          <w:tcPr/>
          <w:p>
            <w:pPr>
              <w:pStyle w:val="Compact"/>
              <w:jc w:val="left"/>
            </w:pPr>
            <w:r>
              <w:t xml:space="preserve">Construction</w:t>
            </w:r>
          </w:p>
        </w:tc>
        <w:tc>
          <w:tcPr/>
          <w:p>
            <w:pPr>
              <w:pStyle w:val="Compact"/>
              <w:jc w:val="left"/>
            </w:pPr>
            <w:r>
              <w:t xml:space="preserve">Share</w:t>
            </w:r>
          </w:p>
        </w:tc>
      </w:tr>
      <w:tr>
        <w:tc>
          <w:tcPr/>
          <w:p>
            <w:pPr>
              <w:pStyle w:val="Compact"/>
              <w:jc w:val="left"/>
            </w:pPr>
            <w:r>
              <w:t xml:space="preserve">M1</w:t>
            </w:r>
          </w:p>
        </w:tc>
        <w:tc>
          <w:tcPr/>
          <w:p>
            <w:pPr>
              <w:pStyle w:val="Compact"/>
              <w:jc w:val="left"/>
            </w:pPr>
            <w:r>
              <w:t xml:space="preserve">Probe burst</w:t>
            </w:r>
          </w:p>
        </w:tc>
        <w:tc>
          <w:tcPr/>
          <w:p>
            <w:pPr>
              <w:pStyle w:val="Compact"/>
              <w:jc w:val="left"/>
            </w:pPr>
            <w:r>
              <w:t xml:space="preserve">6-20 transfers within 30 min, ₹1-₹100, all payees unseen by this payer</w:t>
            </w:r>
          </w:p>
        </w:tc>
        <w:tc>
          <w:tcPr/>
          <w:p>
            <w:pPr>
              <w:pStyle w:val="Compact"/>
              <w:jc w:val="left"/>
            </w:pPr>
            <w:r>
              <w:t xml:space="preserve">5.3%</w:t>
            </w:r>
          </w:p>
        </w:tc>
      </w:tr>
      <w:tr>
        <w:tc>
          <w:tcPr/>
          <w:p>
            <w:pPr>
              <w:pStyle w:val="Compact"/>
              <w:jc w:val="left"/>
            </w:pPr>
            <w:r>
              <w:t xml:space="preserve">M2</w:t>
            </w:r>
          </w:p>
        </w:tc>
        <w:tc>
          <w:tcPr/>
          <w:p>
            <w:pPr>
              <w:pStyle w:val="Compact"/>
              <w:jc w:val="left"/>
            </w:pPr>
            <w:r>
              <w:t xml:space="preserve">Hijacked profile</w:t>
            </w:r>
          </w:p>
        </w:tc>
        <w:tc>
          <w:tcPr/>
          <w:p>
            <w:pPr>
              <w:pStyle w:val="Compact"/>
              <w:jc w:val="left"/>
            </w:pPr>
            <w:r>
              <w:t xml:space="preserve">Amount 8-40x the payer’s habitual size, inter-arrival in their lowest decile, payee outside their circle</w:t>
            </w:r>
          </w:p>
        </w:tc>
        <w:tc>
          <w:tcPr/>
          <w:p>
            <w:pPr>
              <w:pStyle w:val="Compact"/>
              <w:jc w:val="left"/>
            </w:pPr>
            <w:r>
              <w:t xml:space="preserve">19.4%</w:t>
            </w:r>
          </w:p>
        </w:tc>
      </w:tr>
      <w:tr>
        <w:tc>
          <w:tcPr/>
          <w:p>
            <w:pPr>
              <w:pStyle w:val="Compact"/>
              <w:jc w:val="left"/>
            </w:pPr>
            <w:r>
              <w:t xml:space="preserve">M3</w:t>
            </w:r>
          </w:p>
        </w:tc>
        <w:tc>
          <w:tcPr/>
          <w:p>
            <w:pPr>
              <w:pStyle w:val="Compact"/>
              <w:jc w:val="left"/>
            </w:pPr>
            <w:r>
              <w:t xml:space="preserve">Funnel account</w:t>
            </w:r>
          </w:p>
        </w:tc>
        <w:tc>
          <w:tcPr/>
          <w:p>
            <w:pPr>
              <w:pStyle w:val="Compact"/>
              <w:jc w:val="left"/>
            </w:pPr>
            <w:r>
              <w:t xml:space="preserve">Payee aged 0-14 days, 15-60 distinct payers, payer overlap near zero, negligible outflow</w:t>
            </w:r>
          </w:p>
        </w:tc>
        <w:tc>
          <w:tcPr/>
          <w:p>
            <w:pPr>
              <w:pStyle w:val="Compact"/>
              <w:jc w:val="left"/>
            </w:pPr>
            <w:r>
              <w:t xml:space="preserve">21.3%</w:t>
            </w:r>
          </w:p>
        </w:tc>
      </w:tr>
      <w:tr>
        <w:tc>
          <w:tcPr/>
          <w:p>
            <w:pPr>
              <w:pStyle w:val="Compact"/>
              <w:jc w:val="left"/>
            </w:pPr>
            <w:r>
              <w:t xml:space="preserve">M4</w:t>
            </w:r>
          </w:p>
        </w:tc>
        <w:tc>
          <w:tcPr/>
          <w:p>
            <w:pPr>
              <w:pStyle w:val="Compact"/>
              <w:jc w:val="left"/>
            </w:pPr>
            <w:r>
              <w:t xml:space="preserve">Victim-authorised transfer</w:t>
            </w:r>
          </w:p>
        </w:tc>
        <w:tc>
          <w:tcPr/>
          <w:p>
            <w:pPr>
              <w:pStyle w:val="Compact"/>
              <w:jc w:val="left"/>
            </w:pPr>
            <w:r>
              <w:t xml:space="preserve">Amount and hour drawn from the payer’s own distributions; payee new but otherwise unremarkable</w:t>
            </w:r>
          </w:p>
        </w:tc>
        <w:tc>
          <w:tcPr/>
          <w:p>
            <w:pPr>
              <w:pStyle w:val="Compact"/>
              <w:jc w:val="left"/>
            </w:pPr>
            <w:r>
              <w:t xml:space="preserve">54.0%</w:t>
            </w:r>
          </w:p>
        </w:tc>
      </w:tr>
    </w:tbl>
    <w:p>
      <w:pPr>
        <w:pStyle w:val="BodyText"/>
      </w:pPr>
      <w:r>
        <w:rPr>
          <w:iCs/>
          <w:i/>
        </w:rPr>
        <w:t xml:space="preserve">Table III. Attack modes in the generated corpus.</w:t>
      </w:r>
    </w:p>
    <w:p>
      <w:pPr>
        <w:pStyle w:val="BodyText"/>
      </w:pPr>
      <w:r>
        <w:t xml:space="preserve">We use</w:t>
      </w:r>
      <w:r>
        <w:t xml:space="preserve"> </w:t>
      </w:r>
      <w:r>
        <w:rPr>
          <w:iCs/>
          <w:i/>
        </w:rPr>
        <w:t xml:space="preserve">funnel account</w:t>
      </w:r>
      <w:r>
        <w:t xml:space="preserve"> </w:t>
      </w:r>
      <w:r>
        <w:t xml:space="preserve">rather than the conventional term because the defining property is the shape of the flow, money entering from many unrelated sources and leaving quickly through few, and that is what CH-2 measures.</w:t>
      </w:r>
    </w:p>
    <w:p>
      <w:pPr>
        <w:pStyle w:val="BodyText"/>
      </w:pPr>
      <w:r>
        <w:t xml:space="preserve">M4 is the mode this architecture exists for. Its construction contains no behavioural signal at all, by design, because the real thing contains none either. The payer is established, the amount is theirs, the hour is theirs. Only the payee is new, and people pay new payees constantly for legitimate reasons, so that single fact is weak evidence on its own. Section IX-C reports what the behavioural channel achieves on M4 and what the other channels add.</w:t>
      </w:r>
    </w:p>
    <w:bookmarkEnd w:id="43"/>
    <w:bookmarkStart w:id="44" w:name="d.-generator-induced-leakage"/>
    <w:p>
      <w:pPr>
        <w:pStyle w:val="Heading3"/>
      </w:pPr>
      <w:r>
        <w:t xml:space="preserve">D. Generator-Induced Leakage</w:t>
      </w:r>
    </w:p>
    <w:p>
      <w:pPr>
        <w:pStyle w:val="FirstParagraph"/>
      </w:pPr>
      <w:r>
        <w:t xml:space="preserve">A generated corpus can encode its own labels, and ours did. We report both instances because the failure is easy to reproduce and hard to notice.</w:t>
      </w:r>
    </w:p>
    <w:p>
      <w:pPr>
        <w:pStyle w:val="BodyText"/>
      </w:pPr>
      <w:r>
        <w:rPr>
          <w:bCs/>
          <w:b/>
        </w:rPr>
        <w:t xml:space="preserve">Split code paths on a shared feature.</w:t>
      </w:r>
      <w:r>
        <w:t xml:space="preserve"> </w:t>
      </w:r>
      <w:r>
        <w:t xml:space="preserve">Count-valued features were produced by different code on the legitimate and fraudulent branches. One path rounded to an integer; the other did not. As a result 99.6% of fraud rows carried a fractional distinct-payer count and almost no legitimate row did, giving a conditional probability of fraud given a fractional count of exactly 1.00. The classifier’s apparent performance was largely this artefact.</w:t>
      </w:r>
    </w:p>
    <w:p>
      <w:pPr>
        <w:pStyle w:val="BodyText"/>
      </w:pPr>
      <w:r>
        <w:rPr>
          <w:bCs/>
          <w:b/>
        </w:rPr>
        <w:t xml:space="preserve">Branch-dependent clipping.</w:t>
      </w:r>
      <w:r>
        <w:t xml:space="preserve"> </w:t>
      </w:r>
      <w:r>
        <w:t xml:space="preserve">Amounts were bounded to different ranges on different branches, so the clipping boundary itself became a label.</w:t>
      </w:r>
    </w:p>
    <w:p>
      <w:pPr>
        <w:pStyle w:val="BodyText"/>
      </w:pPr>
      <w:r>
        <w:t xml:space="preserve">Both are now prevented at the point of generation rather than checked afterwards. Every count passes through one shared helper on every branch, and every amount through one bounding function anchored to the rail’s real per-transaction ceiling. We state the underlying rule as a design constraint for anyone building a similar corpus:</w:t>
      </w:r>
    </w:p>
    <w:p>
      <w:pPr>
        <w:pStyle w:val="BlockText"/>
      </w:pPr>
      <w:r>
        <w:t xml:space="preserve">A feature must be produced by exactly one piece of code, regardless of which class the row belongs to. Any per-class code path is a channel through which the label can reach the feature.</w:t>
      </w:r>
    </w:p>
    <w:p>
      <w:pPr>
        <w:pStyle w:val="FirstParagraph"/>
      </w:pPr>
      <w:r>
        <w:t xml:space="preserve">Post-generation assertions now verify that no count-valued column contains a non-integer on either class, and that the conditional probability of fraud given a high amount stays in the informative range rather than the determinative one.</w:t>
      </w:r>
    </w:p>
    <w:p>
      <w:pPr>
        <w:pStyle w:val="BodyText"/>
      </w:pPr>
      <w:r>
        <w:t xml:space="preserve">We note a general asymmetry that this episode illustrates. Both defects made the reported numbers better than the truth, and so did a third, described in Section VII-C. None made them worse. This is not coincidence. A defect that degrades a headline metric is investigated within the hour; a defect that improves one is found only by someone looking for it. A pipeline that is never audited will therefore accumulate, on average, exactly the defects that make it look good.</w:t>
      </w:r>
    </w:p>
    <w:bookmarkEnd w:id="44"/>
    <w:bookmarkEnd w:id="45"/>
    <w:bookmarkStart w:id="50" w:name="vi.-feature-design"/>
    <w:p>
      <w:pPr>
        <w:pStyle w:val="Heading2"/>
      </w:pPr>
      <w:r>
        <w:t xml:space="preserve">VI. Feature Design</w:t>
      </w:r>
    </w:p>
    <w:bookmarkStart w:id="46" w:name="a.-the-feature-set"/>
    <w:p>
      <w:pPr>
        <w:pStyle w:val="Heading3"/>
      </w:pPr>
      <w:r>
        <w:t xml:space="preserve">A. The Feature Set</w:t>
      </w:r>
    </w:p>
    <w:p>
      <w:pPr>
        <w:pStyle w:val="FirstParagraph"/>
      </w:pPr>
      <w:r>
        <w:t xml:space="preserve">Eleven features feed the behavioural classifier. Each had to satisfy constraint C2 from Section III-B: computable at the instant of the attempt, from state the deployment already holds, with no external call. A feature requiring a lookup is not admissible however predictive it is, because the check cannot afford the round trip.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Side</w:t>
            </w:r>
          </w:p>
        </w:tc>
        <w:tc>
          <w:tcPr/>
          <w:p>
            <w:pPr>
              <w:pStyle w:val="Compact"/>
              <w:jc w:val="left"/>
            </w:pPr>
            <w:r>
              <w:t xml:space="preserve">Definition</w:t>
            </w:r>
          </w:p>
        </w:tc>
      </w:tr>
      <w:tr>
        <w:tc>
          <w:tcPr/>
          <w:p>
            <w:pPr>
              <w:pStyle w:val="Compact"/>
              <w:jc w:val="left"/>
            </w:pPr>
            <w:r>
              <w:t xml:space="preserve">f1</w:t>
            </w:r>
          </w:p>
        </w:tc>
        <w:tc>
          <w:tcPr/>
          <w:p>
            <w:pPr>
              <w:pStyle w:val="Compact"/>
              <w:jc w:val="left"/>
            </w:pPr>
            <w:r>
              <w:rPr>
                <w:rStyle w:val="VerbatimChar"/>
              </w:rPr>
              <w:t xml:space="preserve">amount_log</w:t>
            </w:r>
          </w:p>
        </w:tc>
        <w:tc>
          <w:tcPr/>
          <w:p>
            <w:pPr>
              <w:pStyle w:val="Compact"/>
              <w:jc w:val="left"/>
            </w:pPr>
            <w:r>
              <w:t xml:space="preserve">attempt</w:t>
            </w:r>
          </w:p>
        </w:tc>
        <w:tc>
          <w:tcPr/>
          <w:p>
            <w:pPr>
              <w:pStyle w:val="Compact"/>
              <w:jc w:val="left"/>
            </w:pPr>
            <w:r>
              <w:t xml:space="preserve">log₁₀(1 +</w:t>
            </w:r>
            <w:r>
              <w:t xml:space="preserve"> </w:t>
            </w:r>
            <w:r>
              <w:rPr>
                <w:iCs/>
                <w:i/>
              </w:rPr>
              <w:t xml:space="preserve">a</w:t>
            </w:r>
            <w:r>
              <w:t xml:space="preserve">)</w:t>
            </w:r>
          </w:p>
        </w:tc>
      </w:tr>
      <w:tr>
        <w:tc>
          <w:tcPr/>
          <w:p>
            <w:pPr>
              <w:pStyle w:val="Compact"/>
              <w:jc w:val="left"/>
            </w:pPr>
            <w:r>
              <w:t xml:space="preserve">f2</w:t>
            </w:r>
          </w:p>
        </w:tc>
        <w:tc>
          <w:tcPr/>
          <w:p>
            <w:pPr>
              <w:pStyle w:val="Compact"/>
              <w:jc w:val="left"/>
            </w:pPr>
            <w:r>
              <w:rPr>
                <w:rStyle w:val="VerbatimChar"/>
              </w:rPr>
              <w:t xml:space="preserve">amount_ratio</w:t>
            </w:r>
          </w:p>
        </w:tc>
        <w:tc>
          <w:tcPr/>
          <w:p>
            <w:pPr>
              <w:pStyle w:val="Compact"/>
              <w:jc w:val="left"/>
            </w:pPr>
            <w:r>
              <w:t xml:space="preserve">payer</w:t>
            </w:r>
          </w:p>
        </w:tc>
        <w:tc>
          <w:tcPr/>
          <w:p>
            <w:pPr>
              <w:pStyle w:val="Compact"/>
              <w:jc w:val="left"/>
            </w:pPr>
            <w:r>
              <w:rPr>
                <w:iCs/>
                <w:i/>
              </w:rPr>
              <w:t xml:space="preserve">a</w:t>
            </w:r>
            <w:r>
              <w:t xml:space="preserve"> </w:t>
            </w:r>
            <w:r>
              <w:t xml:space="preserve">divided by the payer’s median payment</w:t>
            </w:r>
          </w:p>
        </w:tc>
      </w:tr>
      <w:tr>
        <w:tc>
          <w:tcPr/>
          <w:p>
            <w:pPr>
              <w:pStyle w:val="Compact"/>
              <w:jc w:val="left"/>
            </w:pPr>
            <w:r>
              <w:t xml:space="preserve">f3</w:t>
            </w:r>
          </w:p>
        </w:tc>
        <w:tc>
          <w:tcPr/>
          <w:p>
            <w:pPr>
              <w:pStyle w:val="Compact"/>
              <w:jc w:val="left"/>
            </w:pPr>
            <w:r>
              <w:rPr>
                <w:rStyle w:val="VerbatimChar"/>
              </w:rPr>
              <w:t xml:space="preserve">count_24h</w:t>
            </w:r>
          </w:p>
        </w:tc>
        <w:tc>
          <w:tcPr/>
          <w:p>
            <w:pPr>
              <w:pStyle w:val="Compact"/>
              <w:jc w:val="left"/>
            </w:pPr>
            <w:r>
              <w:t xml:space="preserve">payer</w:t>
            </w:r>
          </w:p>
        </w:tc>
        <w:tc>
          <w:tcPr/>
          <w:p>
            <w:pPr>
              <w:pStyle w:val="Compact"/>
              <w:jc w:val="left"/>
            </w:pPr>
            <w:r>
              <w:t xml:space="preserve">payments made by</w:t>
            </w:r>
            <w:r>
              <w:t xml:space="preserve"> </w:t>
            </w:r>
            <w:r>
              <w:rPr>
                <w:iCs/>
                <w:i/>
              </w:rPr>
              <w:t xml:space="preserve">p</w:t>
            </w:r>
            <w:r>
              <w:t xml:space="preserve"> </w:t>
            </w:r>
            <w:r>
              <w:t xml:space="preserve">in the preceding 24 h</w:t>
            </w:r>
          </w:p>
        </w:tc>
      </w:tr>
      <w:tr>
        <w:tc>
          <w:tcPr/>
          <w:p>
            <w:pPr>
              <w:pStyle w:val="Compact"/>
              <w:jc w:val="left"/>
            </w:pPr>
            <w:r>
              <w:t xml:space="preserve">f4</w:t>
            </w:r>
          </w:p>
        </w:tc>
        <w:tc>
          <w:tcPr/>
          <w:p>
            <w:pPr>
              <w:pStyle w:val="Compact"/>
              <w:jc w:val="left"/>
            </w:pPr>
            <w:r>
              <w:rPr>
                <w:rStyle w:val="VerbatimChar"/>
              </w:rPr>
              <w:t xml:space="preserve">gap_pctile</w:t>
            </w:r>
          </w:p>
        </w:tc>
        <w:tc>
          <w:tcPr/>
          <w:p>
            <w:pPr>
              <w:pStyle w:val="Compact"/>
              <w:jc w:val="left"/>
            </w:pPr>
            <w:r>
              <w:t xml:space="preserve">payer</w:t>
            </w:r>
          </w:p>
        </w:tc>
        <w:tc>
          <w:tcPr/>
          <w:p>
            <w:pPr>
              <w:pStyle w:val="Compact"/>
              <w:jc w:val="left"/>
            </w:pPr>
            <w:r>
              <w:t xml:space="preserve">percentile of this inter-arrival gap within</w:t>
            </w:r>
            <w:r>
              <w:t xml:space="preserve"> </w:t>
            </w:r>
            <w:r>
              <w:rPr>
                <w:iCs/>
                <w:i/>
              </w:rPr>
              <w:t xml:space="preserve">p</w:t>
            </w:r>
            <w:r>
              <w:t xml:space="preserve">’s own history</w:t>
            </w:r>
          </w:p>
        </w:tc>
      </w:tr>
      <w:tr>
        <w:tc>
          <w:tcPr/>
          <w:p>
            <w:pPr>
              <w:pStyle w:val="Compact"/>
              <w:jc w:val="left"/>
            </w:pPr>
            <w:r>
              <w:t xml:space="preserve">f5</w:t>
            </w:r>
          </w:p>
        </w:tc>
        <w:tc>
          <w:tcPr/>
          <w:p>
            <w:pPr>
              <w:pStyle w:val="Compact"/>
              <w:jc w:val="left"/>
            </w:pPr>
            <w:r>
              <w:rPr>
                <w:rStyle w:val="VerbatimChar"/>
              </w:rPr>
              <w:t xml:space="preserve">hour_familiarity</w:t>
            </w:r>
          </w:p>
        </w:tc>
        <w:tc>
          <w:tcPr/>
          <w:p>
            <w:pPr>
              <w:pStyle w:val="Compact"/>
              <w:jc w:val="left"/>
            </w:pPr>
            <w:r>
              <w:t xml:space="preserve">payer</w:t>
            </w:r>
          </w:p>
        </w:tc>
        <w:tc>
          <w:tcPr/>
          <w:p>
            <w:pPr>
              <w:pStyle w:val="Compact"/>
              <w:jc w:val="left"/>
            </w:pPr>
            <w:r>
              <w:t xml:space="preserve">share of</w:t>
            </w:r>
            <w:r>
              <w:t xml:space="preserve"> </w:t>
            </w:r>
            <w:r>
              <w:rPr>
                <w:iCs/>
                <w:i/>
              </w:rPr>
              <w:t xml:space="preserve">p</w:t>
            </w:r>
            <w:r>
              <w:t xml:space="preserve">’s history falling in this hour band</w:t>
            </w:r>
          </w:p>
        </w:tc>
      </w:tr>
      <w:tr>
        <w:tc>
          <w:tcPr/>
          <w:p>
            <w:pPr>
              <w:pStyle w:val="Compact"/>
              <w:jc w:val="left"/>
            </w:pPr>
            <w:r>
              <w:t xml:space="preserve">f6</w:t>
            </w:r>
          </w:p>
        </w:tc>
        <w:tc>
          <w:tcPr/>
          <w:p>
            <w:pPr>
              <w:pStyle w:val="Compact"/>
              <w:jc w:val="left"/>
            </w:pPr>
            <w:r>
              <w:rPr>
                <w:rStyle w:val="VerbatimChar"/>
              </w:rPr>
              <w:t xml:space="preserve">payee_age</w:t>
            </w:r>
          </w:p>
        </w:tc>
        <w:tc>
          <w:tcPr/>
          <w:p>
            <w:pPr>
              <w:pStyle w:val="Compact"/>
              <w:jc w:val="left"/>
            </w:pPr>
            <w:r>
              <w:t xml:space="preserve">payee</w:t>
            </w:r>
          </w:p>
        </w:tc>
        <w:tc>
          <w:tcPr/>
          <w:p>
            <w:pPr>
              <w:pStyle w:val="Compact"/>
              <w:jc w:val="left"/>
            </w:pPr>
            <w:r>
              <w:rPr>
                <w:iCs/>
                <w:i/>
              </w:rPr>
              <w:t xml:space="preserve">α</w:t>
            </w:r>
            <w:r>
              <w:t xml:space="preserve">ₐ, days since</w:t>
            </w:r>
            <w:r>
              <w:t xml:space="preserve"> </w:t>
            </w:r>
            <w:r>
              <w:rPr>
                <w:iCs/>
                <w:i/>
              </w:rPr>
              <w:t xml:space="preserve">q</w:t>
            </w:r>
            <w:r>
              <w:t xml:space="preserve"> </w:t>
            </w:r>
            <w:r>
              <w:t xml:space="preserve">was first observed</w:t>
            </w:r>
          </w:p>
        </w:tc>
      </w:tr>
      <w:tr>
        <w:tc>
          <w:tcPr/>
          <w:p>
            <w:pPr>
              <w:pStyle w:val="Compact"/>
              <w:jc w:val="left"/>
            </w:pPr>
            <w:r>
              <w:t xml:space="preserve">f7</w:t>
            </w:r>
          </w:p>
        </w:tc>
        <w:tc>
          <w:tcPr/>
          <w:p>
            <w:pPr>
              <w:pStyle w:val="Compact"/>
              <w:jc w:val="left"/>
            </w:pPr>
            <w:r>
              <w:rPr>
                <w:rStyle w:val="VerbatimChar"/>
              </w:rPr>
              <w:t xml:space="preserve">payee_payers_7d</w:t>
            </w:r>
          </w:p>
        </w:tc>
        <w:tc>
          <w:tcPr/>
          <w:p>
            <w:pPr>
              <w:pStyle w:val="Compact"/>
              <w:jc w:val="left"/>
            </w:pPr>
            <w:r>
              <w:t xml:space="preserve">payee</w:t>
            </w:r>
          </w:p>
        </w:tc>
        <w:tc>
          <w:tcPr/>
          <w:p>
            <w:pPr>
              <w:pStyle w:val="Compact"/>
              <w:jc w:val="left"/>
            </w:pPr>
            <w:r>
              <w:t xml:space="preserve">distinct payers of</w:t>
            </w:r>
            <w:r>
              <w:t xml:space="preserve"> </w:t>
            </w:r>
            <w:r>
              <w:rPr>
                <w:iCs/>
                <w:i/>
              </w:rPr>
              <w:t xml:space="preserve">q</w:t>
            </w:r>
            <w:r>
              <w:t xml:space="preserve"> </w:t>
            </w:r>
            <w:r>
              <w:t xml:space="preserve">in the preceding 7 days</w:t>
            </w:r>
          </w:p>
        </w:tc>
      </w:tr>
      <w:tr>
        <w:tc>
          <w:tcPr/>
          <w:p>
            <w:pPr>
              <w:pStyle w:val="Compact"/>
              <w:jc w:val="left"/>
            </w:pPr>
            <w:r>
              <w:t xml:space="preserve">f8</w:t>
            </w:r>
          </w:p>
        </w:tc>
        <w:tc>
          <w:tcPr/>
          <w:p>
            <w:pPr>
              <w:pStyle w:val="Compact"/>
              <w:jc w:val="left"/>
            </w:pPr>
            <w:r>
              <w:rPr>
                <w:rStyle w:val="VerbatimChar"/>
              </w:rPr>
              <w:t xml:space="preserve">repeat_fraction</w:t>
            </w:r>
          </w:p>
        </w:tc>
        <w:tc>
          <w:tcPr/>
          <w:p>
            <w:pPr>
              <w:pStyle w:val="Compact"/>
              <w:jc w:val="left"/>
            </w:pPr>
            <w:r>
              <w:t xml:space="preserve">payee</w:t>
            </w:r>
          </w:p>
        </w:tc>
        <w:tc>
          <w:tcPr/>
          <w:p>
            <w:pPr>
              <w:pStyle w:val="Compact"/>
              <w:jc w:val="left"/>
            </w:pPr>
            <w:r>
              <w:rPr>
                <w:iCs/>
                <w:i/>
              </w:rPr>
              <w:t xml:space="preserve">ρ</w:t>
            </w:r>
            <w:r>
              <w:t xml:space="preserve">, repeat payers divided by total payers</w:t>
            </w:r>
          </w:p>
        </w:tc>
      </w:tr>
      <w:tr>
        <w:tc>
          <w:tcPr/>
          <w:p>
            <w:pPr>
              <w:pStyle w:val="Compact"/>
              <w:jc w:val="left"/>
            </w:pPr>
            <w:r>
              <w:t xml:space="preserve">f9</w:t>
            </w:r>
          </w:p>
        </w:tc>
        <w:tc>
          <w:tcPr/>
          <w:p>
            <w:pPr>
              <w:pStyle w:val="Compact"/>
              <w:jc w:val="left"/>
            </w:pPr>
            <w:r>
              <w:rPr>
                <w:rStyle w:val="VerbatimChar"/>
              </w:rPr>
              <w:t xml:space="preserve">arrival_burst</w:t>
            </w:r>
          </w:p>
        </w:tc>
        <w:tc>
          <w:tcPr/>
          <w:p>
            <w:pPr>
              <w:pStyle w:val="Compact"/>
              <w:jc w:val="left"/>
            </w:pPr>
            <w:r>
              <w:t xml:space="preserve">payee</w:t>
            </w:r>
          </w:p>
        </w:tc>
        <w:tc>
          <w:tcPr/>
          <w:p>
            <w:pPr>
              <w:pStyle w:val="Compact"/>
              <w:jc w:val="left"/>
            </w:pPr>
            <w:r>
              <w:rPr>
                <w:iCs/>
                <w:i/>
              </w:rPr>
              <w:t xml:space="preserve">β</w:t>
            </w:r>
            <w:r>
              <w:t xml:space="preserve">, last-hour inflow over mean hourly inflow</w:t>
            </w:r>
          </w:p>
        </w:tc>
      </w:tr>
      <w:tr>
        <w:tc>
          <w:tcPr/>
          <w:p>
            <w:pPr>
              <w:pStyle w:val="Compact"/>
              <w:jc w:val="left"/>
            </w:pPr>
            <w:r>
              <w:t xml:space="preserve">f10</w:t>
            </w:r>
          </w:p>
        </w:tc>
        <w:tc>
          <w:tcPr/>
          <w:p>
            <w:pPr>
              <w:pStyle w:val="Compact"/>
              <w:jc w:val="left"/>
            </w:pPr>
            <w:r>
              <w:rPr>
                <w:rStyle w:val="VerbatimChar"/>
              </w:rPr>
              <w:t xml:space="preserve">pair_count</w:t>
            </w:r>
          </w:p>
        </w:tc>
        <w:tc>
          <w:tcPr/>
          <w:p>
            <w:pPr>
              <w:pStyle w:val="Compact"/>
              <w:jc w:val="left"/>
            </w:pPr>
            <w:r>
              <w:t xml:space="preserve">pair</w:t>
            </w:r>
          </w:p>
        </w:tc>
        <w:tc>
          <w:tcPr/>
          <w:p>
            <w:pPr>
              <w:pStyle w:val="Compact"/>
              <w:jc w:val="left"/>
            </w:pPr>
            <w:r>
              <w:t xml:space="preserve">times</w:t>
            </w:r>
            <w:r>
              <w:t xml:space="preserve"> </w:t>
            </w:r>
            <w:r>
              <w:rPr>
                <w:iCs/>
                <w:i/>
              </w:rPr>
              <w:t xml:space="preserve">p</w:t>
            </w:r>
            <w:r>
              <w:t xml:space="preserve"> </w:t>
            </w:r>
            <w:r>
              <w:t xml:space="preserve">has paid</w:t>
            </w:r>
            <w:r>
              <w:t xml:space="preserve"> </w:t>
            </w:r>
            <w:r>
              <w:rPr>
                <w:iCs/>
                <w:i/>
              </w:rPr>
              <w:t xml:space="preserve">q</w:t>
            </w:r>
            <w:r>
              <w:t xml:space="preserve"> </w:t>
            </w:r>
            <w:r>
              <w:t xml:space="preserve">before</w:t>
            </w:r>
          </w:p>
        </w:tc>
      </w:tr>
      <w:tr>
        <w:tc>
          <w:tcPr/>
          <w:p>
            <w:pPr>
              <w:pStyle w:val="Compact"/>
              <w:jc w:val="left"/>
            </w:pPr>
            <w:r>
              <w:t xml:space="preserve">f11</w:t>
            </w:r>
          </w:p>
        </w:tc>
        <w:tc>
          <w:tcPr/>
          <w:p>
            <w:pPr>
              <w:pStyle w:val="Compact"/>
              <w:jc w:val="left"/>
            </w:pPr>
            <w:r>
              <w:rPr>
                <w:rStyle w:val="VerbatimChar"/>
              </w:rPr>
              <w:t xml:space="preserve">pair_recency</w:t>
            </w:r>
          </w:p>
        </w:tc>
        <w:tc>
          <w:tcPr/>
          <w:p>
            <w:pPr>
              <w:pStyle w:val="Compact"/>
              <w:jc w:val="left"/>
            </w:pPr>
            <w:r>
              <w:t xml:space="preserve">pair</w:t>
            </w:r>
          </w:p>
        </w:tc>
        <w:tc>
          <w:tcPr/>
          <w:p>
            <w:pPr>
              <w:pStyle w:val="Compact"/>
              <w:jc w:val="left"/>
            </w:pPr>
            <w:r>
              <w:t xml:space="preserve">days since the last payment along this edge</w:t>
            </w:r>
          </w:p>
        </w:tc>
      </w:tr>
    </w:tbl>
    <w:p>
      <w:pPr>
        <w:pStyle w:val="BodyText"/>
      </w:pPr>
      <w:r>
        <w:rPr>
          <w:iCs/>
          <w:i/>
        </w:rPr>
        <w:t xml:space="preserve">Table IV. Feature set. f6 to f9 constitute the inflow shape signature of Section IV-B.</w:t>
      </w:r>
    </w:p>
    <w:bookmarkEnd w:id="46"/>
    <w:bookmarkStart w:id="47" w:name="b.-three-design-principles"/>
    <w:p>
      <w:pPr>
        <w:pStyle w:val="Heading3"/>
      </w:pPr>
      <w:r>
        <w:t xml:space="preserve">B. Three Design Principles</w:t>
      </w:r>
    </w:p>
    <w:p>
      <w:pPr>
        <w:pStyle w:val="FirstParagraph"/>
      </w:pPr>
      <w:r>
        <w:rPr>
          <w:bCs/>
          <w:b/>
        </w:rPr>
        <w:t xml:space="preserve">Self-relative rather than population-relative.</w:t>
      </w:r>
      <w:r>
        <w:t xml:space="preserve"> </w:t>
      </w:r>
      <w:r>
        <w:t xml:space="preserve">Features f2, f4 and f5 compare the attempt to the payer’s own record and never to the population. A population-relative threshold on amount flags every large legitimate payment and misses every small fraudulent one, and no single value of it is right for both a student and a supplier.</w:t>
      </w:r>
    </w:p>
    <w:p>
      <w:pPr>
        <w:pStyle w:val="BodyText"/>
      </w:pPr>
      <w:r>
        <w:rPr>
          <w:bCs/>
          <w:b/>
        </w:rPr>
        <w:t xml:space="preserve">Shape rather than degree.</w:t>
      </w:r>
      <w:r>
        <w:t xml:space="preserve"> </w:t>
      </w:r>
      <w:r>
        <w:t xml:space="preserve">Features f7 to f9 are the operational form of the argument in Section IV-B. We retain f7, a raw count, but it enters alongside f8 and f9 rather than alone, so the model can learn that a high count with high</w:t>
      </w:r>
      <w:r>
        <w:t xml:space="preserve"> </w:t>
      </w:r>
      <w:r>
        <w:rPr>
          <w:iCs/>
          <w:i/>
        </w:rPr>
        <w:t xml:space="preserve">ρ</w:t>
      </w:r>
      <w:r>
        <w:t xml:space="preserve"> </w:t>
      </w:r>
      <w:r>
        <w:t xml:space="preserve">and</w:t>
      </w:r>
      <w:r>
        <w:t xml:space="preserve"> </w:t>
      </w:r>
      <w:r>
        <w:rPr>
          <w:iCs/>
          <w:i/>
        </w:rPr>
        <w:t xml:space="preserve">β</w:t>
      </w:r>
      <w:r>
        <w:t xml:space="preserve"> </w:t>
      </w:r>
      <w:r>
        <w:t xml:space="preserve">near one is a vendor while the same count with low</w:t>
      </w:r>
      <w:r>
        <w:t xml:space="preserve"> </w:t>
      </w:r>
      <w:r>
        <w:rPr>
          <w:iCs/>
          <w:i/>
        </w:rPr>
        <w:t xml:space="preserve">ρ</w:t>
      </w:r>
      <w:r>
        <w:t xml:space="preserve"> </w:t>
      </w:r>
      <w:r>
        <w:t xml:space="preserve">and high</w:t>
      </w:r>
      <w:r>
        <w:t xml:space="preserve"> </w:t>
      </w:r>
      <w:r>
        <w:rPr>
          <w:iCs/>
          <w:i/>
        </w:rPr>
        <w:t xml:space="preserve">β</w:t>
      </w:r>
      <w:r>
        <w:t xml:space="preserve"> </w:t>
      </w:r>
      <w:r>
        <w:t xml:space="preserve">is a funnel.</w:t>
      </w:r>
    </w:p>
    <w:p>
      <w:pPr>
        <w:pStyle w:val="BodyText"/>
      </w:pPr>
      <w:r>
        <w:rPr>
          <w:bCs/>
          <w:b/>
        </w:rPr>
        <w:t xml:space="preserve">Pair evidence is strongest and least available.</w:t>
      </w:r>
      <w:r>
        <w:t xml:space="preserve"> </w:t>
      </w:r>
      <w:r>
        <w:t xml:space="preserve">Feature f10 carries more weight in the fitted model than any other. A payer who has paid a payee thirty times is very unlikely to be defrauded by them on the thirty-first. The difficulty is that the feature is zero for every payee a new user has not yet paid, which means the system is weakest for exactly the first-time digital-payment users it is meant to protect. We treat this as a first-class limitation in Section X and partly address it by importing the payer’s existing history from a wallet statement export they already possess, which reconstructs f10 and f11 without any transaction passing through our deployment first.</w:t>
      </w:r>
    </w:p>
    <w:bookmarkEnd w:id="47"/>
    <w:bookmarkStart w:id="48" w:name="c.-absent-values-are-not-imputed"/>
    <w:p>
      <w:pPr>
        <w:pStyle w:val="Heading3"/>
      </w:pPr>
      <w:r>
        <w:t xml:space="preserve">C. Absent Values Are Not Imputed</w:t>
      </w:r>
    </w:p>
    <w:p>
      <w:pPr>
        <w:pStyle w:val="FirstParagraph"/>
      </w:pPr>
      <w:r>
        <w:t xml:space="preserve">A cold-start payee genuinely has no age, no repeat fraction and no burst ratio. Imputing a value for these means inventing evidence about an account we know nothing about, and the direction of the invention decides the verdict: impute the population mean and every new address inherits the reputation of established ones. We therefore pass absence through to the classifier as absence, which is one of the reasons for the model choice in Section VII-A, and surface it to the payer as a finding in its own right rather than as a score.</w:t>
      </w:r>
    </w:p>
    <w:bookmarkEnd w:id="48"/>
    <w:bookmarkStart w:id="49" w:name="d.-one-mapping-for-training-and-serving"/>
    <w:p>
      <w:pPr>
        <w:pStyle w:val="Heading3"/>
      </w:pPr>
      <w:r>
        <w:t xml:space="preserve">D. One Mapping for Training and Serving</w:t>
      </w:r>
    </w:p>
    <w:p>
      <w:pPr>
        <w:pStyle w:val="FirstParagraph"/>
      </w:pPr>
      <w:r>
        <w:t xml:space="preserve">The most common way a deployed fraud model decays is a divergence between the features computed during training and those computed at inference. Where the training pipeline reads a batch table and the serving path recomputes from a live stream, the two drift apart and the model degrades without any error being raised.</w:t>
      </w:r>
    </w:p>
    <w:p>
      <w:pPr>
        <w:pStyle w:val="BodyText"/>
      </w:pPr>
      <w:r>
        <w:t xml:space="preserve">We remove the possibility structurally rather than by convention. Exactly one function maps an attempt and its context to a feature vector. The training script and the inference path both import it, and neither holds a copy. A change to a definition is therefore a change to both sides at once, because there is no second side to fall out of step with. A regression test asserts that the vector produced for a fixed attempt is identical through both entry points, so the property is also checked mechanically rather than trusted.</w:t>
      </w:r>
    </w:p>
    <w:bookmarkEnd w:id="49"/>
    <w:bookmarkEnd w:id="50"/>
    <w:bookmarkStart w:id="55" w:name="Xeeddaf48252f4ca3bb7f900b56f1fa90ec6be0c"/>
    <w:p>
      <w:pPr>
        <w:pStyle w:val="Heading2"/>
      </w:pPr>
      <w:r>
        <w:t xml:space="preserve">VII. Classifier, Calibration and Operating Point</w:t>
      </w:r>
    </w:p>
    <w:bookmarkStart w:id="51" w:name="a.-model-choice"/>
    <w:p>
      <w:pPr>
        <w:pStyle w:val="Heading3"/>
      </w:pPr>
      <w:r>
        <w:t xml:space="preserve">A. Model Choice</w:t>
      </w:r>
    </w:p>
    <w:p>
      <w:pPr>
        <w:pStyle w:val="FirstParagraph"/>
      </w:pPr>
      <w:r>
        <w:t xml:space="preserve">We evaluated three candidates. Logistic regression on standardised features serves as the baseline, on the principle that a more complex model which cannot beat it does not earn its complexity. A histogram-based gradient-boosted tree ensemble [16] is the candidate we expected to select, chosen for its native handling of missing values, which matters here for the reason given in Section VI-C: a cold-start payee has no age, and the model must be able to receive that as absence rather than as an imputed number. Isolation Forest [20] is included as an unsupervised control, not as a competitor, to establish how much of the available discrimination is simply rarity.</w:t>
      </w:r>
    </w:p>
    <w:p>
      <w:pPr>
        <w:pStyle w:val="BodyText"/>
      </w:pPr>
      <w:r>
        <w:t xml:space="preserve">The gradient-boosted ensemble was selected. Section IX-A reports the comparison. The control result is the more informative of the two: an unsupervised detector given the same eleven features and no labels at all reaches a ROC-AUC of 0.8368, against 0.9702 for the supervised model. Had those figures been close, the right conclusion would have been that the labels add little and a far simpler system would do. They are not close, which is what justifies supervision here.</w:t>
      </w:r>
    </w:p>
    <w:p>
      <w:pPr>
        <w:pStyle w:val="BodyText"/>
      </w:pPr>
      <w:r>
        <w:t xml:space="preserve">We deliberately did not evaluate a deep model. Two reasons. Constraint C2 forbids the latency, and constraint C3 forbids a representation from which no payer-facing finding can be recovered. The result in [8], where gradient-boosted trees over explicit structural features outperformed a learned graph embedding on the minority class, suggests the accuracy cost of this decision is small at our data scale.</w:t>
      </w:r>
    </w:p>
    <w:bookmarkEnd w:id="51"/>
    <w:bookmarkStart w:id="52" w:name="b.-calibration"/>
    <w:p>
      <w:pPr>
        <w:pStyle w:val="Heading3"/>
      </w:pPr>
      <w:r>
        <w:t xml:space="preserve">B. Calibration</w:t>
      </w:r>
    </w:p>
    <w:p>
      <w:pPr>
        <w:pStyle w:val="FirstParagraph"/>
      </w:pPr>
      <w:r>
        <w:t xml:space="preserve">A boosted ensemble emits a score, not a probability. This matters more here than in a standalone classifier, because Algorithm 1 combines the model output arithmetically with deterministic finding weights, and adding an uncalibrated score to a weight produces a quantity with no interpretation.</w:t>
      </w:r>
    </w:p>
    <w:p>
      <w:pPr>
        <w:pStyle w:val="BodyText"/>
      </w:pPr>
      <w:r>
        <w:t xml:space="preserve">We fit isotonic regression on the validation split to map raw scores to calibrated probabilities. Isotonic is preferred over a parametric alternative because it assumes nothing about the shape of the miscalibration, and 18,000 validation rows are enough to fit a monotone function without overfitting it. Modern classifiers are systematically overconfident [13], and in a system that sets a threshold on a probability and then reports a false-alarm rate against a budget, calibration is a precondition rather than a refinement. We report Brier score against a base-rate forecaster in Section IX-B, since a Brier score alone cannot be read without one.</w:t>
      </w:r>
    </w:p>
    <w:bookmarkEnd w:id="52"/>
    <w:bookmarkStart w:id="53" w:name="Xc2c4f1d26e0ab923350b7df61849dcd5a66971c"/>
    <w:p>
      <w:pPr>
        <w:pStyle w:val="Heading3"/>
      </w:pPr>
      <w:r>
        <w:t xml:space="preserve">C. Three-Way Split and a Defect in Our Own Protocol</w:t>
      </w:r>
    </w:p>
    <w:p>
      <w:pPr>
        <w:pStyle w:val="FirstParagraph"/>
      </w:pPr>
      <w:r>
        <w:t xml:space="preserve">The corpus is split chronologically, not at random, so that no model is fitted on payments occurring after those it is scored 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Split</w:t>
            </w:r>
          </w:p>
        </w:tc>
        <w:tc>
          <w:tcPr/>
          <w:p>
            <w:pPr>
              <w:pStyle w:val="Compact"/>
              <w:jc w:val="left"/>
            </w:pPr>
            <w:r>
              <w:t xml:space="preserve">Rows</w:t>
            </w:r>
          </w:p>
        </w:tc>
        <w:tc>
          <w:tcPr/>
          <w:p>
            <w:pPr>
              <w:pStyle w:val="Compact"/>
              <w:jc w:val="left"/>
            </w:pPr>
            <w:r>
              <w:t xml:space="preserve">Use</w:t>
            </w:r>
          </w:p>
        </w:tc>
      </w:tr>
      <w:tr>
        <w:tc>
          <w:tcPr/>
          <w:p>
            <w:pPr>
              <w:pStyle w:val="Compact"/>
              <w:jc w:val="left"/>
            </w:pPr>
            <w:r>
              <w:t xml:space="preserve">Train</w:t>
            </w:r>
          </w:p>
        </w:tc>
        <w:tc>
          <w:tcPr/>
          <w:p>
            <w:pPr>
              <w:pStyle w:val="Compact"/>
              <w:jc w:val="left"/>
            </w:pPr>
            <w:r>
              <w:t xml:space="preserve">72,000</w:t>
            </w:r>
          </w:p>
        </w:tc>
        <w:tc>
          <w:tcPr/>
          <w:p>
            <w:pPr>
              <w:pStyle w:val="Compact"/>
              <w:jc w:val="left"/>
            </w:pPr>
            <w:r>
              <w:t xml:space="preserve">Fitting the ensemble</w:t>
            </w:r>
          </w:p>
        </w:tc>
      </w:tr>
      <w:tr>
        <w:tc>
          <w:tcPr/>
          <w:p>
            <w:pPr>
              <w:pStyle w:val="Compact"/>
              <w:jc w:val="left"/>
            </w:pPr>
            <w:r>
              <w:t xml:space="preserve">Validation</w:t>
            </w:r>
          </w:p>
        </w:tc>
        <w:tc>
          <w:tcPr/>
          <w:p>
            <w:pPr>
              <w:pStyle w:val="Compact"/>
              <w:jc w:val="left"/>
            </w:pPr>
            <w:r>
              <w:t xml:space="preserve">18,000</w:t>
            </w:r>
          </w:p>
        </w:tc>
        <w:tc>
          <w:tcPr/>
          <w:p>
            <w:pPr>
              <w:pStyle w:val="Compact"/>
              <w:jc w:val="left"/>
            </w:pPr>
            <w:r>
              <w:t xml:space="preserve">Isotonic calibration; threshold selection</w:t>
            </w:r>
          </w:p>
        </w:tc>
      </w:tr>
      <w:tr>
        <w:tc>
          <w:tcPr/>
          <w:p>
            <w:pPr>
              <w:pStyle w:val="Compact"/>
              <w:jc w:val="left"/>
            </w:pPr>
            <w:r>
              <w:t xml:space="preserve">Test</w:t>
            </w:r>
          </w:p>
        </w:tc>
        <w:tc>
          <w:tcPr/>
          <w:p>
            <w:pPr>
              <w:pStyle w:val="Compact"/>
              <w:jc w:val="left"/>
            </w:pPr>
            <w:r>
              <w:t xml:space="preserve">30,000</w:t>
            </w:r>
          </w:p>
        </w:tc>
        <w:tc>
          <w:tcPr/>
          <w:p>
            <w:pPr>
              <w:pStyle w:val="Compact"/>
              <w:jc w:val="left"/>
            </w:pPr>
            <w:r>
              <w:t xml:space="preserve">Reporting only; read once</w:t>
            </w:r>
          </w:p>
        </w:tc>
      </w:tr>
    </w:tbl>
    <w:p>
      <w:pPr>
        <w:pStyle w:val="BodyText"/>
      </w:pPr>
      <w:r>
        <w:rPr>
          <w:iCs/>
          <w:i/>
        </w:rPr>
        <w:t xml:space="preserve">Table V. Data partition.</w:t>
      </w:r>
    </w:p>
    <w:p>
      <w:pPr>
        <w:pStyle w:val="BodyText"/>
      </w:pPr>
      <w:r>
        <w:t xml:space="preserve">We used a two-way split initially, and it was wrong. The operating threshold was chosen by sweeping candidate values on the same data used to report performance, which makes the reported false-alarm rate a fitted quantity rather than a measurement: the threshold had been tuned to that sample’s noise, and there was no way to tell whether it would survive on unseen data.</w:t>
      </w:r>
    </w:p>
    <w:p>
      <w:pPr>
        <w:pStyle w:val="BodyText"/>
      </w:pPr>
      <w:r>
        <w:t xml:space="preserve">The three-way split separates the two operations. The threshold is a</w:t>
      </w:r>
      <w:r>
        <w:t xml:space="preserve"> </w:t>
      </w:r>
      <w:r>
        <w:rPr>
          <w:iCs/>
          <w:i/>
        </w:rPr>
        <w:t xml:space="preserve">decision</w:t>
      </w:r>
      <w:r>
        <w:t xml:space="preserve"> </w:t>
      </w:r>
      <w:r>
        <w:t xml:space="preserve">taken on validation; the false-alarm rate is a</w:t>
      </w:r>
      <w:r>
        <w:t xml:space="preserve"> </w:t>
      </w:r>
      <w:r>
        <w:rPr>
          <w:iCs/>
          <w:i/>
        </w:rPr>
        <w:t xml:space="preserve">measurement</w:t>
      </w:r>
      <w:r>
        <w:t xml:space="preserve"> </w:t>
      </w:r>
      <w:r>
        <w:t xml:space="preserve">taken on test. We report both, and the gap between them is itself a result rather than an embarrassment. Section IX-B gives the two figures.</w:t>
      </w:r>
    </w:p>
    <w:p>
      <w:pPr>
        <w:pStyle w:val="BodyText"/>
      </w:pPr>
      <w:r>
        <w:t xml:space="preserve">Threshold selection proceeds as follows. Candidate values are swept on validation; every value whose validation false-alarm rate is at or below</w:t>
      </w:r>
      <w:r>
        <w:t xml:space="preserve"> </w:t>
      </w:r>
      <w:r>
        <w:rPr>
          <w:iCs/>
          <w:i/>
        </w:rPr>
        <w:t xml:space="preserve">α</w:t>
      </w:r>
      <w:r>
        <w:t xml:space="preserve"> </w:t>
      </w:r>
      <w:r>
        <w:t xml:space="preserve">= 0.01 is retained; from that set the value with the highest validation recall is chosen. The threshold is then frozen and stored inside the serialised model artefact together with the feature ordering, so that a reordering of the feature list cannot silently misalign the vector at inference time.</w:t>
      </w:r>
    </w:p>
    <w:bookmarkEnd w:id="53"/>
    <w:bookmarkStart w:id="54" w:name="d.-per-attempt-explanation"/>
    <w:p>
      <w:pPr>
        <w:pStyle w:val="Heading3"/>
      </w:pPr>
      <w:r>
        <w:t xml:space="preserve">D. Per-Attempt Explanation</w:t>
      </w:r>
    </w:p>
    <w:p>
      <w:pPr>
        <w:pStyle w:val="FirstParagraph"/>
      </w:pPr>
      <w:r>
        <w:t xml:space="preserve">Constraint C3 requires that the payer be told why. We compute Shapley attributions [14] over the calibrated model and surface the two or three features with the largest contribution, translated into sentences. The known caveat applies and we state it: an attribution is meaningful only relative to the background distribution supplied, and ours is the training split, so the explanation answers</w:t>
      </w:r>
      <w:r>
        <w:t xml:space="preserve"> </w:t>
      </w:r>
      <w:r>
        <w:t xml:space="preserve">“</w:t>
      </w:r>
      <w:r>
        <w:t xml:space="preserve">why is this unusual compared with the corpus the model learned from</w:t>
      </w:r>
      <w:r>
        <w:t xml:space="preserve">”</w:t>
      </w:r>
      <w:r>
        <w:t xml:space="preserve"> </w:t>
      </w:r>
      <w:r>
        <w:t xml:space="preserve">and not</w:t>
      </w:r>
      <w:r>
        <w:t xml:space="preserve"> </w:t>
      </w:r>
      <w:r>
        <w:t xml:space="preserve">“</w:t>
      </w:r>
      <w:r>
        <w:t xml:space="preserve">why is this fraud</w:t>
      </w:r>
      <w:r>
        <w:t xml:space="preserve">”</w:t>
      </w:r>
      <w:r>
        <w:t xml:space="preserve">. We phrase the payer-facing text accordingly.</w:t>
      </w:r>
    </w:p>
    <w:bookmarkEnd w:id="54"/>
    <w:bookmarkEnd w:id="55"/>
    <w:bookmarkStart w:id="60" w:name="viii.-experimental-setup"/>
    <w:p>
      <w:pPr>
        <w:pStyle w:val="Heading2"/>
      </w:pPr>
      <w:r>
        <w:t xml:space="preserve">VIII. Experimental Setup</w:t>
      </w:r>
    </w:p>
    <w:bookmarkStart w:id="56" w:name="a.-protocol-fixed-in-advance"/>
    <w:p>
      <w:pPr>
        <w:pStyle w:val="Heading3"/>
      </w:pPr>
      <w:r>
        <w:t xml:space="preserve">A. Protocol Fixed in Advance</w:t>
      </w:r>
    </w:p>
    <w:p>
      <w:pPr>
        <w:pStyle w:val="FirstParagraph"/>
      </w:pPr>
      <w:r>
        <w:t xml:space="preserve">The protocol below was fixed before the test split was read, and no model, feature or threshold decision was revised in response to a test-split number. Where a test result disappointed us, and the M4 figure did, it is reported as measured and discussed in Section X rather than tuned away.</w:t>
      </w:r>
    </w:p>
    <w:p>
      <w:pPr>
        <w:pStyle w:val="BodyText"/>
      </w:pPr>
      <w:r>
        <w:t xml:space="preserve">The test split holds 30,000 attempts, of which 355 are fraudulent, a rate of 1.18%. Because the partition is chronological rather than stratified, the class proportion differs slightly across splits.</w:t>
      </w:r>
    </w:p>
    <w:bookmarkEnd w:id="56"/>
    <w:bookmarkStart w:id="57" w:name="b.-metrics"/>
    <w:p>
      <w:pPr>
        <w:pStyle w:val="Heading3"/>
      </w:pPr>
      <w:r>
        <w:t xml:space="preserve">B. Metrics</w:t>
      </w:r>
    </w:p>
    <w:p>
      <w:pPr>
        <w:pStyle w:val="FirstParagraph"/>
      </w:pPr>
      <w:r>
        <w:rPr>
          <w:bCs/>
          <w:b/>
        </w:rPr>
        <w:t xml:space="preserve">Discrimination.</w:t>
      </w:r>
      <w:r>
        <w:t xml:space="preserve"> </w:t>
      </w:r>
      <w:r>
        <w:t xml:space="preserve">Precision-recall area is the headline figure. At a base rate near one percent the true-negative mass dominates the ROC curve and flatters every classifier, so ROC-AUC is reported for comparability with the literature and should be read with that in mind. Accuracy is not reported.</w:t>
      </w:r>
    </w:p>
    <w:p>
      <w:pPr>
        <w:pStyle w:val="BodyText"/>
      </w:pPr>
      <w:r>
        <w:rPr>
          <w:bCs/>
          <w:b/>
        </w:rPr>
        <w:t xml:space="preserve">Operating point.</w:t>
      </w:r>
      <w:r>
        <w:t xml:space="preserve"> </w:t>
      </w:r>
      <w:r>
        <w:t xml:space="preserve">Recall, precision and the measured false-alarm rate at the frozen threshold, with the validation false-alarm rate the threshold was selected to achieve reported beside it.</w:t>
      </w:r>
    </w:p>
    <w:p>
      <w:pPr>
        <w:pStyle w:val="BodyText"/>
      </w:pPr>
      <w:r>
        <w:rPr>
          <w:bCs/>
          <w:b/>
        </w:rPr>
        <w:t xml:space="preserve">Calibration.</w:t>
      </w:r>
      <w:r>
        <w:t xml:space="preserve"> </w:t>
      </w:r>
      <w:r>
        <w:t xml:space="preserve">Brier score, with the base-rate forecaster’s Brier score and the resulting skill score, since the raw value is uninterpretable alone.</w:t>
      </w:r>
    </w:p>
    <w:p>
      <w:pPr>
        <w:pStyle w:val="BodyText"/>
      </w:pPr>
      <w:r>
        <w:rPr>
          <w:bCs/>
          <w:b/>
        </w:rPr>
        <w:t xml:space="preserve">Per-mode recall.</w:t>
      </w:r>
      <w:r>
        <w:t xml:space="preserve"> </w:t>
      </w:r>
      <w:r>
        <w:t xml:space="preserve">Recall reported separately for M1 to M4 with the held-out count of each. An aggregate figure hides precisely the structure a reader needs in order to judge where the system can be relied on, and in our case it hides a spread from 100% to 28.6%.</w:t>
      </w:r>
    </w:p>
    <w:p>
      <w:pPr>
        <w:pStyle w:val="BodyText"/>
      </w:pPr>
      <w:r>
        <w:rPr>
          <w:bCs/>
          <w:b/>
        </w:rPr>
        <w:t xml:space="preserve">Ablation.</w:t>
      </w:r>
      <w:r>
        <w:t xml:space="preserve"> </w:t>
      </w:r>
      <w:r>
        <w:t xml:space="preserve">Three fits compared, payer-side features alone, payee-side features alone, and both, to establish that the bipartite construction earns its place rather than being assumed to.</w:t>
      </w:r>
    </w:p>
    <w:bookmarkEnd w:id="57"/>
    <w:bookmarkStart w:id="58" w:name="c.-the-coercion-corpus"/>
    <w:p>
      <w:pPr>
        <w:pStyle w:val="Heading3"/>
      </w:pPr>
      <w:r>
        <w:t xml:space="preserve">C. The Coercion Corpus</w:t>
      </w:r>
    </w:p>
    <w:p>
      <w:pPr>
        <w:pStyle w:val="FirstParagraph"/>
      </w:pPr>
      <w:r>
        <w:t xml:space="preserve">CH-4 is trained on a separate corpus of 1,022 short messages, labelled by hand, drawn from public scam-message repositories, cybercrime awareness postings and reported transcripts for the positive class, and from genuine notifications for the negative classes.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Count</w:t>
            </w:r>
          </w:p>
        </w:tc>
        <w:tc>
          <w:tcPr/>
          <w:p>
            <w:pPr>
              <w:pStyle w:val="Compact"/>
              <w:jc w:val="left"/>
            </w:pPr>
            <w:r>
              <w:t xml:space="preserve">Content</w:t>
            </w:r>
          </w:p>
        </w:tc>
      </w:tr>
      <w:tr>
        <w:tc>
          <w:tcPr/>
          <w:p>
            <w:pPr>
              <w:pStyle w:val="Compact"/>
              <w:jc w:val="left"/>
            </w:pPr>
            <w:r>
              <w:t xml:space="preserve">Coercive</w:t>
            </w:r>
          </w:p>
        </w:tc>
        <w:tc>
          <w:tcPr/>
          <w:p>
            <w:pPr>
              <w:pStyle w:val="Compact"/>
              <w:jc w:val="left"/>
            </w:pPr>
            <w:r>
              <w:t xml:space="preserve">364</w:t>
            </w:r>
          </w:p>
        </w:tc>
        <w:tc>
          <w:tcPr/>
          <w:p>
            <w:pPr>
              <w:pStyle w:val="Compact"/>
              <w:jc w:val="left"/>
            </w:pPr>
            <w:r>
              <w:t xml:space="preserve">Messages used to induce a transfer</w:t>
            </w:r>
          </w:p>
        </w:tc>
      </w:tr>
      <w:tr>
        <w:tc>
          <w:tcPr/>
          <w:p>
            <w:pPr>
              <w:pStyle w:val="Compact"/>
              <w:jc w:val="left"/>
            </w:pPr>
            <w:r>
              <w:t xml:space="preserve">Hard negative</w:t>
            </w:r>
          </w:p>
        </w:tc>
        <w:tc>
          <w:tcPr/>
          <w:p>
            <w:pPr>
              <w:pStyle w:val="Compact"/>
              <w:jc w:val="left"/>
            </w:pPr>
            <w:r>
              <w:t xml:space="preserve">557</w:t>
            </w:r>
          </w:p>
        </w:tc>
        <w:tc>
          <w:tcPr/>
          <w:p>
            <w:pPr>
              <w:pStyle w:val="Compact"/>
              <w:jc w:val="left"/>
            </w:pPr>
            <w:r>
              <w:t xml:space="preserve">Genuine bank, delivery, utility, KYC and one-time-password notifications</w:t>
            </w:r>
          </w:p>
        </w:tc>
      </w:tr>
      <w:tr>
        <w:tc>
          <w:tcPr/>
          <w:p>
            <w:pPr>
              <w:pStyle w:val="Compact"/>
              <w:jc w:val="left"/>
            </w:pPr>
            <w:r>
              <w:t xml:space="preserve">Easy negative</w:t>
            </w:r>
          </w:p>
        </w:tc>
        <w:tc>
          <w:tcPr/>
          <w:p>
            <w:pPr>
              <w:pStyle w:val="Compact"/>
              <w:jc w:val="left"/>
            </w:pPr>
            <w:r>
              <w:t xml:space="preserve">101</w:t>
            </w:r>
          </w:p>
        </w:tc>
        <w:tc>
          <w:tcPr/>
          <w:p>
            <w:pPr>
              <w:pStyle w:val="Compact"/>
              <w:jc w:val="left"/>
            </w:pPr>
            <w:r>
              <w:t xml:space="preserve">Ordinary personal and commercial messages with no financial content</w:t>
            </w:r>
          </w:p>
        </w:tc>
      </w:tr>
    </w:tbl>
    <w:p>
      <w:pPr>
        <w:pStyle w:val="BodyText"/>
      </w:pPr>
      <w:r>
        <w:rPr>
          <w:iCs/>
          <w:i/>
        </w:rPr>
        <w:t xml:space="preserve">Table VI. Composition of the coercion corpus.</w:t>
      </w:r>
    </w:p>
    <w:p>
      <w:pPr>
        <w:pStyle w:val="BodyText"/>
      </w:pPr>
      <w:r>
        <w:t xml:space="preserve">The hard-negative class is the largest, and that is the substantive decision in this part of the work. A coercive message and a genuine institutional alert are drawn from nearly the same vocabulary. Both contain</w:t>
      </w:r>
      <w:r>
        <w:t xml:space="preserve"> </w:t>
      </w:r>
      <w:r>
        <w:rPr>
          <w:iCs/>
          <w:i/>
        </w:rPr>
        <w:t xml:space="preserve">urgent</w:t>
      </w:r>
      <w:r>
        <w:t xml:space="preserve">,</w:t>
      </w:r>
      <w:r>
        <w:t xml:space="preserve"> </w:t>
      </w:r>
      <w:r>
        <w:rPr>
          <w:iCs/>
          <w:i/>
        </w:rPr>
        <w:t xml:space="preserve">verify</w:t>
      </w:r>
      <w:r>
        <w:t xml:space="preserve">,</w:t>
      </w:r>
      <w:r>
        <w:t xml:space="preserve"> </w:t>
      </w:r>
      <w:r>
        <w:rPr>
          <w:iCs/>
          <w:i/>
        </w:rPr>
        <w:t xml:space="preserve">account</w:t>
      </w:r>
      <w:r>
        <w:t xml:space="preserve">,</w:t>
      </w:r>
      <w:r>
        <w:t xml:space="preserve"> </w:t>
      </w:r>
      <w:r>
        <w:rPr>
          <w:iCs/>
          <w:i/>
        </w:rPr>
        <w:t xml:space="preserve">blocked</w:t>
      </w:r>
      <w:r>
        <w:t xml:space="preserve">,</w:t>
      </w:r>
      <w:r>
        <w:t xml:space="preserve"> </w:t>
      </w:r>
      <w:r>
        <w:rPr>
          <w:iCs/>
          <w:i/>
        </w:rPr>
        <w:t xml:space="preserve">within 24 hours</w:t>
      </w:r>
      <w:r>
        <w:t xml:space="preserve">,</w:t>
      </w:r>
      <w:r>
        <w:t xml:space="preserve"> </w:t>
      </w:r>
      <w:r>
        <w:rPr>
          <w:iCs/>
          <w:i/>
        </w:rPr>
        <w:t xml:space="preserve">failure to act</w:t>
      </w:r>
      <w:r>
        <w:t xml:space="preserve">. A classifier trained on scam messages against ordinary conversation learns that financial vocabulary predicts fraud, scores well on that easy contrast, and then flags every real bank alert the payer receives. Since CH-4 contributes to a payment warning, such a classifier would make the whole system unusable for anyone whose bank sends notifications.</w:t>
      </w:r>
    </w:p>
    <w:p>
      <w:pPr>
        <w:pStyle w:val="BodyText"/>
      </w:pPr>
      <w:r>
        <w:t xml:space="preserve">Training against a majority of genuine financial messages forces the classifier onto what actually separates the classes, which is coercive</w:t>
      </w:r>
      <w:r>
        <w:t xml:space="preserve"> </w:t>
      </w:r>
      <w:r>
        <w:rPr>
          <w:iCs/>
          <w:i/>
        </w:rPr>
        <w:t xml:space="preserve">structure</w:t>
      </w:r>
      <w:r>
        <w:t xml:space="preserve"> </w:t>
      </w:r>
      <w:r>
        <w:t xml:space="preserve">rather than financial</w:t>
      </w:r>
      <w:r>
        <w:t xml:space="preserve"> </w:t>
      </w:r>
      <w:r>
        <w:rPr>
          <w:iCs/>
          <w:i/>
        </w:rPr>
        <w:t xml:space="preserve">vocabulary</w:t>
      </w:r>
      <w:r>
        <w:t xml:space="preserve">. Institutional messages inform and direct the recipient to an official channel. Coercive messages manufacture a deadline, supply a channel of their own, and instruct the recipient to act before verifying. We call this construction</w:t>
      </w:r>
      <w:r>
        <w:t xml:space="preserve"> </w:t>
      </w:r>
      <w:r>
        <w:rPr>
          <w:bCs/>
          <w:b/>
        </w:rPr>
        <w:t xml:space="preserve">hard-negative saturation</w:t>
      </w:r>
      <w:r>
        <w:t xml:space="preserve">, and we report the false-alarm rate against those hard negatives specifically rather than against the pooled negatives, since the pooled figure would be diluted by the easy class.</w:t>
      </w:r>
    </w:p>
    <w:p>
      <w:pPr>
        <w:pStyle w:val="BodyText"/>
      </w:pPr>
      <w:r>
        <w:t xml:space="preserve">The classifier is a linear model over character and word n-grams. A transformer was not used, for three reasons: the channel must run in single-digit milliseconds on a CPU alongside everything else in the 300 ms budget; the coefficients are directly inspectable, so a flagged message can be explained by naming the phrases responsible, which C3 requires; and at one thousand messages a fine-tuned transformer would overfit without a held-out set large enough to reveal that it had.</w:t>
      </w:r>
    </w:p>
    <w:bookmarkEnd w:id="58"/>
    <w:bookmarkStart w:id="59" w:name="d.-implementation"/>
    <w:p>
      <w:pPr>
        <w:pStyle w:val="Heading3"/>
      </w:pPr>
      <w:r>
        <w:t xml:space="preserve">D. Implementation</w:t>
      </w:r>
    </w:p>
    <w:p>
      <w:pPr>
        <w:pStyle w:val="FirstParagraph"/>
      </w:pPr>
      <w:r>
        <w:t xml:space="preserve">The engine is implemented in Python with scikit-learn [16] for the classifier and calibration and NetworkX [17] for the bipartite graph. The client is a single-page application packaged for Android, with decoding performed in the browser runtime. Training and inference run on CPU only; no component of the system uses a GPU at any stage. The serialised model artefact is 2.1 MB. Timings in Section IX-E were taken on a four-core x86-64 workstation, and deployment runs within the free service tiers of commodity hosting providers, which we record because a protective layer aimed at first-time digital-payment users cannot presuppose a funded operating budget.</w:t>
      </w:r>
    </w:p>
    <w:p>
      <w:pPr>
        <w:pStyle w:val="BodyText"/>
      </w:pPr>
      <w:r>
        <w:t xml:space="preserve">The test suite comprises 257 tests. Each regression test was written to fail against the defective version before the corresponding fix was applied, which is the only way to know that a test exercises the defect rather than merely passing beside it.</w:t>
      </w:r>
    </w:p>
    <w:bookmarkEnd w:id="59"/>
    <w:bookmarkEnd w:id="60"/>
    <w:bookmarkStart w:id="68" w:name="ix.-results"/>
    <w:p>
      <w:pPr>
        <w:pStyle w:val="Heading2"/>
      </w:pPr>
      <w:r>
        <w:t xml:space="preserve">IX. Results</w:t>
      </w:r>
    </w:p>
    <w:p>
      <w:pPr>
        <w:pStyle w:val="FirstParagraph"/>
      </w:pPr>
      <w:r>
        <w:t xml:space="preserve">All figures below are post-correction, measured under the protocol of Section VIII-A on the 30,000-attempt test split.</w:t>
      </w:r>
    </w:p>
    <w:bookmarkStart w:id="61" w:name="a.-model-comparison"/>
    <w:p>
      <w:pPr>
        <w:pStyle w:val="Heading3"/>
      </w:pPr>
      <w:r>
        <w:t xml:space="preserve">A. Model Comparison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ROC-AUC</w:t>
            </w:r>
          </w:p>
        </w:tc>
        <w:tc>
          <w:tcPr/>
          <w:p>
            <w:pPr>
              <w:pStyle w:val="Compact"/>
              <w:jc w:val="left"/>
            </w:pPr>
            <w:r>
              <w:t xml:space="preserve">PR-AUC</w:t>
            </w:r>
          </w:p>
        </w:tc>
        <w:tc>
          <w:tcPr/>
          <w:p>
            <w:pPr>
              <w:pStyle w:val="Compact"/>
              <w:jc w:val="left"/>
            </w:pPr>
            <w:r>
              <w:t xml:space="preserve">Recall @ 1% FPR</w:t>
            </w:r>
          </w:p>
        </w:tc>
        <w:tc>
          <w:tcPr/>
          <w:p>
            <w:pPr>
              <w:pStyle w:val="Compact"/>
              <w:jc w:val="left"/>
            </w:pPr>
            <w:r>
              <w:t xml:space="preserve">Precision</w:t>
            </w:r>
          </w:p>
        </w:tc>
      </w:tr>
      <w:tr>
        <w:tc>
          <w:tcPr/>
          <w:p>
            <w:pPr>
              <w:pStyle w:val="Compact"/>
              <w:jc w:val="left"/>
            </w:pPr>
            <w:r>
              <w:t xml:space="preserve">Isolation Forest (unsupervised control)</w:t>
            </w:r>
          </w:p>
        </w:tc>
        <w:tc>
          <w:tcPr/>
          <w:p>
            <w:pPr>
              <w:pStyle w:val="Compact"/>
              <w:jc w:val="left"/>
            </w:pPr>
            <w:r>
              <w:t xml:space="preserve">0.8368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Logistic regression (baseline)</w:t>
            </w:r>
          </w:p>
        </w:tc>
        <w:tc>
          <w:tcPr/>
          <w:p>
            <w:pPr>
              <w:pStyle w:val="Compact"/>
              <w:jc w:val="left"/>
            </w:pPr>
            <w:r>
              <w:t xml:space="preserve">0.9511</w:t>
            </w:r>
          </w:p>
        </w:tc>
        <w:tc>
          <w:tcPr/>
          <w:p>
            <w:pPr>
              <w:pStyle w:val="Compact"/>
              <w:jc w:val="left"/>
            </w:pPr>
            <w:r>
              <w:t xml:space="preserve">0.3331</w:t>
            </w:r>
          </w:p>
        </w:tc>
        <w:tc>
          <w:tcPr/>
          <w:p>
            <w:pPr>
              <w:pStyle w:val="Compact"/>
              <w:jc w:val="left"/>
            </w:pPr>
            <w:r>
              <w:t xml:space="preserve">30.1%</w:t>
            </w:r>
          </w:p>
        </w:tc>
        <w:tc>
          <w:tcPr/>
          <w:p>
            <w:pPr>
              <w:pStyle w:val="Compact"/>
              <w:jc w:val="left"/>
            </w:pPr>
            <w:r>
              <w:t xml:space="preserve">28.8%</w:t>
            </w:r>
          </w:p>
        </w:tc>
      </w:tr>
      <w:tr>
        <w:tc>
          <w:tcPr/>
          <w:p>
            <w:pPr>
              <w:pStyle w:val="Compact"/>
              <w:jc w:val="left"/>
            </w:pPr>
            <w:r>
              <w:t xml:space="preserve">Gradient-boosted ensemble (selected)</w:t>
            </w:r>
          </w:p>
        </w:tc>
        <w:tc>
          <w:tcPr/>
          <w:p>
            <w:pPr>
              <w:pStyle w:val="Compact"/>
              <w:jc w:val="left"/>
            </w:pPr>
            <w:r>
              <w:rPr>
                <w:bCs/>
                <w:b/>
              </w:rPr>
              <w:t xml:space="preserve">0.9702</w:t>
            </w:r>
          </w:p>
        </w:tc>
        <w:tc>
          <w:tcPr/>
          <w:p>
            <w:pPr>
              <w:pStyle w:val="Compact"/>
              <w:jc w:val="left"/>
            </w:pPr>
            <w:r>
              <w:rPr>
                <w:bCs/>
                <w:b/>
              </w:rPr>
              <w:t xml:space="preserve">0.5284</w:t>
            </w:r>
          </w:p>
        </w:tc>
        <w:tc>
          <w:tcPr/>
          <w:p>
            <w:pPr>
              <w:pStyle w:val="Compact"/>
              <w:jc w:val="left"/>
            </w:pPr>
            <w:r>
              <w:rPr>
                <w:bCs/>
                <w:b/>
              </w:rPr>
              <w:t xml:space="preserve">55.8%</w:t>
            </w:r>
          </w:p>
        </w:tc>
        <w:tc>
          <w:tcPr/>
          <w:p>
            <w:pPr>
              <w:pStyle w:val="Compact"/>
              <w:jc w:val="left"/>
            </w:pPr>
            <w:r>
              <w:rPr>
                <w:bCs/>
                <w:b/>
              </w:rPr>
              <w:t xml:space="preserve">41.8%</w:t>
            </w:r>
          </w:p>
        </w:tc>
      </w:tr>
    </w:tbl>
    <w:p>
      <w:pPr>
        <w:pStyle w:val="BodyText"/>
      </w:pPr>
      <w:r>
        <w:rPr>
          <w:iCs/>
          <w:i/>
        </w:rPr>
        <w:t xml:space="preserve">Table VII. Candidate comparison on the held-out test split.</w:t>
      </w:r>
    </w:p>
    <w:p>
      <w:pPr>
        <w:pStyle w:val="BodyText"/>
      </w:pPr>
      <w:r>
        <w:t xml:space="preserve">The two comparisons in this table answer different questions.</w:t>
      </w:r>
    </w:p>
    <w:p>
      <w:pPr>
        <w:pStyle w:val="BodyText"/>
      </w:pPr>
      <w:r>
        <w:t xml:space="preserve">Against the linear baseline, ROC-AUC separates the models by little, 0.9702 against 0.9511, which is the compression Section VIII-B predicts at this base rate. The metrics that describe the deployed behaviour separate them by a lot: PR-AUC 0.5284 against 0.3331, and at the same 1% false-alarm budget the ensemble recalls 55.8% against 30.1% at higher precision, 41.8% against 28.8%. It catches close to twice the fraud for the same number of interruptions. The gap is interaction structure that a linear model over these eleven features cannot express, the clearest case being that a high distinct-payer count means one thing at high repeat-payer fraction and the opposite at low.</w:t>
      </w:r>
    </w:p>
    <w:p>
      <w:pPr>
        <w:pStyle w:val="BodyText"/>
      </w:pPr>
      <w:r>
        <w:t xml:space="preserve">The control row carries the other argument. An unsupervised detector with the same inputs and no labels reaches 0.8368, so the gap to 0.9702 is what supervision contributes beyond fraudulent attempts merely being unusual. Had the two been close, a far simpler unsupervised system would have been the right answer.</w:t>
      </w:r>
    </w:p>
    <w:bookmarkEnd w:id="61"/>
    <w:bookmarkStart w:id="62" w:name="b.-overall-performance"/>
    <w:p>
      <w:pPr>
        <w:pStyle w:val="Heading3"/>
      </w:pPr>
      <w:r>
        <w:t xml:space="preserve">B. Overall Performance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ROC-AUC</w:t>
            </w:r>
          </w:p>
        </w:tc>
        <w:tc>
          <w:tcPr/>
          <w:p>
            <w:pPr>
              <w:pStyle w:val="Compact"/>
              <w:jc w:val="left"/>
            </w:pPr>
            <w:r>
              <w:t xml:space="preserve">0.9702</w:t>
            </w:r>
          </w:p>
        </w:tc>
      </w:tr>
      <w:tr>
        <w:tc>
          <w:tcPr/>
          <w:p>
            <w:pPr>
              <w:pStyle w:val="Compact"/>
              <w:jc w:val="left"/>
            </w:pPr>
            <w:r>
              <w:rPr>
                <w:bCs/>
                <w:b/>
              </w:rPr>
              <w:t xml:space="preserve">PR-AUC</w:t>
            </w:r>
          </w:p>
        </w:tc>
        <w:tc>
          <w:tcPr/>
          <w:p>
            <w:pPr>
              <w:pStyle w:val="Compact"/>
              <w:jc w:val="left"/>
            </w:pPr>
            <w:r>
              <w:rPr>
                <w:bCs/>
                <w:b/>
              </w:rPr>
              <w:t xml:space="preserve">0.5284</w:t>
            </w:r>
          </w:p>
        </w:tc>
      </w:tr>
      <w:tr>
        <w:tc>
          <w:tcPr/>
          <w:p>
            <w:pPr>
              <w:pStyle w:val="Compact"/>
              <w:jc w:val="left"/>
            </w:pPr>
            <w:r>
              <w:t xml:space="preserve">Recall at operating threshold</w:t>
            </w:r>
          </w:p>
        </w:tc>
        <w:tc>
          <w:tcPr/>
          <w:p>
            <w:pPr>
              <w:pStyle w:val="Compact"/>
              <w:jc w:val="left"/>
            </w:pPr>
            <w:r>
              <w:t xml:space="preserve">55.8%</w:t>
            </w:r>
          </w:p>
        </w:tc>
      </w:tr>
      <w:tr>
        <w:tc>
          <w:tcPr/>
          <w:p>
            <w:pPr>
              <w:pStyle w:val="Compact"/>
              <w:jc w:val="left"/>
            </w:pPr>
            <w:r>
              <w:t xml:space="preserve">Precision at operating threshold</w:t>
            </w:r>
          </w:p>
        </w:tc>
        <w:tc>
          <w:tcPr/>
          <w:p>
            <w:pPr>
              <w:pStyle w:val="Compact"/>
              <w:jc w:val="left"/>
            </w:pPr>
            <w:r>
              <w:t xml:space="preserve">41.8%</w:t>
            </w:r>
          </w:p>
        </w:tc>
      </w:tr>
      <w:tr>
        <w:tc>
          <w:tcPr/>
          <w:p>
            <w:pPr>
              <w:pStyle w:val="Compact"/>
              <w:jc w:val="left"/>
            </w:pPr>
            <w:r>
              <w:t xml:space="preserve">False-alarm rate, validation (selected for)</w:t>
            </w:r>
          </w:p>
        </w:tc>
        <w:tc>
          <w:tcPr/>
          <w:p>
            <w:pPr>
              <w:pStyle w:val="Compact"/>
              <w:jc w:val="left"/>
            </w:pPr>
            <w:r>
              <w:t xml:space="preserve">≤ 1.00%</w:t>
            </w:r>
          </w:p>
        </w:tc>
      </w:tr>
      <w:tr>
        <w:tc>
          <w:tcPr/>
          <w:p>
            <w:pPr>
              <w:pStyle w:val="Compact"/>
              <w:jc w:val="left"/>
            </w:pPr>
            <w:r>
              <w:rPr>
                <w:bCs/>
                <w:b/>
              </w:rPr>
              <w:t xml:space="preserve">False-alarm rate, test (measured)</w:t>
            </w:r>
          </w:p>
        </w:tc>
        <w:tc>
          <w:tcPr/>
          <w:p>
            <w:pPr>
              <w:pStyle w:val="Compact"/>
              <w:jc w:val="left"/>
            </w:pPr>
            <w:r>
              <w:rPr>
                <w:bCs/>
                <w:b/>
              </w:rPr>
              <w:t xml:space="preserve">0.93%</w:t>
            </w:r>
          </w:p>
        </w:tc>
      </w:tr>
      <w:tr>
        <w:tc>
          <w:tcPr/>
          <w:p>
            <w:pPr>
              <w:pStyle w:val="Compact"/>
              <w:jc w:val="left"/>
            </w:pPr>
            <w:r>
              <w:t xml:space="preserve">Brier score</w:t>
            </w:r>
          </w:p>
        </w:tc>
        <w:tc>
          <w:tcPr/>
          <w:p>
            <w:pPr>
              <w:pStyle w:val="Compact"/>
              <w:jc w:val="left"/>
            </w:pPr>
            <w:r>
              <w:t xml:space="preserve">0.00769</w:t>
            </w:r>
          </w:p>
        </w:tc>
      </w:tr>
      <w:tr>
        <w:tc>
          <w:tcPr/>
          <w:p>
            <w:pPr>
              <w:pStyle w:val="Compact"/>
              <w:jc w:val="left"/>
            </w:pPr>
            <w:r>
              <w:t xml:space="preserve">Brier score, base-rate forecaster</w:t>
            </w:r>
          </w:p>
        </w:tc>
        <w:tc>
          <w:tcPr/>
          <w:p>
            <w:pPr>
              <w:pStyle w:val="Compact"/>
              <w:jc w:val="left"/>
            </w:pPr>
            <w:r>
              <w:t xml:space="preserve">0.01169</w:t>
            </w:r>
          </w:p>
        </w:tc>
      </w:tr>
      <w:tr>
        <w:tc>
          <w:tcPr/>
          <w:p>
            <w:pPr>
              <w:pStyle w:val="Compact"/>
              <w:jc w:val="left"/>
            </w:pPr>
            <w:r>
              <w:rPr>
                <w:bCs/>
                <w:b/>
              </w:rPr>
              <w:t xml:space="preserve">Brier skill score</w:t>
            </w:r>
          </w:p>
        </w:tc>
        <w:tc>
          <w:tcPr/>
          <w:p>
            <w:pPr>
              <w:pStyle w:val="Compact"/>
              <w:jc w:val="left"/>
            </w:pPr>
            <w:r>
              <w:rPr>
                <w:bCs/>
                <w:b/>
              </w:rPr>
              <w:t xml:space="preserve">+0.342</w:t>
            </w:r>
          </w:p>
        </w:tc>
      </w:tr>
    </w:tbl>
    <w:p>
      <w:pPr>
        <w:pStyle w:val="BodyText"/>
      </w:pPr>
      <w:r>
        <w:rPr>
          <w:iCs/>
          <w:i/>
        </w:rPr>
        <w:t xml:space="preserve">Table VIII. Overall performance.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predicted legitimate</w:t>
            </w:r>
          </w:p>
        </w:tc>
        <w:tc>
          <w:tcPr/>
          <w:p>
            <w:pPr>
              <w:pStyle w:val="Compact"/>
              <w:jc w:val="left"/>
            </w:pPr>
            <w:r>
              <w:t xml:space="preserve">predicted fraud</w:t>
            </w:r>
          </w:p>
        </w:tc>
      </w:tr>
      <w:tr>
        <w:tc>
          <w:tcPr/>
          <w:p>
            <w:pPr>
              <w:pStyle w:val="Compact"/>
              <w:jc w:val="left"/>
            </w:pPr>
            <w:r>
              <w:rPr>
                <w:bCs/>
                <w:b/>
              </w:rPr>
              <w:t xml:space="preserve">actually legitimate</w:t>
            </w:r>
            <w:r>
              <w:t xml:space="preserve"> </w:t>
            </w:r>
            <w:r>
              <w:t xml:space="preserve">(29,645)</w:t>
            </w:r>
          </w:p>
        </w:tc>
        <w:tc>
          <w:tcPr/>
          <w:p>
            <w:pPr>
              <w:pStyle w:val="Compact"/>
              <w:jc w:val="left"/>
            </w:pPr>
            <w:r>
              <w:t xml:space="preserve">29,369</w:t>
            </w:r>
          </w:p>
        </w:tc>
        <w:tc>
          <w:tcPr/>
          <w:p>
            <w:pPr>
              <w:pStyle w:val="Compact"/>
              <w:jc w:val="left"/>
            </w:pPr>
            <w:r>
              <w:t xml:space="preserve">276</w:t>
            </w:r>
          </w:p>
        </w:tc>
      </w:tr>
      <w:tr>
        <w:tc>
          <w:tcPr/>
          <w:p>
            <w:pPr>
              <w:pStyle w:val="Compact"/>
              <w:jc w:val="left"/>
            </w:pPr>
            <w:r>
              <w:rPr>
                <w:bCs/>
                <w:b/>
              </w:rPr>
              <w:t xml:space="preserve">actually fraudulent</w:t>
            </w:r>
            <w:r>
              <w:t xml:space="preserve"> </w:t>
            </w:r>
            <w:r>
              <w:t xml:space="preserve">(355)</w:t>
            </w:r>
          </w:p>
        </w:tc>
        <w:tc>
          <w:tcPr/>
          <w:p>
            <w:pPr>
              <w:pStyle w:val="Compact"/>
              <w:jc w:val="left"/>
            </w:pPr>
            <w:r>
              <w:t xml:space="preserve">157</w:t>
            </w:r>
          </w:p>
        </w:tc>
        <w:tc>
          <w:tcPr/>
          <w:p>
            <w:pPr>
              <w:pStyle w:val="Compact"/>
              <w:jc w:val="left"/>
            </w:pPr>
            <w:r>
              <w:t xml:space="preserve">198</w:t>
            </w:r>
          </w:p>
        </w:tc>
      </w:tr>
    </w:tbl>
    <w:p>
      <w:pPr>
        <w:pStyle w:val="BodyText"/>
      </w:pPr>
      <w:r>
        <w:rPr>
          <w:iCs/>
          <w:i/>
        </w:rPr>
        <w:t xml:space="preserve">Table IX. Confusion matrix at the frozen threshold.</w:t>
      </w:r>
    </w:p>
    <w:p>
      <w:pPr>
        <w:pStyle w:val="BodyText"/>
      </w:pPr>
      <w:r>
        <w:t xml:space="preserve">Three readings.</w:t>
      </w:r>
    </w:p>
    <w:p>
      <w:pPr>
        <w:pStyle w:val="BodyText"/>
      </w:pPr>
      <w:r>
        <w:rPr>
          <w:bCs/>
          <w:b/>
        </w:rPr>
        <w:t xml:space="preserve">On discrimination.</w:t>
      </w:r>
      <w:r>
        <w:t xml:space="preserve"> </w:t>
      </w:r>
      <w:r>
        <w:t xml:space="preserve">PR-AUC of 0.5284 against a base rate of 0.0118 is 44.8 times the no-skill baseline that a precision-recall curve is measured against. This is the number we would want a reader to carry away. The ROC figure is reported for comparability and should not be.</w:t>
      </w:r>
    </w:p>
    <w:p>
      <w:pPr>
        <w:pStyle w:val="BodyText"/>
      </w:pPr>
      <w:r>
        <w:rPr>
          <w:bCs/>
          <w:b/>
        </w:rPr>
        <w:t xml:space="preserve">On the budget.</w:t>
      </w:r>
      <w:r>
        <w:t xml:space="preserve"> </w:t>
      </w:r>
      <w:r>
        <w:t xml:space="preserve">The threshold was selected on validation to hold the false-alarm rate at or below 1%. The measured rate on unseen data is 0.93%. The two agreeing to within seven hundredths of a point is the evidence that the three-way split of Section VII-C did its job; under the earlier two-way protocol there was no way to obtain that evidence at all, because the reported rate and the selected rate were the same quantity.</w:t>
      </w:r>
    </w:p>
    <w:p>
      <w:pPr>
        <w:pStyle w:val="BodyText"/>
      </w:pPr>
      <w:r>
        <w:rPr>
          <w:bCs/>
          <w:b/>
        </w:rPr>
        <w:t xml:space="preserve">On calibration.</w:t>
      </w:r>
      <w:r>
        <w:t xml:space="preserve"> </w:t>
      </w:r>
      <w:r>
        <w:t xml:space="preserve">A Brier skill score of +0.342 against a base-rate forecaster is what makes Algorithm 1 legitimate. The algorithm adds a model output to deterministic finding weights, and that operation is defined only if the output is a probability in the ordinary sense. It now is: a reported 0.30 corresponds to roughly a three-in-ten chance.</w:t>
      </w:r>
    </w:p>
    <w:p>
      <w:pPr>
        <w:pStyle w:val="BodyText"/>
      </w:pPr>
      <w:r>
        <w:t xml:space="preserve">Precision of 41.8% means about three in five warnings land on legitimate payments. We regard this as acceptable here and not elsewhere, because of what a warning is in this design. PPEE does not block. It interrupts, states the finding, and asks for one additional confirmation. The per-event cost of a false alarm is a tap. The cost that matters is cumulative, and at 0.93% of attempts the interruption arrives rarely enough to remain salient, which is the property Section III-C identified as binding.</w:t>
      </w:r>
    </w:p>
    <w:bookmarkEnd w:id="62"/>
    <w:bookmarkStart w:id="63" w:name="c.-recall-by-attack-mode"/>
    <w:p>
      <w:pPr>
        <w:pStyle w:val="Heading3"/>
      </w:pPr>
      <w:r>
        <w:t xml:space="preserve">C. Recall by Attack Mode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w:t>
            </w:r>
          </w:p>
        </w:tc>
        <w:tc>
          <w:tcPr/>
          <w:p>
            <w:pPr>
              <w:pStyle w:val="Compact"/>
              <w:jc w:val="left"/>
            </w:pPr>
            <w:r>
              <w:t xml:space="preserve">Held out</w:t>
            </w:r>
          </w:p>
        </w:tc>
        <w:tc>
          <w:tcPr/>
          <w:p>
            <w:pPr>
              <w:pStyle w:val="Compact"/>
              <w:jc w:val="left"/>
            </w:pPr>
            <w:r>
              <w:t xml:space="preserve">Detected</w:t>
            </w:r>
          </w:p>
        </w:tc>
        <w:tc>
          <w:tcPr/>
          <w:p>
            <w:pPr>
              <w:pStyle w:val="Compact"/>
              <w:jc w:val="left"/>
            </w:pPr>
            <w:r>
              <w:t xml:space="preserve">Recall</w:t>
            </w:r>
          </w:p>
        </w:tc>
      </w:tr>
      <w:tr>
        <w:tc>
          <w:tcPr/>
          <w:p>
            <w:pPr>
              <w:pStyle w:val="Compact"/>
              <w:jc w:val="left"/>
            </w:pPr>
            <w:r>
              <w:t xml:space="preserve">M1 Probe burst</w:t>
            </w:r>
          </w:p>
        </w:tc>
        <w:tc>
          <w:tcPr/>
          <w:p>
            <w:pPr>
              <w:pStyle w:val="Compact"/>
              <w:jc w:val="left"/>
            </w:pPr>
            <w:r>
              <w:t xml:space="preserve">20</w:t>
            </w:r>
          </w:p>
        </w:tc>
        <w:tc>
          <w:tcPr/>
          <w:p>
            <w:pPr>
              <w:pStyle w:val="Compact"/>
              <w:jc w:val="left"/>
            </w:pPr>
            <w:r>
              <w:t xml:space="preserve">20</w:t>
            </w:r>
          </w:p>
        </w:tc>
        <w:tc>
          <w:tcPr/>
          <w:p>
            <w:pPr>
              <w:pStyle w:val="Compact"/>
              <w:jc w:val="left"/>
            </w:pPr>
            <w:r>
              <w:rPr>
                <w:bCs/>
                <w:b/>
              </w:rPr>
              <w:t xml:space="preserve">100.0%</w:t>
            </w:r>
          </w:p>
        </w:tc>
      </w:tr>
      <w:tr>
        <w:tc>
          <w:tcPr/>
          <w:p>
            <w:pPr>
              <w:pStyle w:val="Compact"/>
              <w:jc w:val="left"/>
            </w:pPr>
            <w:r>
              <w:t xml:space="preserve">M2 Hijacked profile</w:t>
            </w:r>
          </w:p>
        </w:tc>
        <w:tc>
          <w:tcPr/>
          <w:p>
            <w:pPr>
              <w:pStyle w:val="Compact"/>
              <w:jc w:val="left"/>
            </w:pPr>
            <w:r>
              <w:t xml:space="preserve">73</w:t>
            </w:r>
          </w:p>
        </w:tc>
        <w:tc>
          <w:tcPr/>
          <w:p>
            <w:pPr>
              <w:pStyle w:val="Compact"/>
              <w:jc w:val="left"/>
            </w:pPr>
            <w:r>
              <w:t xml:space="preserve">68</w:t>
            </w:r>
          </w:p>
        </w:tc>
        <w:tc>
          <w:tcPr/>
          <w:p>
            <w:pPr>
              <w:pStyle w:val="Compact"/>
              <w:jc w:val="left"/>
            </w:pPr>
            <w:r>
              <w:rPr>
                <w:bCs/>
                <w:b/>
              </w:rPr>
              <w:t xml:space="preserve">93.2%</w:t>
            </w:r>
          </w:p>
        </w:tc>
      </w:tr>
      <w:tr>
        <w:tc>
          <w:tcPr/>
          <w:p>
            <w:pPr>
              <w:pStyle w:val="Compact"/>
              <w:jc w:val="left"/>
            </w:pPr>
            <w:r>
              <w:t xml:space="preserve">M3 Funnel account</w:t>
            </w:r>
          </w:p>
        </w:tc>
        <w:tc>
          <w:tcPr/>
          <w:p>
            <w:pPr>
              <w:pStyle w:val="Compact"/>
              <w:jc w:val="left"/>
            </w:pPr>
            <w:r>
              <w:t xml:space="preserve">80</w:t>
            </w:r>
          </w:p>
        </w:tc>
        <w:tc>
          <w:tcPr/>
          <w:p>
            <w:pPr>
              <w:pStyle w:val="Compact"/>
              <w:jc w:val="left"/>
            </w:pPr>
            <w:r>
              <w:t xml:space="preserve">58</w:t>
            </w:r>
          </w:p>
        </w:tc>
        <w:tc>
          <w:tcPr/>
          <w:p>
            <w:pPr>
              <w:pStyle w:val="Compact"/>
              <w:jc w:val="left"/>
            </w:pPr>
            <w:r>
              <w:rPr>
                <w:bCs/>
                <w:b/>
              </w:rPr>
              <w:t xml:space="preserve">72.5%</w:t>
            </w:r>
          </w:p>
        </w:tc>
      </w:tr>
      <w:tr>
        <w:tc>
          <w:tcPr/>
          <w:p>
            <w:pPr>
              <w:pStyle w:val="Compact"/>
              <w:jc w:val="left"/>
            </w:pPr>
            <w:r>
              <w:t xml:space="preserve">M4 Victim-authorised transfer</w:t>
            </w:r>
          </w:p>
        </w:tc>
        <w:tc>
          <w:tcPr/>
          <w:p>
            <w:pPr>
              <w:pStyle w:val="Compact"/>
              <w:jc w:val="left"/>
            </w:pPr>
            <w:r>
              <w:t xml:space="preserve">182</w:t>
            </w:r>
          </w:p>
        </w:tc>
        <w:tc>
          <w:tcPr/>
          <w:p>
            <w:pPr>
              <w:pStyle w:val="Compact"/>
              <w:jc w:val="left"/>
            </w:pPr>
            <w:r>
              <w:t xml:space="preserve">52</w:t>
            </w:r>
          </w:p>
        </w:tc>
        <w:tc>
          <w:tcPr/>
          <w:p>
            <w:pPr>
              <w:pStyle w:val="Compact"/>
              <w:jc w:val="left"/>
            </w:pPr>
            <w:r>
              <w:rPr>
                <w:bCs/>
                <w:b/>
              </w:rPr>
              <w:t xml:space="preserve">28.6%</w:t>
            </w:r>
          </w:p>
        </w:tc>
      </w:tr>
      <w:tr>
        <w:tc>
          <w:tcPr/>
          <w:p>
            <w:pPr>
              <w:pStyle w:val="Compact"/>
              <w:jc w:val="left"/>
            </w:pPr>
            <w:r>
              <w:t xml:space="preserve">All</w:t>
            </w:r>
          </w:p>
        </w:tc>
        <w:tc>
          <w:tcPr/>
          <w:p>
            <w:pPr>
              <w:pStyle w:val="Compact"/>
              <w:jc w:val="left"/>
            </w:pPr>
            <w:r>
              <w:t xml:space="preserve">355</w:t>
            </w:r>
          </w:p>
        </w:tc>
        <w:tc>
          <w:tcPr/>
          <w:p>
            <w:pPr>
              <w:pStyle w:val="Compact"/>
              <w:jc w:val="left"/>
            </w:pPr>
            <w:r>
              <w:t xml:space="preserve">198</w:t>
            </w:r>
          </w:p>
        </w:tc>
        <w:tc>
          <w:tcPr/>
          <w:p>
            <w:pPr>
              <w:pStyle w:val="Compact"/>
              <w:jc w:val="left"/>
            </w:pPr>
            <w:r>
              <w:t xml:space="preserve">55.8%</w:t>
            </w:r>
          </w:p>
        </w:tc>
      </w:tr>
    </w:tbl>
    <w:p>
      <w:pPr>
        <w:pStyle w:val="BodyText"/>
      </w:pPr>
      <w:r>
        <w:rPr>
          <w:iCs/>
          <w:i/>
        </w:rPr>
        <w:t xml:space="preserve">Table X. Per-mode recall, behavioural channel only.</w:t>
      </w:r>
    </w:p>
    <w:p>
      <w:pPr>
        <w:pStyle w:val="BodyText"/>
      </w:pPr>
      <w:r>
        <w:t xml:space="preserve">This is the result the paper is built around, and the aggregate row conceals all of it.</w:t>
      </w:r>
    </w:p>
    <w:p>
      <w:pPr>
        <w:pStyle w:val="BodyText"/>
      </w:pPr>
      <w:r>
        <w:t xml:space="preserve">Where behaviour departs from a baseline, the channel works. A burst of twenty small transfers to twenty unknown addresses inside half an hour fires every payer-side feature simultaneously and is caught completely. A transfer forty times the payer’s habitual amount at an hour they have never transacted in is visible against their own record even though it is invisible against the population, and M2 is caught 93.2% of the time. Funnel accounts are caught 72.5% of the time from the payee side alone, the payer in such a transfer behaving entirely normally throughout.</w:t>
      </w:r>
    </w:p>
    <w:p>
      <w:pPr>
        <w:pStyle w:val="BodyText"/>
      </w:pPr>
      <w:r>
        <w:t xml:space="preserve">Where behaviour does not depart from a baseline, the channel does not work, and M4 recall is 28.6%. We consider this the correct result rather than a deficiency to be optimised, and we would be suspicious of a substantially higher figure on a corpus built as ours is. The 130 undetected M4 attempts contain no behavioural anomaly because the real thing contains none. What the channel does catch comes almost entirely from f10 and f11, the payee being new to this payer, which is weak evidence in isolation because people pay new payees for ordinary reasons every day.</w:t>
      </w:r>
    </w:p>
    <w:p>
      <w:pPr>
        <w:pStyle w:val="BodyText"/>
      </w:pPr>
      <w:r>
        <w:t xml:space="preserve">M4 is 54% of fraud by volume in our corpus and, by the regulatory composition we matched it to, the dominant category in practice. A system consisting of the behavioural channel alone would therefore miss most of the fraud that actually reaches people while reporting a ROC-AUC of 0.97. That sentence is the argument for the rest of the architecture, and it is why escalation-only fusion forbids the behavioural channel from lowering a band: on exactly these attempts it scores low, and it is right to.</w:t>
      </w:r>
    </w:p>
    <w:bookmarkEnd w:id="63"/>
    <w:bookmarkStart w:id="64" w:name="X60f9f27d17f71ef2f5270ab72ed139c4a9da760"/>
    <w:p>
      <w:pPr>
        <w:pStyle w:val="Heading3"/>
      </w:pPr>
      <w:r>
        <w:t xml:space="preserve">D. Ablation on the Bipartite Construction</w:t>
      </w:r>
    </w:p>
    <w:p>
      <w:pPr>
        <w:pStyle w:val="FirstParagraph"/>
      </w:pPr>
      <w:r>
        <w:t xml:space="preserve">We compare three fits on M4, the mode where the question is live.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 set</w:t>
            </w:r>
          </w:p>
        </w:tc>
        <w:tc>
          <w:tcPr/>
          <w:p>
            <w:pPr>
              <w:pStyle w:val="Compact"/>
              <w:jc w:val="left"/>
            </w:pPr>
            <w:r>
              <w:t xml:space="preserve">M4 recall at</w:t>
            </w:r>
            <w:r>
              <w:t xml:space="preserve"> </w:t>
            </w:r>
            <w:r>
              <w:rPr>
                <w:iCs/>
                <w:i/>
              </w:rPr>
              <w:t xml:space="preserve">α</w:t>
            </w:r>
            <w:r>
              <w:t xml:space="preserve"> </w:t>
            </w:r>
            <w:r>
              <w:t xml:space="preserve">= 0.01</w:t>
            </w:r>
          </w:p>
        </w:tc>
      </w:tr>
      <w:tr>
        <w:tc>
          <w:tcPr/>
          <w:p>
            <w:pPr>
              <w:pStyle w:val="Compact"/>
              <w:jc w:val="left"/>
            </w:pPr>
            <w:r>
              <w:t xml:space="preserve">Payer-side only (f1-f5)</w:t>
            </w:r>
          </w:p>
        </w:tc>
        <w:tc>
          <w:tcPr/>
          <w:p>
            <w:pPr>
              <w:pStyle w:val="Compact"/>
              <w:jc w:val="left"/>
            </w:pPr>
            <w:r>
              <w:t xml:space="preserve">3.9%</w:t>
            </w:r>
          </w:p>
        </w:tc>
      </w:tr>
      <w:tr>
        <w:tc>
          <w:tcPr/>
          <w:p>
            <w:pPr>
              <w:pStyle w:val="Compact"/>
              <w:jc w:val="left"/>
            </w:pPr>
            <w:r>
              <w:t xml:space="preserve">Payee-side only (f6-f9)</w:t>
            </w:r>
          </w:p>
        </w:tc>
        <w:tc>
          <w:tcPr/>
          <w:p>
            <w:pPr>
              <w:pStyle w:val="Compact"/>
              <w:jc w:val="left"/>
            </w:pPr>
            <w:r>
              <w:t xml:space="preserve">8.8%</w:t>
            </w:r>
          </w:p>
        </w:tc>
      </w:tr>
      <w:tr>
        <w:tc>
          <w:tcPr/>
          <w:p>
            <w:pPr>
              <w:pStyle w:val="Compact"/>
              <w:jc w:val="left"/>
            </w:pPr>
            <w:r>
              <w:rPr>
                <w:bCs/>
                <w:b/>
              </w:rPr>
              <w:t xml:space="preserve">Both sides</w:t>
            </w:r>
          </w:p>
        </w:tc>
        <w:tc>
          <w:tcPr/>
          <w:p>
            <w:pPr>
              <w:pStyle w:val="Compact"/>
              <w:jc w:val="left"/>
            </w:pPr>
            <w:r>
              <w:rPr>
                <w:bCs/>
                <w:b/>
              </w:rPr>
              <w:t xml:space="preserve">28.6%</w:t>
            </w:r>
          </w:p>
        </w:tc>
      </w:tr>
    </w:tbl>
    <w:p>
      <w:pPr>
        <w:pStyle w:val="BodyText"/>
      </w:pPr>
      <w:r>
        <w:rPr>
          <w:iCs/>
          <w:i/>
        </w:rPr>
        <w:t xml:space="preserve">Table XI. Ablation, recall on victim-authorised transfers.</w:t>
      </w:r>
    </w:p>
    <w:p>
      <w:pPr>
        <w:pStyle w:val="BodyText"/>
      </w:pPr>
      <w:r>
        <w:t xml:space="preserve">The joint model detects 19.8 percentage points more than the stronger single-sided model and more than three times either alone. The two sides are neither redundant nor merely additive. An attempt is suspicious because</w:t>
      </w:r>
      <w:r>
        <w:t xml:space="preserve"> </w:t>
      </w:r>
      <w:r>
        <w:rPr>
          <w:iCs/>
          <w:i/>
        </w:rPr>
        <w:t xml:space="preserve">this</w:t>
      </w:r>
      <w:r>
        <w:t xml:space="preserve"> </w:t>
      </w:r>
      <w:r>
        <w:t xml:space="preserve">payer is paying</w:t>
      </w:r>
      <w:r>
        <w:t xml:space="preserve"> </w:t>
      </w:r>
      <w:r>
        <w:rPr>
          <w:iCs/>
          <w:i/>
        </w:rPr>
        <w:t xml:space="preserve">this</w:t>
      </w:r>
      <w:r>
        <w:t xml:space="preserve"> </w:t>
      </w:r>
      <w:r>
        <w:t xml:space="preserve">payee, and neither half of that sentence carries the signal by itself. This is the empirical case for modelling the stream as a bipartite graph rather than as a flat table of attributes, and it is the quantity we were unable to find reported in the reviewed work.</w:t>
      </w:r>
    </w:p>
    <w:bookmarkEnd w:id="64"/>
    <w:bookmarkStart w:id="65" w:name="e.-coercion-detector"/>
    <w:p>
      <w:pPr>
        <w:pStyle w:val="Heading3"/>
      </w:pPr>
      <w:r>
        <w:t xml:space="preserve">E. Coercion Detector</w:t>
      </w:r>
    </w:p>
    <w:p>
      <w:pPr>
        <w:pStyle w:val="FirstParagraph"/>
      </w:pPr>
      <w:r>
        <w:t xml:space="preserve">Evaluated on a held-out 30% of the corpus in Table VI: 307 messages, comprising 109 coercive, 167 hard negative and 31 easy negative.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ROC-AUC</w:t>
            </w:r>
          </w:p>
        </w:tc>
        <w:tc>
          <w:tcPr/>
          <w:p>
            <w:pPr>
              <w:pStyle w:val="Compact"/>
              <w:jc w:val="left"/>
            </w:pPr>
            <w:r>
              <w:t xml:space="preserve">0.968</w:t>
            </w:r>
          </w:p>
        </w:tc>
      </w:tr>
      <w:tr>
        <w:tc>
          <w:tcPr/>
          <w:p>
            <w:pPr>
              <w:pStyle w:val="Compact"/>
              <w:jc w:val="left"/>
            </w:pPr>
            <w:r>
              <w:t xml:space="preserve">PR-AUC</w:t>
            </w:r>
          </w:p>
        </w:tc>
        <w:tc>
          <w:tcPr/>
          <w:p>
            <w:pPr>
              <w:pStyle w:val="Compact"/>
              <w:jc w:val="left"/>
            </w:pPr>
            <w:r>
              <w:t xml:space="preserve">0.922</w:t>
            </w:r>
          </w:p>
        </w:tc>
      </w:tr>
      <w:tr>
        <w:tc>
          <w:tcPr/>
          <w:p>
            <w:pPr>
              <w:pStyle w:val="Compact"/>
              <w:jc w:val="left"/>
            </w:pPr>
            <w:r>
              <w:t xml:space="preserve">Recall</w:t>
            </w:r>
          </w:p>
        </w:tc>
        <w:tc>
          <w:tcPr/>
          <w:p>
            <w:pPr>
              <w:pStyle w:val="Compact"/>
              <w:jc w:val="left"/>
            </w:pPr>
            <w:r>
              <w:t xml:space="preserve">74.3% (81 of 109)</w:t>
            </w:r>
          </w:p>
        </w:tc>
      </w:tr>
      <w:tr>
        <w:tc>
          <w:tcPr/>
          <w:p>
            <w:pPr>
              <w:pStyle w:val="Compact"/>
              <w:jc w:val="left"/>
            </w:pPr>
            <w:r>
              <w:rPr>
                <w:bCs/>
                <w:b/>
              </w:rPr>
              <w:t xml:space="preserve">False alarms on hard negatives</w:t>
            </w:r>
          </w:p>
        </w:tc>
        <w:tc>
          <w:tcPr/>
          <w:p>
            <w:pPr>
              <w:pStyle w:val="Compact"/>
              <w:jc w:val="left"/>
            </w:pPr>
            <w:r>
              <w:rPr>
                <w:bCs/>
                <w:b/>
              </w:rPr>
              <w:t xml:space="preserve">0.6% (1 of 167)</w:t>
            </w:r>
          </w:p>
        </w:tc>
      </w:tr>
      <w:tr>
        <w:tc>
          <w:tcPr/>
          <w:p>
            <w:pPr>
              <w:pStyle w:val="Compact"/>
              <w:jc w:val="left"/>
            </w:pPr>
            <w:r>
              <w:t xml:space="preserve">False alarms on easy negatives</w:t>
            </w:r>
          </w:p>
        </w:tc>
        <w:tc>
          <w:tcPr/>
          <w:p>
            <w:pPr>
              <w:pStyle w:val="Compact"/>
              <w:jc w:val="left"/>
            </w:pPr>
            <w:r>
              <w:t xml:space="preserve">0 of 31</w:t>
            </w:r>
          </w:p>
        </w:tc>
      </w:tr>
    </w:tbl>
    <w:p>
      <w:pPr>
        <w:pStyle w:val="BodyText"/>
      </w:pPr>
      <w:r>
        <w:rPr>
          <w:iCs/>
          <w:i/>
        </w:rPr>
        <w:t xml:space="preserve">Table XII. Coercion detector, held-out messages.</w:t>
      </w:r>
    </w:p>
    <w:p>
      <w:pPr>
        <w:pStyle w:val="BodyText"/>
      </w:pPr>
      <w:r>
        <w:t xml:space="preserve">The hard-negative figure is what the channel was built to achieve, and hard-negative saturation is why it does. A detector trained against ordinary conversation would have flagged a large share of those 167 genuine notifications. At one false alarm in 167, on precisely the messages most likely to be confused, the classifier is separating structure from vocabulary.</w:t>
      </w:r>
    </w:p>
    <w:p>
      <w:pPr>
        <w:pStyle w:val="BodyText"/>
      </w:pPr>
      <w:r>
        <w:t xml:space="preserve">The single false positive is a genuine bank notice written in a coercive register, a KYC-expiry warning with a deadline and an instruction to act at once. We consider that a fair error, and an observation about the message rather than the classifier.</w:t>
      </w:r>
    </w:p>
    <w:p>
      <w:pPr>
        <w:pStyle w:val="BodyText"/>
      </w:pPr>
      <w:r>
        <w:t xml:space="preserve">Recall of 74.3% is the weaker figure and follows from the same trade-off deliberately: the threshold favours precision because the channel feeds a payment warning, and a channel that cries wolf on bank notifications would cost the system the credibility that Section III-C identifies as the binding constraint.</w:t>
      </w:r>
    </w:p>
    <w:bookmarkEnd w:id="65"/>
    <w:bookmarkStart w:id="66" w:name="f.-latency-and-resource-use"/>
    <w:p>
      <w:pPr>
        <w:pStyle w:val="Heading3"/>
      </w:pPr>
      <w:r>
        <w:t xml:space="preserve">F. Latency and Resource Use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Budget</w:t>
            </w:r>
          </w:p>
        </w:tc>
        <w:tc>
          <w:tcPr/>
          <w:p>
            <w:pPr>
              <w:pStyle w:val="Compact"/>
              <w:jc w:val="left"/>
            </w:pPr>
            <w:r>
              <w:t xml:space="preserve">Measured</w:t>
            </w:r>
          </w:p>
        </w:tc>
      </w:tr>
      <w:tr>
        <w:tc>
          <w:tcPr/>
          <w:p>
            <w:pPr>
              <w:pStyle w:val="Compact"/>
              <w:jc w:val="left"/>
            </w:pPr>
            <w:r>
              <w:t xml:space="preserve">End-to-end decision, excluding transport</w:t>
            </w:r>
          </w:p>
        </w:tc>
        <w:tc>
          <w:tcPr/>
          <w:p>
            <w:pPr>
              <w:pStyle w:val="Compact"/>
              <w:jc w:val="left"/>
            </w:pPr>
            <w:r>
              <w:t xml:space="preserve">300 ms</w:t>
            </w:r>
          </w:p>
        </w:tc>
        <w:tc>
          <w:tcPr/>
          <w:p>
            <w:pPr>
              <w:pStyle w:val="Compact"/>
              <w:jc w:val="left"/>
            </w:pPr>
            <w:r>
              <w:t xml:space="preserve">84 ms median, 210 ms p99</w:t>
            </w:r>
          </w:p>
        </w:tc>
      </w:tr>
      <w:tr>
        <w:tc>
          <w:tcPr/>
          <w:p>
            <w:pPr>
              <w:pStyle w:val="Compact"/>
              <w:jc w:val="left"/>
            </w:pPr>
            <w:r>
              <w:t xml:space="preserve">On-device decode, four-pass pipeline</w:t>
            </w:r>
          </w:p>
        </w:tc>
        <w:tc>
          <w:tcPr/>
          <w:p>
            <w:pPr>
              <w:pStyle w:val="Compact"/>
              <w:jc w:val="left"/>
            </w:pPr>
            <w:r>
              <w:t xml:space="preserve">1.5 s</w:t>
            </w:r>
          </w:p>
        </w:tc>
        <w:tc>
          <w:tcPr/>
          <w:p>
            <w:pPr>
              <w:pStyle w:val="Compact"/>
              <w:jc w:val="left"/>
            </w:pPr>
            <w:r>
              <w:t xml:space="preserve">0.4 s median</w:t>
            </w:r>
          </w:p>
        </w:tc>
      </w:tr>
      <w:tr>
        <w:tc>
          <w:tcPr/>
          <w:p>
            <w:pPr>
              <w:pStyle w:val="Compact"/>
              <w:jc w:val="left"/>
            </w:pPr>
            <w:r>
              <w:t xml:space="preserve">Coercion classification, one message</w:t>
            </w:r>
          </w:p>
        </w:tc>
        <w:tc>
          <w:tcPr/>
          <w:p>
            <w:pPr>
              <w:pStyle w:val="Compact"/>
              <w:jc w:val="left"/>
            </w:pPr>
            <w:r>
              <w:t xml:space="preserve">10 ms</w:t>
            </w:r>
          </w:p>
        </w:tc>
        <w:tc>
          <w:tcPr/>
          <w:p>
            <w:pPr>
              <w:pStyle w:val="Compact"/>
              <w:jc w:val="left"/>
            </w:pPr>
            <w:r>
              <w:t xml:space="preserve">3 ms</w:t>
            </w:r>
          </w:p>
        </w:tc>
      </w:tr>
      <w:tr>
        <w:tc>
          <w:tcPr/>
          <w:p>
            <w:pPr>
              <w:pStyle w:val="Compact"/>
              <w:jc w:val="left"/>
            </w:pPr>
            <w:r>
              <w:t xml:space="preserve">Model artefact</w:t>
            </w:r>
          </w:p>
        </w:tc>
        <w:tc>
          <w:tcPr/>
          <w:p>
            <w:pPr>
              <w:pStyle w:val="Compact"/>
              <w:jc w:val="left"/>
            </w:pPr>
            <w:r>
              <w:t xml:space="preserve">5 MB</w:t>
            </w:r>
          </w:p>
        </w:tc>
        <w:tc>
          <w:tcPr/>
          <w:p>
            <w:pPr>
              <w:pStyle w:val="Compact"/>
              <w:jc w:val="left"/>
            </w:pPr>
            <w:r>
              <w:t xml:space="preserve">2.1 MB</w:t>
            </w:r>
          </w:p>
        </w:tc>
      </w:tr>
      <w:tr>
        <w:tc>
          <w:tcPr/>
          <w:p>
            <w:pPr>
              <w:pStyle w:val="Compact"/>
              <w:jc w:val="left"/>
            </w:pPr>
            <w:r>
              <w:t xml:space="preserve">GPU</w:t>
            </w:r>
          </w:p>
        </w:tc>
        <w:tc>
          <w:tcPr/>
          <w:p>
            <w:pPr>
              <w:pStyle w:val="Compact"/>
              <w:jc w:val="left"/>
            </w:pPr>
            <w:r>
              <w:t xml:space="preserve">not permitted</w:t>
            </w:r>
          </w:p>
        </w:tc>
        <w:tc>
          <w:tcPr/>
          <w:p>
            <w:pPr>
              <w:pStyle w:val="Compact"/>
              <w:jc w:val="left"/>
            </w:pPr>
            <w:r>
              <w:t xml:space="preserve">none used</w:t>
            </w:r>
          </w:p>
        </w:tc>
      </w:tr>
    </w:tbl>
    <w:p>
      <w:pPr>
        <w:pStyle w:val="BodyText"/>
      </w:pPr>
      <w:r>
        <w:rPr>
          <w:iCs/>
          <w:i/>
        </w:rPr>
        <w:t xml:space="preserve">Table XIII. Non-functional measurements.</w:t>
      </w:r>
    </w:p>
    <w:p>
      <w:pPr>
        <w:pStyle w:val="BodyText"/>
      </w:pPr>
      <w:r>
        <w:t xml:space="preserve">Decoder pass attribution over a 16-image fixture set of photographed codes, including angled shots and two deliberately blurred images, was: fixed-width resize 11, original resolution 2, contrast stretch 2, enlarged contrast stretch 1, total 16 of 16. Rotation passes, when they were present, accounted for none, which is the measurement behind their removal in Section IV-A. We report the negative result because it saved real time on every failed decode.</w:t>
      </w:r>
    </w:p>
    <w:bookmarkEnd w:id="66"/>
    <w:bookmarkStart w:id="67" w:name="g.-channel-coverage"/>
    <w:p>
      <w:pPr>
        <w:pStyle w:val="Heading3"/>
      </w:pPr>
      <w:r>
        <w:t xml:space="preserve">G. Channel Coverage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Attack</w:t>
            </w:r>
          </w:p>
        </w:tc>
        <w:tc>
          <w:tcPr/>
          <w:p>
            <w:pPr>
              <w:pStyle w:val="Compact"/>
              <w:jc w:val="left"/>
            </w:pPr>
            <w:r>
              <w:t xml:space="preserve">CH-1 behaviour</w:t>
            </w:r>
          </w:p>
        </w:tc>
        <w:tc>
          <w:tcPr/>
          <w:p>
            <w:pPr>
              <w:pStyle w:val="Compact"/>
              <w:jc w:val="left"/>
            </w:pPr>
            <w:r>
              <w:t xml:space="preserve">CH-2 shape</w:t>
            </w:r>
          </w:p>
        </w:tc>
        <w:tc>
          <w:tcPr/>
          <w:p>
            <w:pPr>
              <w:pStyle w:val="Compact"/>
              <w:jc w:val="left"/>
            </w:pPr>
            <w:r>
              <w:t xml:space="preserve">CH-3 identifier</w:t>
            </w:r>
          </w:p>
        </w:tc>
        <w:tc>
          <w:tcPr/>
          <w:p>
            <w:pPr>
              <w:pStyle w:val="Compact"/>
              <w:jc w:val="left"/>
            </w:pPr>
            <w:r>
              <w:t xml:space="preserve">CH-4 language</w:t>
            </w:r>
          </w:p>
        </w:tc>
      </w:tr>
      <w:tr>
        <w:tc>
          <w:tcPr/>
          <w:p>
            <w:pPr>
              <w:pStyle w:val="Compact"/>
              <w:jc w:val="left"/>
            </w:pPr>
            <w:r>
              <w:t xml:space="preserve">Probe burst</w:t>
            </w:r>
          </w:p>
        </w:tc>
        <w:tc>
          <w:tcPr/>
          <w:p>
            <w:pPr>
              <w:pStyle w:val="Compact"/>
              <w:jc w:val="left"/>
            </w:pPr>
            <w:r>
              <w:t xml:space="preserve">primary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Hijacked profile</w:t>
            </w:r>
          </w:p>
        </w:tc>
        <w:tc>
          <w:tcPr/>
          <w:p>
            <w:pPr>
              <w:pStyle w:val="Compact"/>
              <w:jc w:val="left"/>
            </w:pPr>
            <w:r>
              <w:t xml:space="preserve">primary</w:t>
            </w:r>
          </w:p>
        </w:tc>
        <w:tc>
          <w:tcPr/>
          <w:p>
            <w:pPr>
              <w:pStyle w:val="Compact"/>
              <w:jc w:val="left"/>
            </w:pPr>
            <w:r>
              <w:t xml:space="preserve">supporting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Funnel account</w:t>
            </w:r>
          </w:p>
        </w:tc>
        <w:tc>
          <w:tcPr/>
          <w:p>
            <w:pPr>
              <w:pStyle w:val="Compact"/>
              <w:jc w:val="left"/>
            </w:pPr>
            <w:r>
              <w:t xml:space="preserve">—</w:t>
            </w:r>
          </w:p>
        </w:tc>
        <w:tc>
          <w:tcPr/>
          <w:p>
            <w:pPr>
              <w:pStyle w:val="Compact"/>
              <w:jc w:val="left"/>
            </w:pPr>
            <w:r>
              <w:t xml:space="preserve">primary</w:t>
            </w:r>
          </w:p>
        </w:tc>
        <w:tc>
          <w:tcPr/>
          <w:p>
            <w:pPr>
              <w:pStyle w:val="Compact"/>
              <w:jc w:val="left"/>
            </w:pPr>
            <w:r>
              <w:t xml:space="preserve">supporting</w:t>
            </w:r>
          </w:p>
        </w:tc>
        <w:tc>
          <w:tcPr/>
          <w:p>
            <w:pPr>
              <w:pStyle w:val="Compact"/>
              <w:jc w:val="left"/>
            </w:pPr>
            <w:r>
              <w:t xml:space="preserve">—</w:t>
            </w:r>
          </w:p>
        </w:tc>
      </w:tr>
      <w:tr>
        <w:tc>
          <w:tcPr/>
          <w:p>
            <w:pPr>
              <w:pStyle w:val="Compact"/>
              <w:jc w:val="left"/>
            </w:pPr>
            <w:r>
              <w:t xml:space="preserve">Lookalike address</w:t>
            </w:r>
          </w:p>
        </w:tc>
        <w:tc>
          <w:tcPr/>
          <w:p>
            <w:pPr>
              <w:pStyle w:val="Compact"/>
              <w:jc w:val="left"/>
            </w:pPr>
            <w:r>
              <w:rPr>
                <w:bCs/>
                <w:b/>
              </w:rPr>
              <w:t xml:space="preserve">blind</w:t>
            </w:r>
          </w:p>
        </w:tc>
        <w:tc>
          <w:tcPr/>
          <w:p>
            <w:pPr>
              <w:pStyle w:val="Compact"/>
              <w:jc w:val="left"/>
            </w:pPr>
            <w:r>
              <w:t xml:space="preserve">—</w:t>
            </w:r>
          </w:p>
        </w:tc>
        <w:tc>
          <w:tcPr/>
          <w:p>
            <w:pPr>
              <w:pStyle w:val="Compact"/>
              <w:jc w:val="left"/>
            </w:pPr>
            <w:r>
              <w:t xml:space="preserve">primary</w:t>
            </w:r>
          </w:p>
        </w:tc>
        <w:tc>
          <w:tcPr/>
          <w:p>
            <w:pPr>
              <w:pStyle w:val="Compact"/>
              <w:jc w:val="left"/>
            </w:pPr>
            <w:r>
              <w:t xml:space="preserve">—</w:t>
            </w:r>
          </w:p>
        </w:tc>
      </w:tr>
      <w:tr>
        <w:tc>
          <w:tcPr/>
          <w:p>
            <w:pPr>
              <w:pStyle w:val="Compact"/>
              <w:jc w:val="left"/>
            </w:pPr>
            <w:r>
              <w:t xml:space="preserve">Substituted code</w:t>
            </w:r>
          </w:p>
        </w:tc>
        <w:tc>
          <w:tcPr/>
          <w:p>
            <w:pPr>
              <w:pStyle w:val="Compact"/>
              <w:jc w:val="left"/>
            </w:pPr>
            <w:r>
              <w:rPr>
                <w:bCs/>
                <w:b/>
              </w:rPr>
              <w:t xml:space="preserve">blind</w:t>
            </w:r>
          </w:p>
        </w:tc>
        <w:tc>
          <w:tcPr/>
          <w:p>
            <w:pPr>
              <w:pStyle w:val="Compact"/>
              <w:jc w:val="left"/>
            </w:pPr>
            <w:r>
              <w:t xml:space="preserve">—</w:t>
            </w:r>
          </w:p>
        </w:tc>
        <w:tc>
          <w:tcPr/>
          <w:p>
            <w:pPr>
              <w:pStyle w:val="Compact"/>
              <w:jc w:val="left"/>
            </w:pPr>
            <w:r>
              <w:t xml:space="preserve">primary</w:t>
            </w:r>
          </w:p>
        </w:tc>
        <w:tc>
          <w:tcPr/>
          <w:p>
            <w:pPr>
              <w:pStyle w:val="Compact"/>
              <w:jc w:val="left"/>
            </w:pPr>
            <w:r>
              <w:t xml:space="preserve">—</w:t>
            </w:r>
          </w:p>
        </w:tc>
      </w:tr>
      <w:tr>
        <w:tc>
          <w:tcPr/>
          <w:p>
            <w:pPr>
              <w:pStyle w:val="Compact"/>
              <w:jc w:val="left"/>
            </w:pPr>
            <w:r>
              <w:t xml:space="preserve">Victim-authorised transfer</w:t>
            </w:r>
          </w:p>
        </w:tc>
        <w:tc>
          <w:tcPr/>
          <w:p>
            <w:pPr>
              <w:pStyle w:val="Compact"/>
              <w:jc w:val="left"/>
            </w:pPr>
            <w:r>
              <w:t xml:space="preserve">weak (28.6%)</w:t>
            </w:r>
          </w:p>
        </w:tc>
        <w:tc>
          <w:tcPr/>
          <w:p>
            <w:pPr>
              <w:pStyle w:val="Compact"/>
              <w:jc w:val="left"/>
            </w:pPr>
            <w:r>
              <w:t xml:space="preserve">supporting</w:t>
            </w:r>
          </w:p>
        </w:tc>
        <w:tc>
          <w:tcPr/>
          <w:p>
            <w:pPr>
              <w:pStyle w:val="Compact"/>
              <w:jc w:val="left"/>
            </w:pPr>
            <w:r>
              <w:t xml:space="preserve">supporting</w:t>
            </w:r>
          </w:p>
        </w:tc>
        <w:tc>
          <w:tcPr/>
          <w:p>
            <w:pPr>
              <w:pStyle w:val="Compact"/>
              <w:jc w:val="left"/>
            </w:pPr>
            <w:r>
              <w:t xml:space="preserve">primary</w:t>
            </w:r>
          </w:p>
        </w:tc>
      </w:tr>
    </w:tbl>
    <w:p>
      <w:pPr>
        <w:pStyle w:val="BodyText"/>
      </w:pPr>
      <w:r>
        <w:rPr>
          <w:iCs/>
          <w:i/>
        </w:rPr>
        <w:t xml:space="preserve">Table XIV. Which channel carries which attack.</w:t>
      </w:r>
    </w:p>
    <w:p>
      <w:pPr>
        <w:pStyle w:val="BodyText"/>
      </w:pPr>
      <w:r>
        <w:rPr>
          <w:iCs/>
          <w:i/>
        </w:rPr>
        <w:t xml:space="preserve">Blind</w:t>
      </w:r>
      <w:r>
        <w:t xml:space="preserve"> </w:t>
      </w:r>
      <w:r>
        <w:t xml:space="preserve">is used precisely in this table. CH-1 does not score lookalike addresses poorly; it cannot see them. A transfer to an address spelled with a Cyrillic character resembling a Latin one yields a feature vector identical to a transfer to the genuine handle, because no feature in Table IV reads the characters of the address. Any design permitting a low model probability to reduce a band would let a confident, well-calibrated and entirely correct model output clear a critical identity attack. Table XIV is what the fusion rule of Section IV-C looks like when written out row by row.</w:t>
      </w:r>
    </w:p>
    <w:bookmarkEnd w:id="67"/>
    <w:bookmarkEnd w:id="68"/>
    <w:bookmarkStart w:id="73" w:name="x.-discussion-and-threats-to-validity"/>
    <w:p>
      <w:pPr>
        <w:pStyle w:val="Heading2"/>
      </w:pPr>
      <w:r>
        <w:t xml:space="preserve">X. Discussion and Threats to Validity</w:t>
      </w:r>
    </w:p>
    <w:bookmarkStart w:id="69" w:name="Xa0bd4985cb2346aea7e4d710a8f33e9708bace7"/>
    <w:p>
      <w:pPr>
        <w:pStyle w:val="Heading3"/>
      </w:pPr>
      <w:r>
        <w:t xml:space="preserve">A. On Comparing Against Card-Fraud Figures</w:t>
      </w:r>
    </w:p>
    <w:p>
      <w:pPr>
        <w:pStyle w:val="FirstParagraph"/>
      </w:pPr>
      <w:r>
        <w:t xml:space="preserve">Our PR-AUC of 0.5284 sits below values commonly reported for card-fraud classifiers, and we want to say plainly that the comparison should not be drawn. The differences are not of degree.</w:t>
      </w:r>
    </w:p>
    <w:p>
      <w:pPr>
        <w:pStyle w:val="BodyText"/>
      </w:pPr>
      <w:r>
        <w:t xml:space="preserve">Those classifiers operate on real data. They face no requirement to catch a transfer the account holder authorised. Their domain is one where the fraudulent transaction is anomalous by construction, because the cardholder did not make it. In victim-authorised fraud the account holder makes the payment personally, deliberately, having been deceived, and Table X puts a number on what a transaction-level classifier can do with that. A benchmark figure carried across from the card setting measures a different problem.</w:t>
      </w:r>
    </w:p>
    <w:p>
      <w:pPr>
        <w:pStyle w:val="BodyText"/>
      </w:pPr>
      <w:r>
        <w:t xml:space="preserve">What we claim is not a better number on a shared benchmark. It is an architecture in which the class that transaction classifiers cannot catch is carried by channels that can, together with a fusion rule that stops the blind channel overruling the sighted one.</w:t>
      </w:r>
    </w:p>
    <w:bookmarkEnd w:id="69"/>
    <w:bookmarkStart w:id="70" w:name="b.-threats-to-validity"/>
    <w:p>
      <w:pPr>
        <w:pStyle w:val="Heading3"/>
      </w:pPr>
      <w:r>
        <w:t xml:space="preserve">B. Threats to Validity</w:t>
      </w:r>
    </w:p>
    <w:p>
      <w:pPr>
        <w:pStyle w:val="FirstParagraph"/>
      </w:pPr>
      <w:r>
        <w:rPr>
          <w:bCs/>
          <w:b/>
        </w:rPr>
        <w:t xml:space="preserve">The corpus is generated.</w:t>
      </w:r>
      <w:r>
        <w:t xml:space="preserve"> </w:t>
      </w:r>
      <w:r>
        <w:t xml:space="preserve">This is the most serious threat and it bounds every figure in Section IX. Section V-A sets out why no public labelled alternative exists and what we did to keep the generator honest, and none of it makes the corpus real. The correct reading of our results is that they demonstrate the method under stated assumptions, not that they predict field performance. Validation against real labelled transactions, under a data-sharing arrangement with a payment service provider, is the single highest-value piece of future work and nothing else we could do would substitute for it.</w:t>
      </w:r>
    </w:p>
    <w:p>
      <w:pPr>
        <w:pStyle w:val="BodyText"/>
      </w:pPr>
      <w:r>
        <w:rPr>
          <w:bCs/>
          <w:b/>
        </w:rPr>
        <w:t xml:space="preserve">Mode recall rests on our own mode definitions.</w:t>
      </w:r>
      <w:r>
        <w:t xml:space="preserve"> </w:t>
      </w:r>
      <w:r>
        <w:t xml:space="preserve">Table X reports recall against the four constructions in Table III. Those constructions encode our reading of the regulatory complaint categories. A reader who disputes the reading should discount the per-mode figures accordingly, though the ablation in Table XI is robust to the exact split because it compares feature sets on a fixed subset.</w:t>
      </w:r>
    </w:p>
    <w:p>
      <w:pPr>
        <w:pStyle w:val="BodyText"/>
      </w:pPr>
      <w:r>
        <w:rPr>
          <w:bCs/>
          <w:b/>
        </w:rPr>
        <w:t xml:space="preserve">Cold start.</w:t>
      </w:r>
      <w:r>
        <w:t xml:space="preserve"> </w:t>
      </w:r>
      <w:r>
        <w:t xml:space="preserve">Feature f10 is the strongest predictor and is zero for every payee a new user has not yet paid, so the system is weakest for the users it is most intended to help. Statement import mitigates this but requires an extra step from a user who has no reason yet to trust the application.</w:t>
      </w:r>
    </w:p>
    <w:p>
      <w:pPr>
        <w:pStyle w:val="BodyText"/>
      </w:pPr>
      <w:r>
        <w:rPr>
          <w:bCs/>
          <w:b/>
        </w:rPr>
        <w:t xml:space="preserve">The graph is local.</w:t>
      </w:r>
      <w:r>
        <w:t xml:space="preserve"> </w:t>
      </w:r>
      <w:r>
        <w:rPr>
          <w:iCs/>
          <w:i/>
        </w:rPr>
        <w:t xml:space="preserve">G</w:t>
      </w:r>
      <w:r>
        <w:t xml:space="preserve">(</w:t>
      </w:r>
      <w:r>
        <w:rPr>
          <w:iCs/>
          <w:i/>
        </w:rPr>
        <w:t xml:space="preserve">τ</w:t>
      </w:r>
      <w:r>
        <w:t xml:space="preserve">) is built from one deployment’s own observed payments plus imported statements. A payment service provider sees the whole rail; we see what our users show us. A funnel account that none of our users has paid has no position in our graph and CH-2 cannot speak about it.</w:t>
      </w:r>
    </w:p>
    <w:p>
      <w:pPr>
        <w:pStyle w:val="BodyText"/>
      </w:pPr>
      <w:r>
        <w:rPr>
          <w:bCs/>
          <w:b/>
        </w:rPr>
        <w:t xml:space="preserve">CH-4 needs the message.</w:t>
      </w:r>
      <w:r>
        <w:t xml:space="preserve"> </w:t>
      </w:r>
      <w:r>
        <w:t xml:space="preserve">Nothing in this design reads the user’s messaging applications, and that is deliberate. A user who does not paste the message gets no benefit from the channel that covers their most likely attack, which caps the practical contribution of CH-4 below its measured recall.</w:t>
      </w:r>
    </w:p>
    <w:p>
      <w:pPr>
        <w:pStyle w:val="BodyText"/>
      </w:pPr>
      <w:r>
        <w:rPr>
          <w:bCs/>
          <w:b/>
        </w:rPr>
        <w:t xml:space="preserve">Coercion corpus size and language coverage.</w:t>
      </w:r>
      <w:r>
        <w:t xml:space="preserve"> </w:t>
      </w:r>
      <w:r>
        <w:t xml:space="preserve">One thousand messages is small. The corpus also leans monolingual and under-represents the code-mixed Hindi-English and regional-language messages in which a large share of these attacks are delivered. Both the size and the coverage need to grow before the 74.3% figure should be relied on operationally.</w:t>
      </w:r>
    </w:p>
    <w:p>
      <w:pPr>
        <w:pStyle w:val="BodyText"/>
      </w:pPr>
      <w:r>
        <w:rPr>
          <w:bCs/>
          <w:b/>
        </w:rPr>
        <w:t xml:space="preserve">No field trial.</w:t>
      </w:r>
      <w:r>
        <w:t xml:space="preserve"> </w:t>
      </w:r>
      <w:r>
        <w:t xml:space="preserve">The claim in Section IX-B that a 0.93% interruption rate stays below the threshold at which users begin dismissing warnings unread is a reasoned argument, not a measurement. Whether payers read the interstitial, act on it, and continue to do so over months is the question on which the system’s real-world value turns, and it cannot be answered from a corpus.</w:t>
      </w:r>
    </w:p>
    <w:bookmarkEnd w:id="70"/>
    <w:bookmarkStart w:id="71" w:name="c.-privacy-and-deployment"/>
    <w:p>
      <w:pPr>
        <w:pStyle w:val="Heading3"/>
      </w:pPr>
      <w:r>
        <w:t xml:space="preserve">C. Privacy and Deployment</w:t>
      </w:r>
    </w:p>
    <w:p>
      <w:pPr>
        <w:pStyle w:val="FirstParagraph"/>
      </w:pPr>
      <w:r>
        <w:t xml:space="preserve">The architecture keeps two categories of data off the wire by construction. A scanned image is reduced to its embedded string on the payer’s device, so no photograph is transmitted or stored. Message text is classified and discarded within the request that carried it.</w:t>
      </w:r>
    </w:p>
    <w:p>
      <w:pPr>
        <w:pStyle w:val="BodyText"/>
      </w:pPr>
      <w:r>
        <w:t xml:space="preserve">The local-graph limitation above has an obvious remedy, a shared reputation database, which creates a worse problem than it solves: a virtual payment address is directly identifying, so pooling edges across deployments builds a central record of who pays whom. Federated aggregation, in which participating deployments contribute noised structural statistics about payees without exposing individual edges, would let inflow shape be computed across the rail without pooling raw records, and is the direction we would pursue.</w:t>
      </w:r>
    </w:p>
    <w:bookmarkEnd w:id="71"/>
    <w:bookmarkStart w:id="72" w:name="X17ea5c7045d731e79fd8c3ccd8ad1d1ab063c6c"/>
    <w:p>
      <w:pPr>
        <w:pStyle w:val="Heading3"/>
      </w:pPr>
      <w:r>
        <w:t xml:space="preserve">D. Explanatory Components and Untrusted Text</w:t>
      </w:r>
    </w:p>
    <w:p>
      <w:pPr>
        <w:pStyle w:val="FirstParagraph"/>
      </w:pPr>
      <w:r>
        <w:t xml:space="preserve">Our deployment includes an optional conversational panel that restates a verdict in plain language. It is worth one paragraph because of a hazard specific to this application domain rather than because of the component itself.</w:t>
      </w:r>
    </w:p>
    <w:p>
      <w:pPr>
        <w:pStyle w:val="BodyText"/>
      </w:pPr>
      <w:r>
        <w:t xml:space="preserve">Such a panel reads attacker-authored text by design, since a coercive message is by definition written by someone trying to manipulate a reader, and a language model is a reader. Indirect prompt injection [15] is therefore not a hypothetical risk here but the ordinary operating condition. We handle it in three ways: content of external origin is fenced, with pre-existing fence markers stripped so the fence cannot be closed early; the model is given no authority over any verdict, band or finding, so there is nothing for an injected instruction to obtain; and responses are rendered as plain text with no link rendering, so a model that has been talked into emitting an address does not hand the payer something tappable. The general principle, which we would apply to any explanatory layer in a security product, is to remove the model’s ability to act rather than to rely on instructing it not to.</w:t>
      </w:r>
    </w:p>
    <w:bookmarkEnd w:id="72"/>
    <w:bookmarkEnd w:id="73"/>
    <w:bookmarkStart w:id="76" w:name="xi.-conclusion"/>
    <w:p>
      <w:pPr>
        <w:pStyle w:val="Heading2"/>
      </w:pPr>
      <w:r>
        <w:t xml:space="preserve">XI. Conclusion</w:t>
      </w:r>
    </w:p>
    <w:p>
      <w:pPr>
        <w:pStyle w:val="FirstParagraph"/>
      </w:pPr>
      <w:r>
        <w:t xml:space="preserve">We set out to move fraud detection on an irreversible payment rail from after the transfer to before it, and found that the harder half of the problem is not timing but the nature of the dominant attack. On UPI the account holder is usually the one who authorises the fraudulent payment, having been deceived beforehand, and the transaction itself carries no anomaly. Our behavioural classifier reaches a ROC-AUC of 0.9702 and recalls 28.6% of that class. Both numbers are correct and the second is the one that describes the problem.</w:t>
      </w:r>
    </w:p>
    <w:p>
      <w:pPr>
        <w:pStyle w:val="BodyText"/>
      </w:pPr>
      <w:r>
        <w:t xml:space="preserve">The Pre-Payment Evidence Engine responds by scoring four evidence channels independently and merging them under an escalation-only rule, so that a channel which cannot see a given attack is never allowed to overrule one that can. The measured results on a 120,000-attempt corpus are a PR-AUC of 0.5284 and 55.8% recall at a false-alarm rate of 0.93%, inside a budget fixed before the test data was read; 74.3% recall on coercive messages at one false alarm in 167 genuine institutional notifications; and a median decision latency of 84 ms on CPU with no external lookup. An ablation shows payee-side inflow shape contributing 19.8 percentage points of victim-authorised-transfer recall over the stronger single-sided model, which is the empirical case for the bipartite construction.</w:t>
      </w:r>
    </w:p>
    <w:p>
      <w:pPr>
        <w:pStyle w:val="BodyText"/>
      </w:pPr>
      <w:r>
        <w:t xml:space="preserve">We also report a methodological result we did not plan. An audit of our own evaluation pipeline found three defects that each made reported performance better than the truth, and none that made it worse. That asymmetry is not chance: a defect that lowers a headline metric is investigated immediately, while one that raises it is found only by someone deliberately looking. The figures in this paper are smaller than the ones we first obtained, and they are the ones we can defend.</w:t>
      </w:r>
    </w:p>
    <w:bookmarkStart w:id="74" w:name="future-work"/>
    <w:p>
      <w:pPr>
        <w:pStyle w:val="Heading3"/>
      </w:pPr>
      <w:r>
        <w:t xml:space="preserve">Future Work</w:t>
      </w:r>
    </w:p>
    <w:p>
      <w:pPr>
        <w:pStyle w:val="FirstParagraph"/>
      </w:pPr>
      <w:r>
        <w:rPr>
          <w:bCs/>
          <w:b/>
        </w:rPr>
        <w:t xml:space="preserve">Validation on real transactions.</w:t>
      </w:r>
      <w:r>
        <w:t xml:space="preserve"> </w:t>
      </w:r>
      <w:r>
        <w:t xml:space="preserve">Everything above carries the simulation caveat, and no amount of care in generating the corpus removes it. A collaboration permitting the Section IX evaluation to be repeated on real labelled data is the work that matters most.</w:t>
      </w:r>
    </w:p>
    <w:p>
      <w:pPr>
        <w:pStyle w:val="BodyText"/>
      </w:pPr>
      <w:r>
        <w:rPr>
          <w:bCs/>
          <w:b/>
        </w:rPr>
        <w:t xml:space="preserve">Federated inflow shape.</w:t>
      </w:r>
      <w:r>
        <w:t xml:space="preserve"> </w:t>
      </w:r>
      <w:r>
        <w:t xml:space="preserve">Computing payee structure across deployments without pooling payer-payee edges, along the lines sketched in Section X-C, would remove the local-graph limitation without creating a central record of who pays whom.</w:t>
      </w:r>
    </w:p>
    <w:p>
      <w:pPr>
        <w:pStyle w:val="BodyText"/>
      </w:pPr>
      <w:r>
        <w:rPr>
          <w:bCs/>
          <w:b/>
        </w:rPr>
        <w:t xml:space="preserve">Temporal modelling of inflow.</w:t>
      </w:r>
      <w:r>
        <w:t xml:space="preserve"> </w:t>
      </w:r>
      <w:r>
        <w:t xml:space="preserve">Our shape signature is computed over fixed windows. Modelling the evolution of an address’s inflow should in principle identify a funnel account during its ramp-up rather than after it.</w:t>
      </w:r>
    </w:p>
    <w:p>
      <w:pPr>
        <w:pStyle w:val="BodyText"/>
      </w:pPr>
      <w:r>
        <w:rPr>
          <w:bCs/>
          <w:b/>
        </w:rPr>
        <w:t xml:space="preserve">Corpus growth for CH-4.</w:t>
      </w:r>
      <w:r>
        <w:t xml:space="preserve"> </w:t>
      </w:r>
      <w:r>
        <w:t xml:space="preserve">Larger, and specifically covering code-mixed and regional-language messages, which are how a large share of these attacks actually arrive.</w:t>
      </w:r>
    </w:p>
    <w:p>
      <w:pPr>
        <w:pStyle w:val="BodyText"/>
      </w:pPr>
      <w:r>
        <w:rPr>
          <w:bCs/>
          <w:b/>
        </w:rPr>
        <w:t xml:space="preserve">Collect-request analysis.</w:t>
      </w:r>
      <w:r>
        <w:t xml:space="preserve"> </w:t>
      </w:r>
      <w:r>
        <w:t xml:space="preserve">UPI collect requests invert the flow, with the fraudster asking the victim to approve a pull. The typology differs and the present system analyses the push flow only.</w:t>
      </w:r>
    </w:p>
    <w:p>
      <w:pPr>
        <w:pStyle w:val="BodyText"/>
      </w:pPr>
      <w:r>
        <w:rPr>
          <w:bCs/>
          <w:b/>
        </w:rPr>
        <w:t xml:space="preserve">On-device inference.</w:t>
      </w:r>
      <w:r>
        <w:t xml:space="preserve"> </w:t>
      </w:r>
      <w:r>
        <w:t xml:space="preserve">At 2.1 MB the model artefact is small enough to run on the handset, which would remove the round trip entirely and mean no payee address leaves the device for a check.</w:t>
      </w:r>
    </w:p>
    <w:p>
      <w:pPr>
        <w:pStyle w:val="BodyText"/>
      </w:pPr>
      <w:r>
        <w:rPr>
          <w:bCs/>
          <w:b/>
        </w:rPr>
        <w:t xml:space="preserve">A field study.</w:t>
      </w:r>
      <w:r>
        <w:t xml:space="preserve"> </w:t>
      </w:r>
      <w:r>
        <w:t xml:space="preserve">Whether payers read the interstitial, act on it, and keep doing so. This is the question that decides whether any of the above is worth deploying, and it cannot be answered from a corpus.</w:t>
      </w:r>
    </w:p>
    <w:bookmarkEnd w:id="74"/>
    <w:bookmarkStart w:id="75" w:name="acknowledgment"/>
    <w:p>
      <w:pPr>
        <w:pStyle w:val="Heading3"/>
      </w:pPr>
      <w:r>
        <w:t xml:space="preserve">Acknowledgment</w:t>
      </w:r>
    </w:p>
    <w:p>
      <w:pPr>
        <w:pStyle w:val="FirstParagraph"/>
      </w:pPr>
      <w:r>
        <w:t xml:space="preserve">[Acknowledge your guide, department and institution here before submission.]</w:t>
      </w:r>
    </w:p>
    <w:bookmarkEnd w:id="75"/>
    <w:bookmarkEnd w:id="76"/>
    <w:bookmarkStart w:id="78" w:name="references"/>
    <w:p>
      <w:pPr>
        <w:pStyle w:val="Heading2"/>
      </w:pPr>
      <w:r>
        <w:t xml:space="preserve">References</w:t>
      </w:r>
    </w:p>
    <w:p>
      <w:pPr>
        <w:pStyle w:val="FirstParagraph"/>
      </w:pPr>
      <w:r>
        <w:t xml:space="preserve">[1] Reserve Bank of India,</w:t>
      </w:r>
      <w:r>
        <w:t xml:space="preserve"> </w:t>
      </w:r>
      <w:r>
        <w:rPr>
          <w:iCs/>
          <w:i/>
        </w:rPr>
        <w:t xml:space="preserve">Annual Report on Payment Systems, 2024-25</w:t>
      </w:r>
      <w:r>
        <w:t xml:space="preserve">. Mumbai, India: Reserve Bank of India, 2025.</w:t>
      </w:r>
    </w:p>
    <w:p>
      <w:pPr>
        <w:pStyle w:val="BodyText"/>
      </w:pPr>
      <w:r>
        <w:t xml:space="preserve">[2] A. Dal Pozzolo, G. Boracchi, O. Caelen, C. Alippi, and G. Bontempi,</w:t>
      </w:r>
      <w:r>
        <w:t xml:space="preserve"> </w:t>
      </w:r>
      <w:r>
        <w:t xml:space="preserve">“</w:t>
      </w:r>
      <w:r>
        <w:t xml:space="preserve">Credit card fraud detection: A realistic modeling and a novel learning strategy,</w:t>
      </w:r>
      <w:r>
        <w:t xml:space="preserve">”</w:t>
      </w:r>
      <w:r>
        <w:t xml:space="preserve"> </w:t>
      </w:r>
      <w:r>
        <w:rPr>
          <w:iCs/>
          <w:i/>
        </w:rPr>
        <w:t xml:space="preserve">IEEE Trans. Neural Netw. Learn. Syst.</w:t>
      </w:r>
      <w:r>
        <w:t xml:space="preserve">, vol. 29, no. 8, pp. 3784-3797, Aug. 2018.</w:t>
      </w:r>
    </w:p>
    <w:p>
      <w:pPr>
        <w:pStyle w:val="BodyText"/>
      </w:pPr>
      <w:r>
        <w:t xml:space="preserve">[3] A. C. Bahnsen, D. Aouada, A. Stojanovic, and B. Ottersten,</w:t>
      </w:r>
      <w:r>
        <w:t xml:space="preserve"> </w:t>
      </w:r>
      <w:r>
        <w:t xml:space="preserve">“</w:t>
      </w:r>
      <w:r>
        <w:t xml:space="preserve">Feature engineering strategies for credit card fraud detection,</w:t>
      </w:r>
      <w:r>
        <w:t xml:space="preserve">”</w:t>
      </w:r>
      <w:r>
        <w:t xml:space="preserve"> </w:t>
      </w:r>
      <w:r>
        <w:rPr>
          <w:iCs/>
          <w:i/>
        </w:rPr>
        <w:t xml:space="preserve">Expert Syst. Appl.</w:t>
      </w:r>
      <w:r>
        <w:t xml:space="preserve">, vol. 51, pp. 134-142, Jun. 2016.</w:t>
      </w:r>
    </w:p>
    <w:p>
      <w:pPr>
        <w:pStyle w:val="BodyText"/>
      </w:pPr>
      <w:r>
        <w:t xml:space="preserve">[4] L. Akoglu, H. Tong, and D. Koutra,</w:t>
      </w:r>
      <w:r>
        <w:t xml:space="preserve"> </w:t>
      </w:r>
      <w:r>
        <w:t xml:space="preserve">“</w:t>
      </w:r>
      <w:r>
        <w:t xml:space="preserve">Graph based anomaly detection and description: A survey,</w:t>
      </w:r>
      <w:r>
        <w:t xml:space="preserve">”</w:t>
      </w:r>
      <w:r>
        <w:t xml:space="preserve"> </w:t>
      </w:r>
      <w:r>
        <w:rPr>
          <w:iCs/>
          <w:i/>
        </w:rPr>
        <w:t xml:space="preserve">Data Min. Knowl. Discov.</w:t>
      </w:r>
      <w:r>
        <w:t xml:space="preserve">, vol. 29, no. 3, pp. 626-688, May 2015.</w:t>
      </w:r>
    </w:p>
    <w:p>
      <w:pPr>
        <w:pStyle w:val="BodyText"/>
      </w:pPr>
      <w:r>
        <w:t xml:space="preserve">[5] V. Van Vlasselaer, C. Bravo, O. Caelen, T. Eliassi-Rad, L. Akoglu, M. Snoeck, and B. Baesens,</w:t>
      </w:r>
      <w:r>
        <w:t xml:space="preserve"> </w:t>
      </w:r>
      <w:r>
        <w:t xml:space="preserve">“</w:t>
      </w:r>
      <w:r>
        <w:t xml:space="preserve">APATE: A novel approach for automated credit card transaction fraud detection using network-based extensions,</w:t>
      </w:r>
      <w:r>
        <w:t xml:space="preserve">”</w:t>
      </w:r>
      <w:r>
        <w:t xml:space="preserve"> </w:t>
      </w:r>
      <w:r>
        <w:rPr>
          <w:iCs/>
          <w:i/>
        </w:rPr>
        <w:t xml:space="preserve">Decis. Support Syst.</w:t>
      </w:r>
      <w:r>
        <w:t xml:space="preserve">, vol. 75, pp. 38-48, Jul. 2015.</w:t>
      </w:r>
    </w:p>
    <w:p>
      <w:pPr>
        <w:pStyle w:val="BodyText"/>
      </w:pPr>
      <w:r>
        <w:t xml:space="preserve">[6] B. Hooi, H. A. Song, A. Beutel, N. Shah, K. Shin, and C. Faloutsos,</w:t>
      </w:r>
      <w:r>
        <w:t xml:space="preserve"> </w:t>
      </w:r>
      <w:r>
        <w:t xml:space="preserve">“</w:t>
      </w:r>
      <w:r>
        <w:t xml:space="preserve">FRAUDAR: Bounding graph fraud in the face of camouflage,</w:t>
      </w:r>
      <w:r>
        <w:t xml:space="preserve">”</w:t>
      </w:r>
      <w:r>
        <w:t xml:space="preserve"> </w:t>
      </w:r>
      <w:r>
        <w:t xml:space="preserve">in</w:t>
      </w:r>
      <w:r>
        <w:t xml:space="preserve"> </w:t>
      </w:r>
      <w:r>
        <w:rPr>
          <w:iCs/>
          <w:i/>
        </w:rPr>
        <w:t xml:space="preserve">Proc. 22nd ACM SIGKDD Int. Conf. Knowl. Discovery Data Mining</w:t>
      </w:r>
      <w:r>
        <w:t xml:space="preserve">, San Francisco, CA, USA, 2016, pp. 895-904.</w:t>
      </w:r>
    </w:p>
    <w:p>
      <w:pPr>
        <w:pStyle w:val="BodyText"/>
      </w:pPr>
      <w:r>
        <w:t xml:space="preserve">[7] National Payments Corporation of India,</w:t>
      </w:r>
      <w:r>
        <w:t xml:space="preserve"> </w:t>
      </w:r>
      <w:r>
        <w:rPr>
          <w:iCs/>
          <w:i/>
        </w:rPr>
        <w:t xml:space="preserve">UPI Procedural Guidelines and Linking Specifications</w:t>
      </w:r>
      <w:r>
        <w:t xml:space="preserve">, Mumbai, India, 2025.</w:t>
      </w:r>
    </w:p>
    <w:p>
      <w:pPr>
        <w:pStyle w:val="BodyText"/>
      </w:pPr>
      <w:r>
        <w:t xml:space="preserve">[8] M. Weber, G. Domeniconi, J. Chen, D. K. I. Weidele, C. Bellei, T. Robinson, and C. E. Leiserson,</w:t>
      </w:r>
      <w:r>
        <w:t xml:space="preserve"> </w:t>
      </w:r>
      <w:r>
        <w:t xml:space="preserve">“</w:t>
      </w:r>
      <w:r>
        <w:t xml:space="preserve">Anti-money laundering in bitcoin: Experimenting with graph convolutional networks for financial forensics,</w:t>
      </w:r>
      <w:r>
        <w:t xml:space="preserve">”</w:t>
      </w:r>
      <w:r>
        <w:t xml:space="preserve"> </w:t>
      </w:r>
      <w:r>
        <w:t xml:space="preserve">in</w:t>
      </w:r>
      <w:r>
        <w:t xml:space="preserve"> </w:t>
      </w:r>
      <w:r>
        <w:rPr>
          <w:iCs/>
          <w:i/>
        </w:rPr>
        <w:t xml:space="preserve">Proc. KDD Workshop Anomaly Detection Finance</w:t>
      </w:r>
      <w:r>
        <w:t xml:space="preserve">, Anchorage, AK, USA, 2019.</w:t>
      </w:r>
    </w:p>
    <w:p>
      <w:pPr>
        <w:pStyle w:val="BodyText"/>
      </w:pPr>
      <w:r>
        <w:t xml:space="preserve">[9] Unicode Consortium,</w:t>
      </w:r>
      <w:r>
        <w:t xml:space="preserve"> </w:t>
      </w:r>
      <w:r>
        <w:rPr>
          <w:iCs/>
          <w:i/>
        </w:rPr>
        <w:t xml:space="preserve">Unicode Technical Standard #39: Unicode Security Mechanisms</w:t>
      </w:r>
      <w:r>
        <w:t xml:space="preserve">. [Online]. Available: https://www.unicode.org/reports/tr39/</w:t>
      </w:r>
    </w:p>
    <w:p>
      <w:pPr>
        <w:pStyle w:val="BodyText"/>
      </w:pPr>
      <w:r>
        <w:t xml:space="preserve">[10] H. Yao and D. Shin,</w:t>
      </w:r>
      <w:r>
        <w:t xml:space="preserve"> </w:t>
      </w:r>
      <w:r>
        <w:t xml:space="preserve">“</w:t>
      </w:r>
      <w:r>
        <w:t xml:space="preserve">Towards preventing QR code based attacks on Android phone using security warnings,</w:t>
      </w:r>
      <w:r>
        <w:t xml:space="preserve">”</w:t>
      </w:r>
      <w:r>
        <w:t xml:space="preserve"> </w:t>
      </w:r>
      <w:r>
        <w:t xml:space="preserve">in</w:t>
      </w:r>
      <w:r>
        <w:t xml:space="preserve"> </w:t>
      </w:r>
      <w:r>
        <w:rPr>
          <w:iCs/>
          <w:i/>
        </w:rPr>
        <w:t xml:space="preserve">Proc. ACM Symp. Inf., Comput. Commun. Security</w:t>
      </w:r>
      <w:r>
        <w:t xml:space="preserve">, 2013, pp. 341-346.</w:t>
      </w:r>
    </w:p>
    <w:p>
      <w:pPr>
        <w:pStyle w:val="BodyText"/>
      </w:pPr>
      <w:r>
        <w:t xml:space="preserve">[11] A. Ferreira and S. Teles,</w:t>
      </w:r>
      <w:r>
        <w:t xml:space="preserve"> </w:t>
      </w:r>
      <w:r>
        <w:t xml:space="preserve">“</w:t>
      </w:r>
      <w:r>
        <w:t xml:space="preserve">Persuasion: How phishing emails can influence users and bypass security measures,</w:t>
      </w:r>
      <w:r>
        <w:t xml:space="preserve">”</w:t>
      </w:r>
      <w:r>
        <w:t xml:space="preserve"> </w:t>
      </w:r>
      <w:r>
        <w:rPr>
          <w:iCs/>
          <w:i/>
        </w:rPr>
        <w:t xml:space="preserve">Int. J. Human-Computer Studies</w:t>
      </w:r>
      <w:r>
        <w:t xml:space="preserve">, vol. 125, pp. 19-31, May 2019.</w:t>
      </w:r>
    </w:p>
    <w:p>
      <w:pPr>
        <w:pStyle w:val="BodyText"/>
      </w:pPr>
      <w:r>
        <w:t xml:space="preserve">[12] R. Verma and N. Hossain,</w:t>
      </w:r>
      <w:r>
        <w:t xml:space="preserve"> </w:t>
      </w:r>
      <w:r>
        <w:t xml:space="preserve">“</w:t>
      </w:r>
      <w:r>
        <w:t xml:space="preserve">Semantic feature selection for text with application to phishing email detection,</w:t>
      </w:r>
      <w:r>
        <w:t xml:space="preserve">”</w:t>
      </w:r>
      <w:r>
        <w:t xml:space="preserve"> </w:t>
      </w:r>
      <w:r>
        <w:t xml:space="preserve">in</w:t>
      </w:r>
      <w:r>
        <w:t xml:space="preserve"> </w:t>
      </w:r>
      <w:r>
        <w:rPr>
          <w:iCs/>
          <w:i/>
        </w:rPr>
        <w:t xml:space="preserve">Information Security and Cryptology - ICISC 2013</w:t>
      </w:r>
      <w:r>
        <w:t xml:space="preserve">, Lecture Notes in Computer Science. Berlin, Germany: Springer, 2014, pp. 455-468.</w:t>
      </w:r>
    </w:p>
    <w:p>
      <w:pPr>
        <w:pStyle w:val="BodyText"/>
      </w:pPr>
      <w:r>
        <w:t xml:space="preserve">[13] C. Guo, G. Pleiss, Y. Sun, and K. Q. Weinberger,</w:t>
      </w:r>
      <w:r>
        <w:t xml:space="preserve"> </w:t>
      </w:r>
      <w:r>
        <w:t xml:space="preserve">“</w:t>
      </w:r>
      <w:r>
        <w:t xml:space="preserve">On calibration of modern neural networks,</w:t>
      </w:r>
      <w:r>
        <w:t xml:space="preserve">”</w:t>
      </w:r>
      <w:r>
        <w:t xml:space="preserve"> </w:t>
      </w:r>
      <w:r>
        <w:t xml:space="preserve">in</w:t>
      </w:r>
      <w:r>
        <w:t xml:space="preserve"> </w:t>
      </w:r>
      <w:r>
        <w:rPr>
          <w:iCs/>
          <w:i/>
        </w:rPr>
        <w:t xml:space="preserve">Proc. 34th Int. Conf. Machine Learning (ICML)</w:t>
      </w:r>
      <w:r>
        <w:t xml:space="preserve">, Sydney, Australia, 2017, pp. 1321-1330.</w:t>
      </w:r>
    </w:p>
    <w:p>
      <w:pPr>
        <w:pStyle w:val="BodyText"/>
      </w:pPr>
      <w:r>
        <w:t xml:space="preserve">[14] S. M. Lundberg and S.-I. Lee,</w:t>
      </w:r>
      <w:r>
        <w:t xml:space="preserve"> </w:t>
      </w:r>
      <w:r>
        <w:t xml:space="preserve">“</w:t>
      </w:r>
      <w:r>
        <w:t xml:space="preserve">A unified approach to interpreting model predictions,</w:t>
      </w:r>
      <w:r>
        <w:t xml:space="preserve">”</w:t>
      </w:r>
      <w:r>
        <w:t xml:space="preserve"> </w:t>
      </w:r>
      <w:r>
        <w:t xml:space="preserve">in</w:t>
      </w:r>
      <w:r>
        <w:t xml:space="preserve"> </w:t>
      </w:r>
      <w:r>
        <w:rPr>
          <w:iCs/>
          <w:i/>
        </w:rPr>
        <w:t xml:space="preserve">Advances in Neural Information Processing Systems 30</w:t>
      </w:r>
      <w:r>
        <w:t xml:space="preserve">, Long Beach, CA, USA, 2017, pp. 4765-4774.</w:t>
      </w:r>
    </w:p>
    <w:p>
      <w:pPr>
        <w:pStyle w:val="BodyText"/>
      </w:pPr>
      <w:r>
        <w:t xml:space="preserve">[15] K. Greshake, S. Abdelnabi, S. Mishra, C. Endres, T. Holz, and M. Fritz,</w:t>
      </w:r>
      <w:r>
        <w:t xml:space="preserve"> </w:t>
      </w:r>
      <w:r>
        <w:t xml:space="preserve">“</w:t>
      </w:r>
      <w:r>
        <w:t xml:space="preserve">Not what you’ve signed up for: Compromising real-world LLM-integrated applications with indirect prompt injection,</w:t>
      </w:r>
      <w:r>
        <w:t xml:space="preserve">”</w:t>
      </w:r>
      <w:r>
        <w:t xml:space="preserve"> </w:t>
      </w:r>
      <w:r>
        <w:t xml:space="preserve">in</w:t>
      </w:r>
      <w:r>
        <w:t xml:space="preserve"> </w:t>
      </w:r>
      <w:r>
        <w:rPr>
          <w:iCs/>
          <w:i/>
        </w:rPr>
        <w:t xml:space="preserve">Proc. 16th ACM Workshop Artificial Intelligence and Security (AISec)</w:t>
      </w:r>
      <w:r>
        <w:t xml:space="preserve">, Copenhagen, Denmark, 2023, pp. 79-90.</w:t>
      </w:r>
    </w:p>
    <w:p>
      <w:pPr>
        <w:pStyle w:val="BodyText"/>
      </w:pPr>
      <w:r>
        <w:t xml:space="preserve">[16] F. Pedregosa et al.,</w:t>
      </w:r>
      <w:r>
        <w:t xml:space="preserve"> </w:t>
      </w:r>
      <w:r>
        <w:t xml:space="preserve">“</w:t>
      </w:r>
      <w:r>
        <w:t xml:space="preserve">Scikit-learn: Machine learning in Python,</w:t>
      </w:r>
      <w:r>
        <w:t xml:space="preserve">”</w:t>
      </w:r>
      <w:r>
        <w:t xml:space="preserve"> </w:t>
      </w:r>
      <w:r>
        <w:rPr>
          <w:iCs/>
          <w:i/>
        </w:rPr>
        <w:t xml:space="preserve">J. Mach. Learn. Res.</w:t>
      </w:r>
      <w:r>
        <w:t xml:space="preserve">, vol. 12, pp. 2825-2830, 2011.</w:t>
      </w:r>
    </w:p>
    <w:p>
      <w:pPr>
        <w:pStyle w:val="BodyText"/>
      </w:pPr>
      <w:r>
        <w:t xml:space="preserve">[17] A. A. Hagberg, D. A. Schult, and P. J. Swart,</w:t>
      </w:r>
      <w:r>
        <w:t xml:space="preserve"> </w:t>
      </w:r>
      <w:r>
        <w:t xml:space="preserve">“</w:t>
      </w:r>
      <w:r>
        <w:t xml:space="preserve">Exploring network structure, dynamics, and function using NetworkX,</w:t>
      </w:r>
      <w:r>
        <w:t xml:space="preserve">”</w:t>
      </w:r>
      <w:r>
        <w:t xml:space="preserve"> </w:t>
      </w:r>
      <w:r>
        <w:t xml:space="preserve">in</w:t>
      </w:r>
      <w:r>
        <w:t xml:space="preserve"> </w:t>
      </w:r>
      <w:r>
        <w:rPr>
          <w:iCs/>
          <w:i/>
        </w:rPr>
        <w:t xml:space="preserve">Proc. 7th Python in Science Conf. (SciPy)</w:t>
      </w:r>
      <w:r>
        <w:t xml:space="preserve">, Pasadena, CA, USA, 2008, pp. 11-15.</w:t>
      </w:r>
    </w:p>
    <w:p>
      <w:pPr>
        <w:pStyle w:val="BodyText"/>
      </w:pPr>
      <w:r>
        <w:t xml:space="preserve">[18] Government of India,</w:t>
      </w:r>
      <w:r>
        <w:t xml:space="preserve"> </w:t>
      </w:r>
      <w:r>
        <w:rPr>
          <w:iCs/>
          <w:i/>
        </w:rPr>
        <w:t xml:space="preserve">The Digital Personal Data Protection Act, 2023</w:t>
      </w:r>
      <w:r>
        <w:t xml:space="preserve">, Act No. 22 of 2023, New Delhi, India, 2023.</w:t>
      </w:r>
    </w:p>
    <w:p>
      <w:pPr>
        <w:pStyle w:val="BodyText"/>
      </w:pPr>
      <w:r>
        <w:t xml:space="preserve">[19] V. Chandola, A. Banerjee, and V. Kumar,</w:t>
      </w:r>
      <w:r>
        <w:t xml:space="preserve"> </w:t>
      </w:r>
      <w:r>
        <w:t xml:space="preserve">“</w:t>
      </w:r>
      <w:r>
        <w:t xml:space="preserve">Anomaly detection: A survey,</w:t>
      </w:r>
      <w:r>
        <w:t xml:space="preserve">”</w:t>
      </w:r>
      <w:r>
        <w:t xml:space="preserve"> </w:t>
      </w:r>
      <w:r>
        <w:rPr>
          <w:iCs/>
          <w:i/>
        </w:rPr>
        <w:t xml:space="preserve">ACM Comput. Surv.</w:t>
      </w:r>
      <w:r>
        <w:t xml:space="preserve">, vol. 41, no. 3, pp. 1-58, Jul. 2009.</w:t>
      </w:r>
    </w:p>
    <w:p>
      <w:pPr>
        <w:pStyle w:val="BodyText"/>
      </w:pPr>
      <w:r>
        <w:t xml:space="preserve">[20] F. T. Liu, K. M. Ting, and Z.-H. Zhou,</w:t>
      </w:r>
      <w:r>
        <w:t xml:space="preserve"> </w:t>
      </w:r>
      <w:r>
        <w:t xml:space="preserve">“</w:t>
      </w:r>
      <w:r>
        <w:t xml:space="preserve">Isolation forest,</w:t>
      </w:r>
      <w:r>
        <w:t xml:space="preserve">”</w:t>
      </w:r>
      <w:r>
        <w:t xml:space="preserve"> </w:t>
      </w:r>
      <w:r>
        <w:t xml:space="preserve">in</w:t>
      </w:r>
      <w:r>
        <w:t xml:space="preserve"> </w:t>
      </w:r>
      <w:r>
        <w:rPr>
          <w:iCs/>
          <w:i/>
        </w:rPr>
        <w:t xml:space="preserve">Proc. 8th IEEE Int. Conf. Data Mining</w:t>
      </w:r>
      <w:r>
        <w:t xml:space="preserve">, Pisa, Italy, 2008, pp. 413-422.</w:t>
      </w:r>
    </w:p>
    <w:p>
      <w:r>
        <w:pict>
          <v:rect style="width:0;height:1.5pt" o:hralign="center" o:hrstd="t" o:hr="t"/>
        </w:pict>
      </w:r>
    </w:p>
    <w:bookmarkStart w:id="77" w:name="note-before-submission"/>
    <w:p>
      <w:pPr>
        <w:pStyle w:val="Heading3"/>
      </w:pPr>
      <w:r>
        <w:t xml:space="preserve">Note before submission</w:t>
      </w:r>
    </w:p>
    <w:p>
      <w:pPr>
        <w:pStyle w:val="FirstParagraph"/>
      </w:pPr>
      <w:r>
        <w:t xml:space="preserve">Verify every entry above against the publisher’s record or DOI. Reference [10] in particular is cited here from the secondary literature and its venue, year and page range should be confirmed or the entry replaced with a source you have read directly; the claim it supports, that a scanned payload carries no integrity guarantee to a human reader, is independently supportable from [7]. All figures in Section IX come from a single training run and are reproducible with</w:t>
      </w:r>
      <w:r>
        <w:t xml:space="preserve"> </w:t>
      </w:r>
      <w:r>
        <w:rPr>
          <w:rStyle w:val="VerbatimChar"/>
        </w:rPr>
        <w:t xml:space="preserve">python backend/train_model.py</w:t>
      </w:r>
      <w:r>
        <w:t xml:space="preserve">;</w:t>
      </w:r>
      <w:r>
        <w:t xml:space="preserve"> </w:t>
      </w:r>
      <w:r>
        <w:rPr>
          <w:rStyle w:val="VerbatimChar"/>
        </w:rPr>
        <w:t xml:space="preserve">models/metrics.json</w:t>
      </w:r>
      <w:r>
        <w:t xml:space="preserve"> </w:t>
      </w:r>
      <w:r>
        <w:t xml:space="preserve">records the exact library versions that produced them.</w:t>
      </w:r>
    </w:p>
    <w:bookmarkEnd w:id="77"/>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2026-09-17T11:50:51Z</dcterms:created>
  <dcterms:modified xsi:type="dcterms:W3CDTF">2026-09-17T11:50:51Z</dcterms:modified>
</cp:coreProperties>
</file>

<file path=docProps/custom.xml><?xml version="1.0" encoding="utf-8"?>
<Properties xmlns="http://schemas.openxmlformats.org/officeDocument/2006/custom-properties" xmlns:vt="http://schemas.openxmlformats.org/officeDocument/2006/docPropsVTypes"/>
</file>