
<file path=[Content_Types].xml><?xml version="1.0" encoding="utf-8"?>
<Types xmlns="http://schemas.openxmlformats.org/package/2006/content-types">
  <Default Extension="1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A1DC" w14:textId="5C2C585A" w:rsidR="00214C75" w:rsidRDefault="00947BCF" w:rsidP="00214C75">
      <w:pPr>
        <w:jc w:val="center"/>
        <w:rPr>
          <w:lang w:eastAsia="en-IN"/>
        </w:rPr>
      </w:pPr>
      <w:r w:rsidRPr="00214C75">
        <w:rPr>
          <w:b/>
          <w:bCs/>
          <w:sz w:val="56"/>
          <w:szCs w:val="56"/>
          <w:lang w:eastAsia="en-IN"/>
        </w:rPr>
        <w:t>Week 2 – Data Preparation, Exploratory Data Analysis, and Insight Generation</w:t>
      </w:r>
    </w:p>
    <w:p w14:paraId="66D9E0D0" w14:textId="1D2B5106" w:rsidR="00947BCF" w:rsidRDefault="00214C75" w:rsidP="00214C75">
      <w:pPr>
        <w:rPr>
          <w:sz w:val="36"/>
          <w:szCs w:val="36"/>
          <w:lang w:eastAsia="en-IN"/>
        </w:rPr>
      </w:pPr>
      <w:r w:rsidRPr="00214C75">
        <w:rPr>
          <w:sz w:val="36"/>
          <w:szCs w:val="36"/>
          <w:lang w:eastAsia="en-IN"/>
        </w:rPr>
        <w:t>Cohort Participation Analysis Report with Visual Insights</w:t>
      </w:r>
    </w:p>
    <w:p w14:paraId="26EF8BAA" w14:textId="4ECDCCE7" w:rsidR="00214C75" w:rsidRPr="00214C75" w:rsidRDefault="00214C75" w:rsidP="00214C75">
      <w:pPr>
        <w:jc w:val="center"/>
        <w:rPr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3A9315" wp14:editId="74CBB248">
            <wp:extent cx="4968240" cy="2980944"/>
            <wp:effectExtent l="0" t="0" r="3810" b="0"/>
            <wp:docPr id="21176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5651" name="Picture 2117695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845" cy="29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69AC" w14:textId="77777777" w:rsidR="00947BCF" w:rsidRPr="00214C75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4C75">
        <w:rPr>
          <w:b/>
          <w:bCs/>
          <w:sz w:val="36"/>
          <w:szCs w:val="36"/>
          <w:u w:val="single"/>
          <w:lang w:eastAsia="en-IN"/>
        </w:rPr>
        <w:t>1. Introduction</w:t>
      </w:r>
    </w:p>
    <w:p w14:paraId="3EECCAB8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The objective of this analysis is to prepare the student participation dataset for predictive </w:t>
      </w:r>
      <w:proofErr w:type="spellStart"/>
      <w:r w:rsidRPr="00214C75">
        <w:rPr>
          <w:sz w:val="30"/>
          <w:szCs w:val="30"/>
          <w:lang w:eastAsia="en-IN"/>
        </w:rPr>
        <w:t>modeling</w:t>
      </w:r>
      <w:proofErr w:type="spellEnd"/>
      <w:r w:rsidRPr="00214C75">
        <w:rPr>
          <w:sz w:val="30"/>
          <w:szCs w:val="30"/>
          <w:lang w:eastAsia="en-IN"/>
        </w:rPr>
        <w:t xml:space="preserve"> by refining the data, conducting exploratory data analysis (EDA), visualizing engagement patterns, and identifying factors that influence participation across learning opportunities.</w:t>
      </w:r>
    </w:p>
    <w:p w14:paraId="1D29C984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The analysis focuses on understanding participation </w:t>
      </w:r>
      <w:proofErr w:type="spellStart"/>
      <w:r w:rsidRPr="00214C75">
        <w:rPr>
          <w:sz w:val="30"/>
          <w:szCs w:val="30"/>
          <w:lang w:eastAsia="en-IN"/>
        </w:rPr>
        <w:t>behavior</w:t>
      </w:r>
      <w:proofErr w:type="spellEnd"/>
      <w:r w:rsidRPr="00214C75">
        <w:rPr>
          <w:sz w:val="30"/>
          <w:szCs w:val="30"/>
          <w:lang w:eastAsia="en-IN"/>
        </w:rPr>
        <w:t>, engagement consistency, opportunity performance, and key indicators that can support future machine learning models.</w:t>
      </w:r>
    </w:p>
    <w:p w14:paraId="68011DFD" w14:textId="77777777" w:rsidR="00214C75" w:rsidRDefault="00214C75" w:rsidP="00214C75">
      <w:pPr>
        <w:rPr>
          <w:sz w:val="32"/>
          <w:szCs w:val="32"/>
          <w:lang w:eastAsia="en-IN"/>
        </w:rPr>
      </w:pPr>
    </w:p>
    <w:p w14:paraId="24147094" w14:textId="77777777" w:rsidR="00214C75" w:rsidRDefault="00214C75" w:rsidP="00214C75">
      <w:pPr>
        <w:rPr>
          <w:sz w:val="32"/>
          <w:szCs w:val="32"/>
          <w:lang w:eastAsia="en-IN"/>
        </w:rPr>
      </w:pPr>
    </w:p>
    <w:p w14:paraId="7FD57CD1" w14:textId="3F2FA938" w:rsidR="00947BCF" w:rsidRPr="00214C75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4C75">
        <w:rPr>
          <w:b/>
          <w:bCs/>
          <w:sz w:val="36"/>
          <w:szCs w:val="36"/>
          <w:u w:val="single"/>
          <w:lang w:eastAsia="en-IN"/>
        </w:rPr>
        <w:lastRenderedPageBreak/>
        <w:t>2. Data Preparation and Cleaning</w:t>
      </w:r>
    </w:p>
    <w:p w14:paraId="3C225F07" w14:textId="77777777" w:rsidR="00947BCF" w:rsidRPr="00211B41" w:rsidRDefault="00947BCF" w:rsidP="00211B41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2.1 Data Cleaning Activities</w:t>
      </w:r>
    </w:p>
    <w:p w14:paraId="0DA46830" w14:textId="77777777" w:rsidR="00947BCF" w:rsidRPr="00211B41" w:rsidRDefault="00947BCF" w:rsidP="00211B41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The following data preparation steps were performed:</w:t>
      </w:r>
    </w:p>
    <w:p w14:paraId="773DA857" w14:textId="77777777" w:rsidR="00947BCF" w:rsidRPr="00211B41" w:rsidRDefault="00947BCF" w:rsidP="00211B41">
      <w:pPr>
        <w:pStyle w:val="ListParagraph"/>
        <w:numPr>
          <w:ilvl w:val="0"/>
          <w:numId w:val="18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Handling Missing Values</w:t>
      </w:r>
    </w:p>
    <w:p w14:paraId="13700692" w14:textId="77777777" w:rsidR="00947BCF" w:rsidRPr="00211B41" w:rsidRDefault="00947BCF" w:rsidP="00211B41">
      <w:pPr>
        <w:pStyle w:val="ListParagraph"/>
        <w:numPr>
          <w:ilvl w:val="0"/>
          <w:numId w:val="23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Missing numerical values were replaced using median values.</w:t>
      </w:r>
    </w:p>
    <w:p w14:paraId="4BB8D758" w14:textId="77777777" w:rsidR="00947BCF" w:rsidRPr="00211B41" w:rsidRDefault="00947BCF" w:rsidP="00211B41">
      <w:pPr>
        <w:pStyle w:val="ListParagraph"/>
        <w:numPr>
          <w:ilvl w:val="0"/>
          <w:numId w:val="23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Missing categorical values were replaced using mode values.</w:t>
      </w:r>
    </w:p>
    <w:p w14:paraId="0D2A2FAD" w14:textId="77777777" w:rsidR="00947BCF" w:rsidRPr="00211B41" w:rsidRDefault="00947BCF" w:rsidP="00211B41">
      <w:pPr>
        <w:pStyle w:val="ListParagraph"/>
        <w:numPr>
          <w:ilvl w:val="0"/>
          <w:numId w:val="23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Records with excessive missing information were removed where necessary.</w:t>
      </w:r>
    </w:p>
    <w:p w14:paraId="2673B81F" w14:textId="77777777" w:rsidR="00947BCF" w:rsidRPr="00211B41" w:rsidRDefault="00947BCF" w:rsidP="00211B41">
      <w:pPr>
        <w:pStyle w:val="ListParagraph"/>
        <w:numPr>
          <w:ilvl w:val="0"/>
          <w:numId w:val="18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Duplicate Removal</w:t>
      </w:r>
    </w:p>
    <w:p w14:paraId="406B408C" w14:textId="77777777" w:rsidR="00947BCF" w:rsidRPr="00211B41" w:rsidRDefault="00947BCF" w:rsidP="00211B41">
      <w:pPr>
        <w:pStyle w:val="ListParagraph"/>
        <w:numPr>
          <w:ilvl w:val="0"/>
          <w:numId w:val="2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Duplicate records were identified and removed to prevent biased analysis.</w:t>
      </w:r>
    </w:p>
    <w:p w14:paraId="6D98190B" w14:textId="77777777" w:rsidR="00947BCF" w:rsidRPr="00211B41" w:rsidRDefault="00947BCF" w:rsidP="00211B41">
      <w:pPr>
        <w:pStyle w:val="ListParagraph"/>
        <w:numPr>
          <w:ilvl w:val="0"/>
          <w:numId w:val="18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Standardization</w:t>
      </w:r>
    </w:p>
    <w:p w14:paraId="7F05A132" w14:textId="77777777" w:rsidR="00947BCF" w:rsidRPr="00211B41" w:rsidRDefault="00947BCF" w:rsidP="00211B41">
      <w:pPr>
        <w:pStyle w:val="ListParagraph"/>
        <w:numPr>
          <w:ilvl w:val="0"/>
          <w:numId w:val="21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Date formats were converted into a consistent datetime format.</w:t>
      </w:r>
    </w:p>
    <w:p w14:paraId="1605F214" w14:textId="77777777" w:rsidR="00947BCF" w:rsidRPr="00211B41" w:rsidRDefault="00947BCF" w:rsidP="00211B41">
      <w:pPr>
        <w:pStyle w:val="ListParagraph"/>
        <w:numPr>
          <w:ilvl w:val="0"/>
          <w:numId w:val="21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Column names were standardized.</w:t>
      </w:r>
    </w:p>
    <w:p w14:paraId="7D24A6EE" w14:textId="77777777" w:rsidR="00947BCF" w:rsidRPr="00211B41" w:rsidRDefault="00947BCF" w:rsidP="00211B41">
      <w:pPr>
        <w:pStyle w:val="ListParagraph"/>
        <w:numPr>
          <w:ilvl w:val="0"/>
          <w:numId w:val="21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Categorical fields were cleaned and normalized.</w:t>
      </w:r>
    </w:p>
    <w:p w14:paraId="0224E51C" w14:textId="77777777" w:rsidR="00947BCF" w:rsidRPr="00211B41" w:rsidRDefault="00947BCF" w:rsidP="00211B41">
      <w:pPr>
        <w:pStyle w:val="ListParagraph"/>
        <w:numPr>
          <w:ilvl w:val="0"/>
          <w:numId w:val="18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Data Validation</w:t>
      </w:r>
    </w:p>
    <w:p w14:paraId="5C762555" w14:textId="77777777" w:rsidR="00947BCF" w:rsidRPr="00211B41" w:rsidRDefault="00947BCF" w:rsidP="00211B41">
      <w:pPr>
        <w:pStyle w:val="ListParagraph"/>
        <w:numPr>
          <w:ilvl w:val="0"/>
          <w:numId w:val="20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Invalid entries were identified and corrected.</w:t>
      </w:r>
    </w:p>
    <w:p w14:paraId="3B8316A2" w14:textId="77777777" w:rsidR="00947BCF" w:rsidRPr="00211B41" w:rsidRDefault="00947BCF" w:rsidP="00211B41">
      <w:pPr>
        <w:pStyle w:val="ListParagraph"/>
        <w:numPr>
          <w:ilvl w:val="0"/>
          <w:numId w:val="20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Data types were verified and converted appropriately.</w:t>
      </w:r>
    </w:p>
    <w:p w14:paraId="2F080CC9" w14:textId="140E71C2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5CFC14C5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62DF3CE1" w14:textId="7B6B4326" w:rsidR="00947BCF" w:rsidRPr="00214C75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4C75">
        <w:rPr>
          <w:b/>
          <w:bCs/>
          <w:sz w:val="36"/>
          <w:szCs w:val="36"/>
          <w:u w:val="single"/>
          <w:lang w:eastAsia="en-IN"/>
        </w:rPr>
        <w:lastRenderedPageBreak/>
        <w:t>2.2 Feature Engineering</w:t>
      </w:r>
    </w:p>
    <w:p w14:paraId="292F76FB" w14:textId="77777777" w:rsidR="00947BCF" w:rsidRPr="00211B41" w:rsidRDefault="00947BCF" w:rsidP="00211B41">
      <w:p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Several new features were created to improve analysis and future prediction performance.</w:t>
      </w:r>
    </w:p>
    <w:p w14:paraId="1CF43C99" w14:textId="604C0D0D" w:rsidR="00947BCF" w:rsidRPr="00211B41" w:rsidRDefault="00947BCF" w:rsidP="00211B41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Derived Features</w:t>
      </w:r>
    </w:p>
    <w:p w14:paraId="60C58303" w14:textId="5DF19858" w:rsidR="00947BCF" w:rsidRPr="00211B41" w:rsidRDefault="00947BCF" w:rsidP="00211B41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Signup Month</w:t>
      </w:r>
    </w:p>
    <w:p w14:paraId="143FE43B" w14:textId="77777777" w:rsidR="00947BCF" w:rsidRPr="00211B41" w:rsidRDefault="00947BCF" w:rsidP="00211B41">
      <w:pPr>
        <w:ind w:firstLine="720"/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Extracted from signup date to identify seasonal trends.</w:t>
      </w:r>
    </w:p>
    <w:p w14:paraId="7223729D" w14:textId="77777777" w:rsidR="00947BCF" w:rsidRPr="00211B41" w:rsidRDefault="00947BCF" w:rsidP="00211B41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Signup Day</w:t>
      </w:r>
    </w:p>
    <w:p w14:paraId="54F0E04D" w14:textId="77777777" w:rsidR="00947BCF" w:rsidRPr="00211B41" w:rsidRDefault="00947BCF" w:rsidP="00211B41">
      <w:pPr>
        <w:ind w:firstLine="720"/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 xml:space="preserve">Used to </w:t>
      </w:r>
      <w:proofErr w:type="spellStart"/>
      <w:r w:rsidRPr="00211B41">
        <w:rPr>
          <w:sz w:val="30"/>
          <w:szCs w:val="30"/>
          <w:lang w:eastAsia="en-IN"/>
        </w:rPr>
        <w:t>analyze</w:t>
      </w:r>
      <w:proofErr w:type="spellEnd"/>
      <w:r w:rsidRPr="00211B41">
        <w:rPr>
          <w:sz w:val="30"/>
          <w:szCs w:val="30"/>
          <w:lang w:eastAsia="en-IN"/>
        </w:rPr>
        <w:t xml:space="preserve"> participation </w:t>
      </w:r>
      <w:proofErr w:type="spellStart"/>
      <w:r w:rsidRPr="00211B41">
        <w:rPr>
          <w:sz w:val="30"/>
          <w:szCs w:val="30"/>
          <w:lang w:eastAsia="en-IN"/>
        </w:rPr>
        <w:t>behavior</w:t>
      </w:r>
      <w:proofErr w:type="spellEnd"/>
      <w:r w:rsidRPr="00211B41">
        <w:rPr>
          <w:sz w:val="30"/>
          <w:szCs w:val="30"/>
          <w:lang w:eastAsia="en-IN"/>
        </w:rPr>
        <w:t xml:space="preserve"> across weekdays.</w:t>
      </w:r>
    </w:p>
    <w:p w14:paraId="37D9E023" w14:textId="77777777" w:rsidR="00947BCF" w:rsidRPr="00211B41" w:rsidRDefault="00947BCF" w:rsidP="00211B41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Signup Weekday Index</w:t>
      </w:r>
    </w:p>
    <w:p w14:paraId="3C78635A" w14:textId="77777777" w:rsidR="00947BCF" w:rsidRPr="00211B41" w:rsidRDefault="00947BCF" w:rsidP="00211B41">
      <w:pPr>
        <w:ind w:left="360" w:firstLine="360"/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Numerical representation of weekdays.</w:t>
      </w:r>
    </w:p>
    <w:p w14:paraId="718835DB" w14:textId="77777777" w:rsidR="00947BCF" w:rsidRPr="00211B41" w:rsidRDefault="00947BCF" w:rsidP="00211B41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Engagement Intensity Score</w:t>
      </w:r>
    </w:p>
    <w:p w14:paraId="1186FB50" w14:textId="77777777" w:rsidR="00947BCF" w:rsidRPr="00211B41" w:rsidRDefault="00947BCF" w:rsidP="00211B41">
      <w:pPr>
        <w:pStyle w:val="ListParagraph"/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Combined engagement metrics such as:</w:t>
      </w:r>
    </w:p>
    <w:p w14:paraId="0263DD25" w14:textId="77777777" w:rsidR="00947BCF" w:rsidRPr="00211B41" w:rsidRDefault="00947BCF" w:rsidP="00211B41">
      <w:pPr>
        <w:pStyle w:val="ListParagraph"/>
        <w:numPr>
          <w:ilvl w:val="0"/>
          <w:numId w:val="31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Engagement Intensity =</w:t>
      </w:r>
      <w:r w:rsidRPr="00211B41">
        <w:rPr>
          <w:sz w:val="30"/>
          <w:szCs w:val="30"/>
          <w:lang w:eastAsia="en-IN"/>
        </w:rPr>
        <w:br/>
        <w:t>Clicks + Views + Sessions</w:t>
      </w:r>
    </w:p>
    <w:p w14:paraId="4C2786F1" w14:textId="77777777" w:rsidR="00947BCF" w:rsidRPr="00211B41" w:rsidRDefault="00947BCF" w:rsidP="00211B41">
      <w:pPr>
        <w:pStyle w:val="ListParagraph"/>
        <w:numPr>
          <w:ilvl w:val="0"/>
          <w:numId w:val="31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This feature provides a consolidated measure of student activity.</w:t>
      </w:r>
    </w:p>
    <w:p w14:paraId="2370B5BB" w14:textId="77777777" w:rsidR="00947BCF" w:rsidRPr="00211B41" w:rsidRDefault="00947BCF" w:rsidP="00211B41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Opportunity Category Encoding</w:t>
      </w:r>
    </w:p>
    <w:p w14:paraId="35F879D0" w14:textId="77777777" w:rsidR="00947BCF" w:rsidRPr="00211B41" w:rsidRDefault="00947BCF" w:rsidP="00211B41">
      <w:p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Opportunity types were transformed into structured categories suitable for analysis.</w:t>
      </w:r>
    </w:p>
    <w:p w14:paraId="1865E0DB" w14:textId="092ECFCF" w:rsidR="00947BCF" w:rsidRPr="00214C75" w:rsidRDefault="00947BCF" w:rsidP="00211B41">
      <w:pPr>
        <w:rPr>
          <w:sz w:val="30"/>
          <w:szCs w:val="30"/>
          <w:lang w:eastAsia="en-IN"/>
        </w:rPr>
      </w:pPr>
    </w:p>
    <w:p w14:paraId="4E0B0A47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176FDF31" w14:textId="4DB5AF18" w:rsidR="00947BCF" w:rsidRPr="00214C75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4C75">
        <w:rPr>
          <w:b/>
          <w:bCs/>
          <w:sz w:val="36"/>
          <w:szCs w:val="36"/>
          <w:u w:val="single"/>
          <w:lang w:eastAsia="en-IN"/>
        </w:rPr>
        <w:lastRenderedPageBreak/>
        <w:t>3. Exploratory Data Analysis (EDA)</w:t>
      </w:r>
    </w:p>
    <w:p w14:paraId="39D22608" w14:textId="77777777" w:rsidR="00947BCF" w:rsidRPr="00214C75" w:rsidRDefault="00947BCF" w:rsidP="00214C75">
      <w:pPr>
        <w:rPr>
          <w:b/>
          <w:bCs/>
          <w:sz w:val="32"/>
          <w:szCs w:val="32"/>
          <w:lang w:eastAsia="en-IN"/>
        </w:rPr>
      </w:pPr>
      <w:r w:rsidRPr="00214C75">
        <w:rPr>
          <w:b/>
          <w:bCs/>
          <w:sz w:val="32"/>
          <w:szCs w:val="32"/>
          <w:lang w:eastAsia="en-IN"/>
        </w:rPr>
        <w:t>3.1 Participation Overview</w:t>
      </w:r>
    </w:p>
    <w:p w14:paraId="4E09C278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The dataset was </w:t>
      </w:r>
      <w:proofErr w:type="spellStart"/>
      <w:r w:rsidRPr="00214C75">
        <w:rPr>
          <w:sz w:val="30"/>
          <w:szCs w:val="30"/>
          <w:lang w:eastAsia="en-IN"/>
        </w:rPr>
        <w:t>analyzed</w:t>
      </w:r>
      <w:proofErr w:type="spellEnd"/>
      <w:r w:rsidRPr="00214C75">
        <w:rPr>
          <w:sz w:val="30"/>
          <w:szCs w:val="30"/>
          <w:lang w:eastAsia="en-IN"/>
        </w:rPr>
        <w:t xml:space="preserve"> to understand participation distribution across opportunities.</w:t>
      </w:r>
    </w:p>
    <w:p w14:paraId="67764CF5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Key Findings</w:t>
      </w:r>
    </w:p>
    <w:p w14:paraId="40734B44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Participation was not evenly distributed across opportunity types.</w:t>
      </w:r>
    </w:p>
    <w:p w14:paraId="221B37A3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Certain opportunity categories attracted significantly more student interest.</w:t>
      </w:r>
    </w:p>
    <w:p w14:paraId="09322A15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A small number of opportunities generated the majority of participation.</w:t>
      </w:r>
    </w:p>
    <w:p w14:paraId="64850E24" w14:textId="4942374B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Visualization 1:</w:t>
      </w:r>
      <w:r w:rsidR="00C87232">
        <w:rPr>
          <w:b/>
          <w:bCs/>
          <w:noProof/>
          <w:sz w:val="30"/>
          <w:szCs w:val="30"/>
          <w:lang w:eastAsia="en-IN"/>
        </w:rPr>
        <w:drawing>
          <wp:inline distT="0" distB="0" distL="0" distR="0" wp14:anchorId="0C5020ED" wp14:editId="63235F97">
            <wp:extent cx="5731510" cy="3582035"/>
            <wp:effectExtent l="0" t="0" r="2540" b="0"/>
            <wp:docPr id="744029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29132" name="Picture 744029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62DA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Insert: Signup Distribution by Opportunity Type</w:t>
      </w:r>
    </w:p>
    <w:p w14:paraId="41E934FD" w14:textId="63E6F1BE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539B8C43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2AA2A80D" w14:textId="1896287A" w:rsidR="00947BCF" w:rsidRPr="00214C75" w:rsidRDefault="00947BCF" w:rsidP="00214C75">
      <w:pPr>
        <w:rPr>
          <w:b/>
          <w:bCs/>
          <w:sz w:val="32"/>
          <w:szCs w:val="32"/>
          <w:lang w:eastAsia="en-IN"/>
        </w:rPr>
      </w:pPr>
      <w:r w:rsidRPr="00214C75">
        <w:rPr>
          <w:b/>
          <w:bCs/>
          <w:sz w:val="32"/>
          <w:szCs w:val="32"/>
          <w:lang w:eastAsia="en-IN"/>
        </w:rPr>
        <w:lastRenderedPageBreak/>
        <w:t>3.2 Participation Trends Over Time</w:t>
      </w:r>
    </w:p>
    <w:p w14:paraId="3D15C1E8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Monthly participation trends were </w:t>
      </w:r>
      <w:proofErr w:type="spellStart"/>
      <w:r w:rsidRPr="00214C75">
        <w:rPr>
          <w:sz w:val="30"/>
          <w:szCs w:val="30"/>
          <w:lang w:eastAsia="en-IN"/>
        </w:rPr>
        <w:t>analyzed</w:t>
      </w:r>
      <w:proofErr w:type="spellEnd"/>
      <w:r w:rsidRPr="00214C75">
        <w:rPr>
          <w:sz w:val="30"/>
          <w:szCs w:val="30"/>
          <w:lang w:eastAsia="en-IN"/>
        </w:rPr>
        <w:t xml:space="preserve"> to understand consistency.</w:t>
      </w:r>
    </w:p>
    <w:p w14:paraId="06BCAA31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Findings</w:t>
      </w:r>
    </w:p>
    <w:p w14:paraId="0ED9C32A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Participation varied across different time periods.</w:t>
      </w:r>
    </w:p>
    <w:p w14:paraId="5320DFEC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Some months experienced noticeable growth in student engagement.</w:t>
      </w:r>
    </w:p>
    <w:p w14:paraId="2F3B4D62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Seasonal effects may influence participation rates.</w:t>
      </w:r>
    </w:p>
    <w:p w14:paraId="11146A9E" w14:textId="37D7095B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Visualization 2:</w:t>
      </w:r>
      <w:r w:rsidR="00C87232">
        <w:rPr>
          <w:b/>
          <w:bCs/>
          <w:noProof/>
          <w:sz w:val="30"/>
          <w:szCs w:val="30"/>
          <w:lang w:eastAsia="en-IN"/>
        </w:rPr>
        <w:drawing>
          <wp:inline distT="0" distB="0" distL="0" distR="0" wp14:anchorId="4F8EB323" wp14:editId="29DE69DB">
            <wp:extent cx="5731510" cy="2865755"/>
            <wp:effectExtent l="0" t="0" r="2540" b="0"/>
            <wp:docPr id="35892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2156" name="Picture 358921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DB5D" w14:textId="2DD4F30C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498561B1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67D36F53" w14:textId="1160CC2C" w:rsidR="00947BCF" w:rsidRPr="00214C75" w:rsidRDefault="00947BCF" w:rsidP="00214C75">
      <w:pPr>
        <w:rPr>
          <w:b/>
          <w:bCs/>
          <w:sz w:val="32"/>
          <w:szCs w:val="32"/>
          <w:lang w:eastAsia="en-IN"/>
        </w:rPr>
      </w:pPr>
      <w:r w:rsidRPr="00214C75">
        <w:rPr>
          <w:b/>
          <w:bCs/>
          <w:sz w:val="32"/>
          <w:szCs w:val="32"/>
          <w:lang w:eastAsia="en-IN"/>
        </w:rPr>
        <w:lastRenderedPageBreak/>
        <w:t>3.3 Engagement Analysis</w:t>
      </w:r>
    </w:p>
    <w:p w14:paraId="3562BCC3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Student engagement </w:t>
      </w:r>
      <w:proofErr w:type="spellStart"/>
      <w:r w:rsidRPr="00214C75">
        <w:rPr>
          <w:sz w:val="30"/>
          <w:szCs w:val="30"/>
          <w:lang w:eastAsia="en-IN"/>
        </w:rPr>
        <w:t>behavior</w:t>
      </w:r>
      <w:proofErr w:type="spellEnd"/>
      <w:r w:rsidRPr="00214C75">
        <w:rPr>
          <w:sz w:val="30"/>
          <w:szCs w:val="30"/>
          <w:lang w:eastAsia="en-IN"/>
        </w:rPr>
        <w:t xml:space="preserve"> was examined using the Engagement Intensity Score.</w:t>
      </w:r>
    </w:p>
    <w:p w14:paraId="27F0571D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Findings</w:t>
      </w:r>
    </w:p>
    <w:p w14:paraId="4A4AB7F2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Students with higher engagement scores were more likely to participate.</w:t>
      </w:r>
    </w:p>
    <w:p w14:paraId="2F7F9289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High-engagement students showed greater consistency across opportunities.</w:t>
      </w:r>
    </w:p>
    <w:p w14:paraId="4C256085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Low-engagement students were less likely to convert into active participants.</w:t>
      </w:r>
    </w:p>
    <w:p w14:paraId="50F4A47C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Visualization 3:</w:t>
      </w:r>
    </w:p>
    <w:p w14:paraId="286FD7A4" w14:textId="2A1E430B" w:rsidR="00947BCF" w:rsidRPr="00214C75" w:rsidRDefault="00C87232" w:rsidP="00214C75">
      <w:pPr>
        <w:rPr>
          <w:sz w:val="30"/>
          <w:szCs w:val="30"/>
          <w:lang w:eastAsia="en-IN"/>
        </w:rPr>
      </w:pPr>
      <w:r>
        <w:rPr>
          <w:noProof/>
          <w:sz w:val="30"/>
          <w:szCs w:val="30"/>
          <w:lang w:eastAsia="en-IN"/>
        </w:rPr>
        <w:drawing>
          <wp:inline distT="0" distB="0" distL="0" distR="0" wp14:anchorId="65FEB783" wp14:editId="02D20BFF">
            <wp:extent cx="5731510" cy="2865755"/>
            <wp:effectExtent l="0" t="0" r="2540" b="0"/>
            <wp:docPr id="2118690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0828" name="Picture 21186908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8A0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65B06A72" w14:textId="4EEA514B" w:rsidR="00947BCF" w:rsidRPr="00214C75" w:rsidRDefault="00947BCF" w:rsidP="00214C75">
      <w:pPr>
        <w:rPr>
          <w:b/>
          <w:bCs/>
          <w:sz w:val="32"/>
          <w:szCs w:val="32"/>
          <w:lang w:eastAsia="en-IN"/>
        </w:rPr>
      </w:pPr>
      <w:r w:rsidRPr="00214C75">
        <w:rPr>
          <w:b/>
          <w:bCs/>
          <w:sz w:val="32"/>
          <w:szCs w:val="32"/>
          <w:lang w:eastAsia="en-IN"/>
        </w:rPr>
        <w:lastRenderedPageBreak/>
        <w:t>3.4 Correlation Analysis</w:t>
      </w:r>
    </w:p>
    <w:p w14:paraId="3BF07646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Relationships among numerical variables were investigated.</w:t>
      </w:r>
    </w:p>
    <w:p w14:paraId="12F633A0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Findings</w:t>
      </w:r>
    </w:p>
    <w:p w14:paraId="0A272C96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Engagement-related variables showed positive correlation with participation.</w:t>
      </w:r>
    </w:p>
    <w:p w14:paraId="1BE63775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Certain metrics appeared to be strong indicators of opportunity success.</w:t>
      </w:r>
    </w:p>
    <w:p w14:paraId="69EA497C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Some variables demonstrated little predictive value.</w:t>
      </w:r>
    </w:p>
    <w:p w14:paraId="5C120CE9" w14:textId="7EABFEEB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Visualization 4:</w:t>
      </w:r>
      <w:r w:rsidR="001D437B">
        <w:rPr>
          <w:b/>
          <w:bCs/>
          <w:noProof/>
          <w:sz w:val="30"/>
          <w:szCs w:val="30"/>
          <w:lang w:eastAsia="en-IN"/>
        </w:rPr>
        <w:drawing>
          <wp:inline distT="0" distB="0" distL="0" distR="0" wp14:anchorId="275F715D" wp14:editId="3C46D790">
            <wp:extent cx="5731510" cy="4298950"/>
            <wp:effectExtent l="0" t="0" r="2540" b="6350"/>
            <wp:docPr id="1784291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1177" name="Picture 17842911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C896" w14:textId="188B5E68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00FA36E1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1EB9FAC3" w14:textId="67494573" w:rsidR="00947BCF" w:rsidRPr="00214C75" w:rsidRDefault="00947BCF" w:rsidP="00214C75">
      <w:pPr>
        <w:rPr>
          <w:b/>
          <w:bCs/>
          <w:sz w:val="32"/>
          <w:szCs w:val="32"/>
          <w:lang w:eastAsia="en-IN"/>
        </w:rPr>
      </w:pPr>
      <w:r w:rsidRPr="00214C75">
        <w:rPr>
          <w:b/>
          <w:bCs/>
          <w:sz w:val="32"/>
          <w:szCs w:val="32"/>
          <w:lang w:eastAsia="en-IN"/>
        </w:rPr>
        <w:lastRenderedPageBreak/>
        <w:t>3.5 Anomaly Detection</w:t>
      </w:r>
    </w:p>
    <w:p w14:paraId="5FD5BD44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Outlier analysis was performed using the IQR method.</w:t>
      </w:r>
    </w:p>
    <w:p w14:paraId="25CABCE9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Findings</w:t>
      </w:r>
    </w:p>
    <w:p w14:paraId="6DBDFD00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A small subset of students displayed exceptionally high engagement.</w:t>
      </w:r>
    </w:p>
    <w:p w14:paraId="2C9FD858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These users may represent highly active learners or exceptional cases.</w:t>
      </w:r>
    </w:p>
    <w:p w14:paraId="0B3B7ED0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Outliers were retained because they provide valuable </w:t>
      </w:r>
      <w:proofErr w:type="spellStart"/>
      <w:r w:rsidRPr="00214C75">
        <w:rPr>
          <w:sz w:val="30"/>
          <w:szCs w:val="30"/>
          <w:lang w:eastAsia="en-IN"/>
        </w:rPr>
        <w:t>behavioral</w:t>
      </w:r>
      <w:proofErr w:type="spellEnd"/>
      <w:r w:rsidRPr="00214C75">
        <w:rPr>
          <w:sz w:val="30"/>
          <w:szCs w:val="30"/>
          <w:lang w:eastAsia="en-IN"/>
        </w:rPr>
        <w:t xml:space="preserve"> insights.</w:t>
      </w:r>
    </w:p>
    <w:p w14:paraId="3970F488" w14:textId="16DF3E95" w:rsidR="00947BCF" w:rsidRPr="00214C75" w:rsidRDefault="00947BCF" w:rsidP="00C87232">
      <w:pPr>
        <w:rPr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Visualization 5:</w:t>
      </w:r>
      <w:r w:rsidR="00C87232">
        <w:rPr>
          <w:noProof/>
          <w:sz w:val="30"/>
          <w:szCs w:val="30"/>
          <w:lang w:eastAsia="en-IN"/>
        </w:rPr>
        <w:drawing>
          <wp:inline distT="0" distB="0" distL="0" distR="0" wp14:anchorId="0D708837" wp14:editId="3424103D">
            <wp:extent cx="5731510" cy="2865755"/>
            <wp:effectExtent l="0" t="0" r="2540" b="0"/>
            <wp:docPr id="758309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9340" name="Picture 7583093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4735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3D61EAEF" w14:textId="1A181102" w:rsidR="00947BCF" w:rsidRPr="00214C75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4C75">
        <w:rPr>
          <w:b/>
          <w:bCs/>
          <w:sz w:val="36"/>
          <w:szCs w:val="36"/>
          <w:u w:val="single"/>
          <w:lang w:eastAsia="en-IN"/>
        </w:rPr>
        <w:lastRenderedPageBreak/>
        <w:t>4. Interpretation of Findings</w:t>
      </w:r>
    </w:p>
    <w:p w14:paraId="707EB162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Factors Influencing Participation</w:t>
      </w:r>
    </w:p>
    <w:p w14:paraId="4767DF48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The following factors were identified as major drivers of participation:</w:t>
      </w:r>
    </w:p>
    <w:p w14:paraId="76EDAF89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Engagement Intensity</w:t>
      </w:r>
    </w:p>
    <w:p w14:paraId="17740791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Students with greater interaction levels demonstrated higher participation likelihood.</w:t>
      </w:r>
    </w:p>
    <w:p w14:paraId="595315A0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Opportunity Type</w:t>
      </w:r>
    </w:p>
    <w:p w14:paraId="63716DB2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Certain opportunity categories consistently attracted stronger participation.</w:t>
      </w:r>
    </w:p>
    <w:p w14:paraId="118A25F3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Timing of Signup</w:t>
      </w:r>
    </w:p>
    <w:p w14:paraId="7BDE9E69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Early signups were associated with higher completion and participation rates.</w:t>
      </w:r>
    </w:p>
    <w:p w14:paraId="267018C2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Consistency of Engagement</w:t>
      </w:r>
    </w:p>
    <w:p w14:paraId="357292A2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>Students who interacted regularly were more likely to participate repeatedly.</w:t>
      </w:r>
    </w:p>
    <w:p w14:paraId="0770279F" w14:textId="74285B95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684F11C5" w14:textId="77777777" w:rsidR="00211B41" w:rsidRDefault="00211B41">
      <w:pPr>
        <w:rPr>
          <w:sz w:val="30"/>
          <w:szCs w:val="30"/>
          <w:lang w:eastAsia="en-IN"/>
        </w:rPr>
      </w:pPr>
      <w:r>
        <w:rPr>
          <w:sz w:val="30"/>
          <w:szCs w:val="30"/>
          <w:lang w:eastAsia="en-IN"/>
        </w:rPr>
        <w:br w:type="page"/>
      </w:r>
    </w:p>
    <w:p w14:paraId="74ACBF46" w14:textId="6993DB40" w:rsidR="00947BCF" w:rsidRPr="00211B41" w:rsidRDefault="00947BCF" w:rsidP="00214C75">
      <w:pPr>
        <w:rPr>
          <w:b/>
          <w:bCs/>
          <w:sz w:val="32"/>
          <w:szCs w:val="32"/>
          <w:u w:val="single"/>
          <w:lang w:eastAsia="en-IN"/>
        </w:rPr>
      </w:pPr>
      <w:r w:rsidRPr="00211B41">
        <w:rPr>
          <w:b/>
          <w:bCs/>
          <w:sz w:val="32"/>
          <w:szCs w:val="32"/>
          <w:u w:val="single"/>
          <w:lang w:eastAsia="en-IN"/>
        </w:rPr>
        <w:lastRenderedPageBreak/>
        <w:t>Early Indicators of High Participation</w:t>
      </w:r>
    </w:p>
    <w:p w14:paraId="2232C955" w14:textId="77777777" w:rsidR="00947BCF" w:rsidRPr="00211B41" w:rsidRDefault="00947BCF" w:rsidP="00211B41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The following signals may predict successful opportunities:</w:t>
      </w:r>
    </w:p>
    <w:p w14:paraId="116280BF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High initial signup rates</w:t>
      </w:r>
    </w:p>
    <w:p w14:paraId="0AF1E214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Strong early engagement activity</w:t>
      </w:r>
    </w:p>
    <w:p w14:paraId="7C7ABFB3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Consistent participation throughout the opportunity lifecycle</w:t>
      </w:r>
    </w:p>
    <w:p w14:paraId="0C193D34" w14:textId="77777777" w:rsidR="00947BCF" w:rsidRPr="00211B41" w:rsidRDefault="00947BCF" w:rsidP="00211B41">
      <w:pPr>
        <w:pStyle w:val="ListParagraph"/>
        <w:numPr>
          <w:ilvl w:val="0"/>
          <w:numId w:val="16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Positive interaction trends during the first few days</w:t>
      </w:r>
    </w:p>
    <w:p w14:paraId="3F4D9B14" w14:textId="4B4E68A7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1F432808" w14:textId="77777777" w:rsidR="00947BCF" w:rsidRPr="00211B41" w:rsidRDefault="00947BCF" w:rsidP="00214C75">
      <w:pPr>
        <w:rPr>
          <w:b/>
          <w:bCs/>
          <w:sz w:val="32"/>
          <w:szCs w:val="32"/>
          <w:u w:val="single"/>
          <w:lang w:eastAsia="en-IN"/>
        </w:rPr>
      </w:pPr>
      <w:r w:rsidRPr="00211B41">
        <w:rPr>
          <w:b/>
          <w:bCs/>
          <w:sz w:val="32"/>
          <w:szCs w:val="32"/>
          <w:u w:val="single"/>
          <w:lang w:eastAsia="en-IN"/>
        </w:rPr>
        <w:t>Early Indicators of Low Participation</w:t>
      </w:r>
    </w:p>
    <w:p w14:paraId="6E63859B" w14:textId="77777777" w:rsidR="00947BCF" w:rsidRPr="00211B41" w:rsidRDefault="00947BCF" w:rsidP="00211B41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Potential warning signs include:</w:t>
      </w:r>
    </w:p>
    <w:p w14:paraId="7B098F2E" w14:textId="77777777" w:rsidR="00947BCF" w:rsidRPr="00211B41" w:rsidRDefault="00947BCF" w:rsidP="00211B41">
      <w:pPr>
        <w:pStyle w:val="ListParagraph"/>
        <w:numPr>
          <w:ilvl w:val="0"/>
          <w:numId w:val="17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Low initial signup volume</w:t>
      </w:r>
    </w:p>
    <w:p w14:paraId="38C6CBED" w14:textId="77777777" w:rsidR="00947BCF" w:rsidRPr="00211B41" w:rsidRDefault="00947BCF" w:rsidP="00211B41">
      <w:pPr>
        <w:pStyle w:val="ListParagraph"/>
        <w:numPr>
          <w:ilvl w:val="0"/>
          <w:numId w:val="17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Declining engagement shortly after launch</w:t>
      </w:r>
    </w:p>
    <w:p w14:paraId="3D8A1272" w14:textId="77777777" w:rsidR="00947BCF" w:rsidRPr="00211B41" w:rsidRDefault="00947BCF" w:rsidP="00211B41">
      <w:pPr>
        <w:pStyle w:val="ListParagraph"/>
        <w:numPr>
          <w:ilvl w:val="0"/>
          <w:numId w:val="17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Irregular participation patterns</w:t>
      </w:r>
    </w:p>
    <w:p w14:paraId="74F286F6" w14:textId="77777777" w:rsidR="00947BCF" w:rsidRPr="00211B41" w:rsidRDefault="00947BCF" w:rsidP="00211B41">
      <w:pPr>
        <w:pStyle w:val="ListParagraph"/>
        <w:numPr>
          <w:ilvl w:val="0"/>
          <w:numId w:val="17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Low average engagement intensity</w:t>
      </w:r>
    </w:p>
    <w:p w14:paraId="17308C9F" w14:textId="1A119C85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24E732EA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3C8F6FFA" w14:textId="51257430" w:rsidR="00947BCF" w:rsidRPr="00211B41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1B41">
        <w:rPr>
          <w:b/>
          <w:bCs/>
          <w:sz w:val="36"/>
          <w:szCs w:val="36"/>
          <w:u w:val="single"/>
          <w:lang w:eastAsia="en-IN"/>
        </w:rPr>
        <w:lastRenderedPageBreak/>
        <w:t xml:space="preserve">5. Preparation for Predictive </w:t>
      </w:r>
      <w:proofErr w:type="spellStart"/>
      <w:r w:rsidRPr="00211B41">
        <w:rPr>
          <w:b/>
          <w:bCs/>
          <w:sz w:val="36"/>
          <w:szCs w:val="36"/>
          <w:u w:val="single"/>
          <w:lang w:eastAsia="en-IN"/>
        </w:rPr>
        <w:t>Modeling</w:t>
      </w:r>
      <w:proofErr w:type="spellEnd"/>
    </w:p>
    <w:p w14:paraId="65C796D8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The dataset is now suitable for predictive </w:t>
      </w:r>
      <w:proofErr w:type="spellStart"/>
      <w:r w:rsidRPr="00214C75">
        <w:rPr>
          <w:sz w:val="30"/>
          <w:szCs w:val="30"/>
          <w:lang w:eastAsia="en-IN"/>
        </w:rPr>
        <w:t>modeling</w:t>
      </w:r>
      <w:proofErr w:type="spellEnd"/>
      <w:r w:rsidRPr="00214C75">
        <w:rPr>
          <w:sz w:val="30"/>
          <w:szCs w:val="30"/>
          <w:lang w:eastAsia="en-IN"/>
        </w:rPr>
        <w:t xml:space="preserve"> activities planned for Week 3.</w:t>
      </w:r>
    </w:p>
    <w:p w14:paraId="34F2D22F" w14:textId="77777777" w:rsidR="00947BCF" w:rsidRPr="00211B41" w:rsidRDefault="00947BCF" w:rsidP="00214C75">
      <w:pPr>
        <w:rPr>
          <w:b/>
          <w:bCs/>
          <w:sz w:val="32"/>
          <w:szCs w:val="32"/>
          <w:u w:val="single"/>
          <w:lang w:eastAsia="en-IN"/>
        </w:rPr>
      </w:pPr>
      <w:r w:rsidRPr="00211B41">
        <w:rPr>
          <w:b/>
          <w:bCs/>
          <w:sz w:val="32"/>
          <w:szCs w:val="32"/>
          <w:u w:val="single"/>
          <w:lang w:eastAsia="en-IN"/>
        </w:rPr>
        <w:t>Readiness Assessment</w:t>
      </w:r>
    </w:p>
    <w:p w14:paraId="62761643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Missing values handled</w:t>
      </w:r>
    </w:p>
    <w:p w14:paraId="6740E33A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Duplicates removed</w:t>
      </w:r>
    </w:p>
    <w:p w14:paraId="3F5A0E93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Data standardized</w:t>
      </w:r>
    </w:p>
    <w:p w14:paraId="7CEDE375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New predictive features engineered</w:t>
      </w:r>
    </w:p>
    <w:p w14:paraId="4D3BF956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Outliers investigated</w:t>
      </w:r>
    </w:p>
    <w:p w14:paraId="10D93F92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Relationships between variables explored</w:t>
      </w:r>
    </w:p>
    <w:p w14:paraId="79688A05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rFonts w:ascii="Segoe UI Symbol" w:hAnsi="Segoe UI Symbol" w:cs="Segoe UI Symbol"/>
          <w:sz w:val="30"/>
          <w:szCs w:val="30"/>
          <w:lang w:eastAsia="en-IN"/>
        </w:rPr>
        <w:t>✔</w:t>
      </w:r>
      <w:r w:rsidRPr="00214C75">
        <w:rPr>
          <w:sz w:val="30"/>
          <w:szCs w:val="30"/>
          <w:lang w:eastAsia="en-IN"/>
        </w:rPr>
        <w:t xml:space="preserve"> Participation patterns documented</w:t>
      </w:r>
    </w:p>
    <w:p w14:paraId="3A83D4AF" w14:textId="30AE6998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0A8EB663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6E830295" w14:textId="5498F227" w:rsidR="00947BCF" w:rsidRPr="00211B41" w:rsidRDefault="00947BCF" w:rsidP="00214C75">
      <w:pPr>
        <w:rPr>
          <w:b/>
          <w:bCs/>
          <w:sz w:val="32"/>
          <w:szCs w:val="32"/>
          <w:u w:val="single"/>
          <w:lang w:eastAsia="en-IN"/>
        </w:rPr>
      </w:pPr>
      <w:r w:rsidRPr="00211B41">
        <w:rPr>
          <w:b/>
          <w:bCs/>
          <w:sz w:val="32"/>
          <w:szCs w:val="32"/>
          <w:u w:val="single"/>
          <w:lang w:eastAsia="en-IN"/>
        </w:rPr>
        <w:lastRenderedPageBreak/>
        <w:t>Features Recommended for Machine Learning</w:t>
      </w:r>
    </w:p>
    <w:p w14:paraId="3306F322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The following variables are expected to provide predictive value:</w:t>
      </w:r>
    </w:p>
    <w:p w14:paraId="2CAA337F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Engagement Intensity Score</w:t>
      </w:r>
    </w:p>
    <w:p w14:paraId="1886684E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Opportunity Type</w:t>
      </w:r>
    </w:p>
    <w:p w14:paraId="775C31A7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Signup Month</w:t>
      </w:r>
    </w:p>
    <w:p w14:paraId="26E9D226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Signup Day</w:t>
      </w:r>
    </w:p>
    <w:p w14:paraId="732FC6A8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Historical Participation Count</w:t>
      </w:r>
    </w:p>
    <w:p w14:paraId="0AE5067B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Session Activity Metrics</w:t>
      </w:r>
    </w:p>
    <w:p w14:paraId="0F366272" w14:textId="77777777" w:rsidR="00947BCF" w:rsidRPr="00211B41" w:rsidRDefault="00947BCF" w:rsidP="00211B41">
      <w:pPr>
        <w:pStyle w:val="ListParagraph"/>
        <w:numPr>
          <w:ilvl w:val="0"/>
          <w:numId w:val="32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Interaction Frequency</w:t>
      </w:r>
    </w:p>
    <w:p w14:paraId="346B6703" w14:textId="77777777" w:rsidR="00947BCF" w:rsidRPr="00211B41" w:rsidRDefault="00947BCF" w:rsidP="00214C75">
      <w:pPr>
        <w:rPr>
          <w:b/>
          <w:bCs/>
          <w:sz w:val="30"/>
          <w:szCs w:val="30"/>
          <w:lang w:eastAsia="en-IN"/>
        </w:rPr>
      </w:pPr>
      <w:r w:rsidRPr="00211B41">
        <w:rPr>
          <w:b/>
          <w:bCs/>
          <w:sz w:val="30"/>
          <w:szCs w:val="30"/>
          <w:lang w:eastAsia="en-IN"/>
        </w:rPr>
        <w:t>Potential target variable:</w:t>
      </w:r>
    </w:p>
    <w:p w14:paraId="175BAF64" w14:textId="77777777" w:rsidR="00947BCF" w:rsidRPr="00211B41" w:rsidRDefault="00947BCF" w:rsidP="00211B41">
      <w:pPr>
        <w:pStyle w:val="ListParagraph"/>
        <w:numPr>
          <w:ilvl w:val="0"/>
          <w:numId w:val="33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Participation Status (Participated / Not Participated)</w:t>
      </w:r>
    </w:p>
    <w:p w14:paraId="336445E1" w14:textId="2E15A671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794A1DF4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28D98535" w14:textId="1FF79CE1" w:rsidR="00947BCF" w:rsidRPr="00211B41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1B41">
        <w:rPr>
          <w:b/>
          <w:bCs/>
          <w:sz w:val="36"/>
          <w:szCs w:val="36"/>
          <w:u w:val="single"/>
          <w:lang w:eastAsia="en-IN"/>
        </w:rPr>
        <w:lastRenderedPageBreak/>
        <w:t>6. Key Recommendations</w:t>
      </w:r>
    </w:p>
    <w:p w14:paraId="3BD80C22" w14:textId="77777777" w:rsidR="00947BCF" w:rsidRPr="00211B41" w:rsidRDefault="00947BCF" w:rsidP="00211B41">
      <w:pPr>
        <w:pStyle w:val="ListParagraph"/>
        <w:numPr>
          <w:ilvl w:val="0"/>
          <w:numId w:val="34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Focus future opportunities on categories with consistently high participation.</w:t>
      </w:r>
    </w:p>
    <w:p w14:paraId="6A5651EF" w14:textId="77777777" w:rsidR="00947BCF" w:rsidRPr="00211B41" w:rsidRDefault="00947BCF" w:rsidP="00211B41">
      <w:pPr>
        <w:pStyle w:val="ListParagraph"/>
        <w:numPr>
          <w:ilvl w:val="0"/>
          <w:numId w:val="34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Encourage early engagement through reminders and onboarding activities.</w:t>
      </w:r>
    </w:p>
    <w:p w14:paraId="0C923903" w14:textId="77777777" w:rsidR="00947BCF" w:rsidRPr="00211B41" w:rsidRDefault="00947BCF" w:rsidP="00211B41">
      <w:pPr>
        <w:pStyle w:val="ListParagraph"/>
        <w:numPr>
          <w:ilvl w:val="0"/>
          <w:numId w:val="34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Monitor engagement intensity as an early predictor of participation success.</w:t>
      </w:r>
    </w:p>
    <w:p w14:paraId="60A1CCE1" w14:textId="77777777" w:rsidR="00947BCF" w:rsidRPr="00211B41" w:rsidRDefault="00947BCF" w:rsidP="00211B41">
      <w:pPr>
        <w:pStyle w:val="ListParagraph"/>
        <w:numPr>
          <w:ilvl w:val="0"/>
          <w:numId w:val="34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Develop predictive models using engineered engagement features.</w:t>
      </w:r>
    </w:p>
    <w:p w14:paraId="3A3DB4B2" w14:textId="77777777" w:rsidR="00947BCF" w:rsidRPr="00211B41" w:rsidRDefault="00947BCF" w:rsidP="00211B41">
      <w:pPr>
        <w:pStyle w:val="ListParagraph"/>
        <w:numPr>
          <w:ilvl w:val="0"/>
          <w:numId w:val="34"/>
        </w:numPr>
        <w:rPr>
          <w:sz w:val="30"/>
          <w:szCs w:val="30"/>
          <w:lang w:eastAsia="en-IN"/>
        </w:rPr>
      </w:pPr>
      <w:r w:rsidRPr="00211B41">
        <w:rPr>
          <w:sz w:val="30"/>
          <w:szCs w:val="30"/>
          <w:lang w:eastAsia="en-IN"/>
        </w:rPr>
        <w:t>Investigate opportunities with unusually low participation to improve design and outreach.</w:t>
      </w:r>
    </w:p>
    <w:p w14:paraId="6C49EC26" w14:textId="0F9EF5B3" w:rsidR="00947BCF" w:rsidRPr="00214C75" w:rsidRDefault="00947BCF" w:rsidP="00214C75">
      <w:pPr>
        <w:rPr>
          <w:sz w:val="30"/>
          <w:szCs w:val="30"/>
          <w:lang w:eastAsia="en-IN"/>
        </w:rPr>
      </w:pPr>
    </w:p>
    <w:p w14:paraId="6DEE9C37" w14:textId="77777777" w:rsidR="00214C75" w:rsidRPr="00214C75" w:rsidRDefault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br w:type="page"/>
      </w:r>
    </w:p>
    <w:p w14:paraId="6AF565B0" w14:textId="2B6C1F04" w:rsidR="00947BCF" w:rsidRPr="00211B41" w:rsidRDefault="00947BCF" w:rsidP="00214C75">
      <w:pPr>
        <w:rPr>
          <w:b/>
          <w:bCs/>
          <w:sz w:val="36"/>
          <w:szCs w:val="36"/>
          <w:u w:val="single"/>
          <w:lang w:eastAsia="en-IN"/>
        </w:rPr>
      </w:pPr>
      <w:r w:rsidRPr="00211B41">
        <w:rPr>
          <w:b/>
          <w:bCs/>
          <w:sz w:val="36"/>
          <w:szCs w:val="36"/>
          <w:u w:val="single"/>
          <w:lang w:eastAsia="en-IN"/>
        </w:rPr>
        <w:lastRenderedPageBreak/>
        <w:t>7. Conclusion</w:t>
      </w:r>
    </w:p>
    <w:p w14:paraId="634B02C0" w14:textId="77777777" w:rsidR="00947BCF" w:rsidRPr="00214C75" w:rsidRDefault="00947BCF" w:rsidP="00214C75">
      <w:pPr>
        <w:rPr>
          <w:sz w:val="30"/>
          <w:szCs w:val="30"/>
          <w:lang w:eastAsia="en-IN"/>
        </w:rPr>
      </w:pPr>
      <w:r w:rsidRPr="00214C75">
        <w:rPr>
          <w:sz w:val="30"/>
          <w:szCs w:val="30"/>
          <w:lang w:eastAsia="en-IN"/>
        </w:rPr>
        <w:t xml:space="preserve">The Week 2 analysis successfully transformed the dataset into an analysis-ready format and uncovered meaningful participation patterns. Exploratory analysis revealed that engagement intensity, opportunity type, and signup timing are among the strongest indicators of participation. These findings establish a solid foundation for predictive </w:t>
      </w:r>
      <w:proofErr w:type="spellStart"/>
      <w:r w:rsidRPr="00214C75">
        <w:rPr>
          <w:sz w:val="30"/>
          <w:szCs w:val="30"/>
          <w:lang w:eastAsia="en-IN"/>
        </w:rPr>
        <w:t>modeling</w:t>
      </w:r>
      <w:proofErr w:type="spellEnd"/>
      <w:r w:rsidRPr="00214C75">
        <w:rPr>
          <w:sz w:val="30"/>
          <w:szCs w:val="30"/>
          <w:lang w:eastAsia="en-IN"/>
        </w:rPr>
        <w:t xml:space="preserve"> and recommendation development in Week 3.</w:t>
      </w:r>
    </w:p>
    <w:p w14:paraId="565BE45B" w14:textId="77777777" w:rsidR="00DC72AA" w:rsidRPr="00214C75" w:rsidRDefault="00DC72AA" w:rsidP="00214C75">
      <w:pPr>
        <w:rPr>
          <w:sz w:val="30"/>
          <w:szCs w:val="30"/>
        </w:rPr>
      </w:pPr>
    </w:p>
    <w:sectPr w:rsidR="00DC72AA" w:rsidRPr="0021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CB5"/>
    <w:multiLevelType w:val="multilevel"/>
    <w:tmpl w:val="EF7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21DB"/>
    <w:multiLevelType w:val="multilevel"/>
    <w:tmpl w:val="106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11AA"/>
    <w:multiLevelType w:val="hybridMultilevel"/>
    <w:tmpl w:val="C5DE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715EF"/>
    <w:multiLevelType w:val="multilevel"/>
    <w:tmpl w:val="826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35937"/>
    <w:multiLevelType w:val="multilevel"/>
    <w:tmpl w:val="B80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F08B1"/>
    <w:multiLevelType w:val="hybridMultilevel"/>
    <w:tmpl w:val="271E08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B651B"/>
    <w:multiLevelType w:val="multilevel"/>
    <w:tmpl w:val="EF6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F4687"/>
    <w:multiLevelType w:val="hybridMultilevel"/>
    <w:tmpl w:val="E854793A"/>
    <w:lvl w:ilvl="0" w:tplc="EC2A9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57E27"/>
    <w:multiLevelType w:val="hybridMultilevel"/>
    <w:tmpl w:val="FB9C4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50524"/>
    <w:multiLevelType w:val="hybridMultilevel"/>
    <w:tmpl w:val="AA227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B65AD"/>
    <w:multiLevelType w:val="hybridMultilevel"/>
    <w:tmpl w:val="3AFAF5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60627"/>
    <w:multiLevelType w:val="hybridMultilevel"/>
    <w:tmpl w:val="ABCAD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62563"/>
    <w:multiLevelType w:val="hybridMultilevel"/>
    <w:tmpl w:val="FDE4D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34EA0"/>
    <w:multiLevelType w:val="multilevel"/>
    <w:tmpl w:val="42C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A0C6F"/>
    <w:multiLevelType w:val="hybridMultilevel"/>
    <w:tmpl w:val="56C40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918E0"/>
    <w:multiLevelType w:val="hybridMultilevel"/>
    <w:tmpl w:val="3990A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066D9"/>
    <w:multiLevelType w:val="hybridMultilevel"/>
    <w:tmpl w:val="B8A66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81877"/>
    <w:multiLevelType w:val="multilevel"/>
    <w:tmpl w:val="796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61117"/>
    <w:multiLevelType w:val="multilevel"/>
    <w:tmpl w:val="A51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A7034"/>
    <w:multiLevelType w:val="hybridMultilevel"/>
    <w:tmpl w:val="8368A9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F646A7"/>
    <w:multiLevelType w:val="multilevel"/>
    <w:tmpl w:val="68A8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F633A"/>
    <w:multiLevelType w:val="hybridMultilevel"/>
    <w:tmpl w:val="C60C68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63E02"/>
    <w:multiLevelType w:val="multilevel"/>
    <w:tmpl w:val="312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5259D"/>
    <w:multiLevelType w:val="hybridMultilevel"/>
    <w:tmpl w:val="95F680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90E69"/>
    <w:multiLevelType w:val="hybridMultilevel"/>
    <w:tmpl w:val="EF3EAEF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46FF6"/>
    <w:multiLevelType w:val="hybridMultilevel"/>
    <w:tmpl w:val="0A50E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A2DAA"/>
    <w:multiLevelType w:val="hybridMultilevel"/>
    <w:tmpl w:val="2390CB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B3D67"/>
    <w:multiLevelType w:val="hybridMultilevel"/>
    <w:tmpl w:val="B73276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06D5864"/>
    <w:multiLevelType w:val="hybridMultilevel"/>
    <w:tmpl w:val="56AA1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10BC2"/>
    <w:multiLevelType w:val="multilevel"/>
    <w:tmpl w:val="A86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52198"/>
    <w:multiLevelType w:val="multilevel"/>
    <w:tmpl w:val="035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E41A5"/>
    <w:multiLevelType w:val="hybridMultilevel"/>
    <w:tmpl w:val="31668E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9667D"/>
    <w:multiLevelType w:val="multilevel"/>
    <w:tmpl w:val="3D6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6705D"/>
    <w:multiLevelType w:val="hybridMultilevel"/>
    <w:tmpl w:val="E7C8A7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054304">
    <w:abstractNumId w:val="3"/>
  </w:num>
  <w:num w:numId="2" w16cid:durableId="585311442">
    <w:abstractNumId w:val="13"/>
  </w:num>
  <w:num w:numId="3" w16cid:durableId="1442607571">
    <w:abstractNumId w:val="17"/>
  </w:num>
  <w:num w:numId="4" w16cid:durableId="1008601605">
    <w:abstractNumId w:val="32"/>
  </w:num>
  <w:num w:numId="5" w16cid:durableId="979917085">
    <w:abstractNumId w:val="0"/>
  </w:num>
  <w:num w:numId="6" w16cid:durableId="2046172280">
    <w:abstractNumId w:val="30"/>
  </w:num>
  <w:num w:numId="7" w16cid:durableId="1387142159">
    <w:abstractNumId w:val="29"/>
  </w:num>
  <w:num w:numId="8" w16cid:durableId="299728182">
    <w:abstractNumId w:val="1"/>
  </w:num>
  <w:num w:numId="9" w16cid:durableId="283343273">
    <w:abstractNumId w:val="22"/>
  </w:num>
  <w:num w:numId="10" w16cid:durableId="1899776606">
    <w:abstractNumId w:val="4"/>
  </w:num>
  <w:num w:numId="11" w16cid:durableId="1919820882">
    <w:abstractNumId w:val="18"/>
  </w:num>
  <w:num w:numId="12" w16cid:durableId="107547990">
    <w:abstractNumId w:val="6"/>
  </w:num>
  <w:num w:numId="13" w16cid:durableId="1822116016">
    <w:abstractNumId w:val="20"/>
  </w:num>
  <w:num w:numId="14" w16cid:durableId="211505459">
    <w:abstractNumId w:val="23"/>
  </w:num>
  <w:num w:numId="15" w16cid:durableId="822894148">
    <w:abstractNumId w:val="14"/>
  </w:num>
  <w:num w:numId="16" w16cid:durableId="1825782585">
    <w:abstractNumId w:val="15"/>
  </w:num>
  <w:num w:numId="17" w16cid:durableId="1653100343">
    <w:abstractNumId w:val="12"/>
  </w:num>
  <w:num w:numId="18" w16cid:durableId="885876072">
    <w:abstractNumId w:val="10"/>
  </w:num>
  <w:num w:numId="19" w16cid:durableId="717553890">
    <w:abstractNumId w:val="8"/>
  </w:num>
  <w:num w:numId="20" w16cid:durableId="644049809">
    <w:abstractNumId w:val="31"/>
  </w:num>
  <w:num w:numId="21" w16cid:durableId="1803502340">
    <w:abstractNumId w:val="21"/>
  </w:num>
  <w:num w:numId="22" w16cid:durableId="1179348014">
    <w:abstractNumId w:val="26"/>
  </w:num>
  <w:num w:numId="23" w16cid:durableId="1889413028">
    <w:abstractNumId w:val="33"/>
  </w:num>
  <w:num w:numId="24" w16cid:durableId="206797589">
    <w:abstractNumId w:val="5"/>
  </w:num>
  <w:num w:numId="25" w16cid:durableId="239366447">
    <w:abstractNumId w:val="11"/>
  </w:num>
  <w:num w:numId="26" w16cid:durableId="311525001">
    <w:abstractNumId w:val="9"/>
  </w:num>
  <w:num w:numId="27" w16cid:durableId="63455715">
    <w:abstractNumId w:val="7"/>
  </w:num>
  <w:num w:numId="28" w16cid:durableId="470903656">
    <w:abstractNumId w:val="16"/>
  </w:num>
  <w:num w:numId="29" w16cid:durableId="106775125">
    <w:abstractNumId w:val="27"/>
  </w:num>
  <w:num w:numId="30" w16cid:durableId="946617550">
    <w:abstractNumId w:val="25"/>
  </w:num>
  <w:num w:numId="31" w16cid:durableId="655837333">
    <w:abstractNumId w:val="19"/>
  </w:num>
  <w:num w:numId="32" w16cid:durableId="69230914">
    <w:abstractNumId w:val="28"/>
  </w:num>
  <w:num w:numId="33" w16cid:durableId="1395664658">
    <w:abstractNumId w:val="2"/>
  </w:num>
  <w:num w:numId="34" w16cid:durableId="5028642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CF"/>
    <w:rsid w:val="001D437B"/>
    <w:rsid w:val="00211B41"/>
    <w:rsid w:val="00214C75"/>
    <w:rsid w:val="0028397D"/>
    <w:rsid w:val="007D5FD5"/>
    <w:rsid w:val="00947BCF"/>
    <w:rsid w:val="00C87232"/>
    <w:rsid w:val="00DC72AA"/>
    <w:rsid w:val="00E63392"/>
    <w:rsid w:val="00FA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91E6"/>
  <w15:chartTrackingRefBased/>
  <w15:docId w15:val="{68F6A79E-4507-456A-9D44-29FE3D74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C75"/>
  </w:style>
  <w:style w:type="paragraph" w:styleId="Heading1">
    <w:name w:val="heading 1"/>
    <w:basedOn w:val="Normal"/>
    <w:next w:val="Normal"/>
    <w:link w:val="Heading1Char"/>
    <w:uiPriority w:val="9"/>
    <w:qFormat/>
    <w:rsid w:val="00214C7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C7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C7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C7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7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7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7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7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7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7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14C7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14C7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14C7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7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7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7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7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7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14C7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4C7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7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14C7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14C7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14C7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47BCF"/>
    <w:pPr>
      <w:ind w:left="720"/>
      <w:contextualSpacing/>
    </w:pPr>
  </w:style>
  <w:style w:type="character" w:styleId="IntenseEmphasis">
    <w:name w:val="Intense Emphasis"/>
    <w:uiPriority w:val="21"/>
    <w:qFormat/>
    <w:rsid w:val="00214C7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7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75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214C75"/>
    <w:rPr>
      <w:b/>
      <w:bCs/>
      <w:i/>
      <w:iCs/>
      <w:cap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947BC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4C7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214C75"/>
    <w:rPr>
      <w:b/>
      <w:bCs/>
    </w:rPr>
  </w:style>
  <w:style w:type="character" w:styleId="Emphasis">
    <w:name w:val="Emphasis"/>
    <w:uiPriority w:val="20"/>
    <w:qFormat/>
    <w:rsid w:val="00214C7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14C75"/>
    <w:pPr>
      <w:spacing w:after="0" w:line="240" w:lineRule="auto"/>
    </w:pPr>
  </w:style>
  <w:style w:type="character" w:styleId="SubtleEmphasis">
    <w:name w:val="Subtle Emphasis"/>
    <w:uiPriority w:val="19"/>
    <w:qFormat/>
    <w:rsid w:val="00214C7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214C7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214C7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4C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awpixel.com/image/380326/business-analysis-chart-digital-tablet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1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DA929-85B9-4C78-832A-6E861E81E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M</dc:creator>
  <cp:keywords/>
  <dc:description/>
  <cp:lastModifiedBy>Murali Krishna M</cp:lastModifiedBy>
  <cp:revision>2</cp:revision>
  <dcterms:created xsi:type="dcterms:W3CDTF">2026-06-25T08:29:00Z</dcterms:created>
  <dcterms:modified xsi:type="dcterms:W3CDTF">2026-06-25T09:40:00Z</dcterms:modified>
</cp:coreProperties>
</file>