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E7490"/>
          <w:sz w:val="44"/>
        </w:rPr>
        <w:t>RETINASCAN AI: CLINICAL EXPLAINABILITY &amp; ARCHITECTURAL DEFENSE</w:t>
      </w:r>
    </w:p>
    <w:p>
      <w:pPr>
        <w:spacing w:before="0" w:after="160"/>
        <w:jc w:val="center"/>
      </w:pPr>
      <w:r>
        <w:rPr>
          <w:rFonts w:ascii="Calibri" w:hAnsi="Calibri"/>
          <w:i/>
          <w:color w:val="475569"/>
          <w:sz w:val="24"/>
        </w:rPr>
        <w:t>Comprehensive Repository File Guide, 'Why This Prediction?' Explainability System, and Final Review Q&amp;A Preparation</w:t>
      </w:r>
    </w:p>
    <w:p>
      <w:pPr>
        <w:spacing w:before="0" w:after="320"/>
        <w:jc w:val="center"/>
      </w:pPr>
      <w:r>
        <w:rPr>
          <w:color w:val="64748B"/>
          <w:sz w:val="19"/>
        </w:rPr>
        <w:t>Project Team: Murali A, Niranjan T, Praveen K  |  Guide: Dr. C. Santhosh Kumar</w:t>
        <w:br/>
        <w:t>Institution: Sona College of Technology  |  Academic Year: 2025–2026</w:t>
      </w:r>
    </w:p>
    <w:p>
      <w:pPr>
        <w:spacing w:after="80"/>
      </w:pPr>
    </w:p>
    <w:p>
      <w:pPr>
        <w:pStyle w:val="Heading1"/>
      </w:pPr>
      <w:r>
        <w:t>1. Executive Overview &amp; The 'Why This Prediction?' System</w:t>
      </w:r>
    </w:p>
    <w:p>
      <w:r>
        <w:t>RetinaScan AI is an end-to-end medical deep learning system designed for automated Optical Coherence Tomography (OCT) retinal disease classification with real-time explainability (Explainable AI / XAI). The core classifier leverages a modernized ConvNeXt-Tiny convolutional neural network trained on 84,484 OCT B-scans from the Kermany OCT2017 benchmark dataset, attaining an empirical test accuracy of 99.90% (967 out of 968 correct classifications).</w:t>
      </w:r>
    </w:p>
    <w:p>
      <w:r>
        <w:t>To eliminate the 'black-box' nature of deep learning in clinical healthcare, the interface features a prominent 'Why this prediction?' explainability section placed directly beneath each diagnostic result. This section provides clinical reviewers and ophthalmologists with an immediate, transparent visual and anatomical justification of the network's internal decision process.</w:t>
      </w:r>
    </w:p>
    <w:tbl>
      <w:tblPr>
        <w:tblW w:type="auto" w:w="0"/>
        <w:jc w:val="center"/>
        <w:tblLayout w:type="fixed"/>
        <w:tblLook w:firstColumn="1" w:firstRow="1" w:lastColumn="0" w:lastRow="0" w:noHBand="0" w:noVBand="1" w:val="04A0"/>
      </w:tblPr>
      <w:tblGrid>
        <w:gridCol w:w="9360"/>
      </w:tblGrid>
      <w:tr>
        <w:tc>
          <w:tcPr>
            <w:tcW w:type="dxa" w:w="9936"/>
            <w:shd w:fill="F0F9FF"/>
            <w:tcMar>
              <w:top w:w="140" w:type="dxa"/>
              <w:bottom w:w="140" w:type="dxa"/>
              <w:left w:w="200" w:type="dxa"/>
              <w:right w:w="180" w:type="dxa"/>
            </w:tcMar>
            <w:tcBorders>
              <w:left w:val="single" w:sz="36" w:space="0" w:color="0284C7"/>
              <w:top w:val="none"/>
              <w:right w:val="none"/>
              <w:bottom w:val="none"/>
            </w:tcBorders>
          </w:tcPr>
          <w:p>
            <w:pPr>
              <w:spacing w:before="40" w:after="80"/>
            </w:pPr>
            <w:r>
              <w:rPr>
                <w:rFonts w:ascii="Calibri" w:hAnsi="Calibri"/>
                <w:b/>
                <w:color w:val="0E7490"/>
                <w:sz w:val="22"/>
              </w:rPr>
              <w:t>📌 The 'Why This Prediction?' Section Components</w:t>
              <w:br/>
            </w:r>
            <w:r>
              <w:rPr>
                <w:rFonts w:ascii="Calibri" w:hAnsi="Calibri"/>
                <w:color w:val="1E293B"/>
                <w:sz w:val="20"/>
              </w:rPr>
              <w:t>1. Predicted Disease: Clear categorical badge (CNV, DME, DRUSEN, or NORMAL).</w:t>
              <w:br/>
              <w:t>2. Actual Confidence / Probability: Exact softmax percentage calculated from the model output logits.</w:t>
              <w:br/>
              <w:t>3. Three-Image Diagnostic Triad: Side-by-side visualization of Original OCT Scan, Standalone Grad-CAM Jet Heatmap, and 55%-45% Alpha Heatmap Overlay.</w:t>
              <w:br/>
              <w:t>4. Dynamic Anatomical Explanation: Scientifically precise statement detailing WHERE the model focused and WHY that region is pathologically relevant.</w:t>
              <w:br/>
              <w:t>5. Decision-Making Pipeline Flow: Step-by-step trace showing feature extraction, class scoring, and Grad-CAM gradient attribution.</w:t>
              <w:br/>
              <w:t>6. Scientific &amp; Ethical Guardrail: Clear clarification that Grad-CAM visualizes feature attribution and does not independently classify or prove disease.</w:t>
            </w:r>
          </w:p>
        </w:tc>
      </w:tr>
    </w:tbl>
    <w:p>
      <w:pPr>
        <w:spacing w:after="80"/>
      </w:pPr>
    </w:p>
    <w:p>
      <w:pPr>
        <w:pStyle w:val="Heading2"/>
      </w:pPr>
      <w:r>
        <w:t>Dynamic Anatomical Explanations by Diagnostic Class</w:t>
      </w:r>
    </w:p>
    <w:tbl>
      <w:tblPr>
        <w:tblW w:type="auto" w:w="0"/>
        <w:jc w:val="center"/>
        <w:tblLayout w:type="fixed"/>
        <w:tblLook w:firstColumn="1" w:firstRow="1" w:lastColumn="0" w:lastRow="0" w:noHBand="0" w:noVBand="1" w:val="04A0"/>
      </w:tblPr>
      <w:tblGrid>
        <w:gridCol w:w="1728"/>
        <w:gridCol w:w="3312"/>
        <w:gridCol w:w="4320"/>
      </w:tblGrid>
      <w:tr>
        <w:tc>
          <w:tcPr>
            <w:tcW w:type="dxa" w:w="3312"/>
            <w:shd w:fill="0F172A"/>
            <w:tcMar>
              <w:top w:w="120" w:type="dxa"/>
              <w:bottom w:w="120" w:type="dxa"/>
              <w:left w:w="140" w:type="dxa"/>
              <w:right w:w="140" w:type="dxa"/>
            </w:tcMar>
          </w:tcPr>
          <w:p>
            <w:r>
              <w:rPr>
                <w:b/>
                <w:color w:val="FFFFFF"/>
                <w:sz w:val="19"/>
              </w:rPr>
              <w:t>Class</w:t>
            </w:r>
          </w:p>
        </w:tc>
        <w:tc>
          <w:tcPr>
            <w:tcW w:type="dxa" w:w="3312"/>
            <w:shd w:fill="0F172A"/>
            <w:tcMar>
              <w:top w:w="120" w:type="dxa"/>
              <w:bottom w:w="120" w:type="dxa"/>
              <w:left w:w="140" w:type="dxa"/>
              <w:right w:w="140" w:type="dxa"/>
            </w:tcMar>
          </w:tcPr>
          <w:p>
            <w:r>
              <w:rPr>
                <w:b/>
                <w:color w:val="FFFFFF"/>
                <w:sz w:val="19"/>
              </w:rPr>
              <w:t>Target Retinal Pathology</w:t>
            </w:r>
          </w:p>
        </w:tc>
        <w:tc>
          <w:tcPr>
            <w:tcW w:type="dxa" w:w="3312"/>
            <w:shd w:fill="0F172A"/>
            <w:tcMar>
              <w:top w:w="120" w:type="dxa"/>
              <w:bottom w:w="120" w:type="dxa"/>
              <w:left w:w="140" w:type="dxa"/>
              <w:right w:w="140" w:type="dxa"/>
            </w:tcMar>
          </w:tcPr>
          <w:p>
            <w:r>
              <w:rPr>
                <w:b/>
                <w:color w:val="FFFFFF"/>
                <w:sz w:val="19"/>
              </w:rPr>
              <w:t>Exact UI Dynamic Justification</w:t>
            </w:r>
          </w:p>
        </w:tc>
      </w:tr>
      <w:tr>
        <w:tc>
          <w:tcPr>
            <w:tcW w:type="dxa" w:w="3312"/>
            <w:shd w:fill="FFFFFF"/>
            <w:tcMar>
              <w:top w:w="100" w:type="dxa"/>
              <w:bottom w:w="100" w:type="dxa"/>
              <w:left w:w="120" w:type="dxa"/>
              <w:right w:w="120" w:type="dxa"/>
            </w:tcMar>
          </w:tcPr>
          <w:p>
            <w:r>
              <w:rPr>
                <w:b/>
                <w:color w:val="0E7490"/>
                <w:sz w:val="18"/>
              </w:rPr>
              <w:t>CNV</w:t>
            </w:r>
          </w:p>
        </w:tc>
        <w:tc>
          <w:tcPr>
            <w:tcW w:type="dxa" w:w="3312"/>
            <w:shd w:fill="FFFFFF"/>
            <w:tcMar>
              <w:top w:w="100" w:type="dxa"/>
              <w:bottom w:w="100" w:type="dxa"/>
              <w:left w:w="120" w:type="dxa"/>
              <w:right w:w="120" w:type="dxa"/>
            </w:tcMar>
          </w:tcPr>
          <w:p>
            <w:r>
              <w:rPr>
                <w:sz w:val="18"/>
              </w:rPr>
              <w:t>Choroidal Neovascularization (Wet AMD). Abnormal sub-retinal vessel growth with fibrovascular membranes.</w:t>
            </w:r>
          </w:p>
        </w:tc>
        <w:tc>
          <w:tcPr>
            <w:tcW w:type="dxa" w:w="3312"/>
            <w:shd w:fill="FFFFFF"/>
            <w:tcMar>
              <w:top w:w="100" w:type="dxa"/>
              <w:bottom w:w="100" w:type="dxa"/>
              <w:left w:w="120" w:type="dxa"/>
              <w:right w:w="120" w:type="dxa"/>
            </w:tcMar>
          </w:tcPr>
          <w:p>
            <w:r>
              <w:rPr>
                <w:sz w:val="18"/>
              </w:rPr>
              <w:t>"The model focused on the elevated retinal/RPE region, which is an area typically associated with CNV-related abnormalities."</w:t>
            </w:r>
          </w:p>
        </w:tc>
      </w:tr>
      <w:tr>
        <w:tc>
          <w:tcPr>
            <w:tcW w:type="dxa" w:w="3312"/>
            <w:shd w:fill="F8FAFC"/>
            <w:tcMar>
              <w:top w:w="100" w:type="dxa"/>
              <w:bottom w:w="100" w:type="dxa"/>
              <w:left w:w="120" w:type="dxa"/>
              <w:right w:w="120" w:type="dxa"/>
            </w:tcMar>
          </w:tcPr>
          <w:p>
            <w:r>
              <w:rPr>
                <w:b/>
                <w:color w:val="0E7490"/>
                <w:sz w:val="18"/>
              </w:rPr>
              <w:t>DME</w:t>
            </w:r>
          </w:p>
        </w:tc>
        <w:tc>
          <w:tcPr>
            <w:tcW w:type="dxa" w:w="3312"/>
            <w:shd w:fill="F8FAFC"/>
            <w:tcMar>
              <w:top w:w="100" w:type="dxa"/>
              <w:bottom w:w="100" w:type="dxa"/>
              <w:left w:w="120" w:type="dxa"/>
              <w:right w:w="120" w:type="dxa"/>
            </w:tcMar>
          </w:tcPr>
          <w:p>
            <w:r>
              <w:rPr>
                <w:sz w:val="18"/>
              </w:rPr>
              <w:t>Diabetic Macular Edema. Intraretinal cystoid fluid accumulation, spongiform retinal thickening.</w:t>
            </w:r>
          </w:p>
        </w:tc>
        <w:tc>
          <w:tcPr>
            <w:tcW w:type="dxa" w:w="3312"/>
            <w:shd w:fill="F8FAFC"/>
            <w:tcMar>
              <w:top w:w="100" w:type="dxa"/>
              <w:bottom w:w="100" w:type="dxa"/>
              <w:left w:w="120" w:type="dxa"/>
              <w:right w:w="120" w:type="dxa"/>
            </w:tcMar>
          </w:tcPr>
          <w:p>
            <w:r>
              <w:rPr>
                <w:sz w:val="18"/>
              </w:rPr>
              <w:t>"The model focused on the central intraretinal region, where cystoid/fluid-filled spaces associated with DME are typically observed."</w:t>
            </w:r>
          </w:p>
        </w:tc>
      </w:tr>
      <w:tr>
        <w:tc>
          <w:tcPr>
            <w:tcW w:type="dxa" w:w="3312"/>
            <w:shd w:fill="FFFFFF"/>
            <w:tcMar>
              <w:top w:w="100" w:type="dxa"/>
              <w:bottom w:w="100" w:type="dxa"/>
              <w:left w:w="120" w:type="dxa"/>
              <w:right w:w="120" w:type="dxa"/>
            </w:tcMar>
          </w:tcPr>
          <w:p>
            <w:r>
              <w:rPr>
                <w:b/>
                <w:color w:val="0E7490"/>
                <w:sz w:val="18"/>
              </w:rPr>
              <w:t>DRUSEN</w:t>
            </w:r>
          </w:p>
        </w:tc>
        <w:tc>
          <w:tcPr>
            <w:tcW w:type="dxa" w:w="3312"/>
            <w:shd w:fill="FFFFFF"/>
            <w:tcMar>
              <w:top w:w="100" w:type="dxa"/>
              <w:bottom w:w="100" w:type="dxa"/>
              <w:left w:w="120" w:type="dxa"/>
              <w:right w:w="120" w:type="dxa"/>
            </w:tcMar>
          </w:tcPr>
          <w:p>
            <w:r>
              <w:rPr>
                <w:sz w:val="18"/>
              </w:rPr>
              <w:t>Drusen Deposits (Dry AMD). Sub-RPE acellular lipid and proteinaceous mounds.</w:t>
            </w:r>
          </w:p>
        </w:tc>
        <w:tc>
          <w:tcPr>
            <w:tcW w:type="dxa" w:w="3312"/>
            <w:shd w:fill="FFFFFF"/>
            <w:tcMar>
              <w:top w:w="100" w:type="dxa"/>
              <w:bottom w:w="100" w:type="dxa"/>
              <w:left w:w="120" w:type="dxa"/>
              <w:right w:w="120" w:type="dxa"/>
            </w:tcMar>
          </w:tcPr>
          <w:p>
            <w:r>
              <w:rPr>
                <w:sz w:val="18"/>
              </w:rPr>
              <w:t>"The model focused near the retinal pigment epithelium (RPE), where drusen deposits are typically located."</w:t>
            </w:r>
          </w:p>
        </w:tc>
      </w:tr>
      <w:tr>
        <w:tc>
          <w:tcPr>
            <w:tcW w:type="dxa" w:w="3312"/>
            <w:shd w:fill="F8FAFC"/>
            <w:tcMar>
              <w:top w:w="100" w:type="dxa"/>
              <w:bottom w:w="100" w:type="dxa"/>
              <w:left w:w="120" w:type="dxa"/>
              <w:right w:w="120" w:type="dxa"/>
            </w:tcMar>
          </w:tcPr>
          <w:p>
            <w:r>
              <w:rPr>
                <w:b/>
                <w:color w:val="0E7490"/>
                <w:sz w:val="18"/>
              </w:rPr>
              <w:t>NORMAL</w:t>
            </w:r>
          </w:p>
        </w:tc>
        <w:tc>
          <w:tcPr>
            <w:tcW w:type="dxa" w:w="3312"/>
            <w:shd w:fill="F8FAFC"/>
            <w:tcMar>
              <w:top w:w="100" w:type="dxa"/>
              <w:bottom w:w="100" w:type="dxa"/>
              <w:left w:w="120" w:type="dxa"/>
              <w:right w:w="120" w:type="dxa"/>
            </w:tcMar>
          </w:tcPr>
          <w:p>
            <w:r>
              <w:rPr>
                <w:sz w:val="18"/>
              </w:rPr>
              <w:t>Healthy Macular Architecture. Intact foveal depression, continuous RPE, distinct laminar stratification.</w:t>
            </w:r>
          </w:p>
        </w:tc>
        <w:tc>
          <w:tcPr>
            <w:tcW w:type="dxa" w:w="3312"/>
            <w:shd w:fill="F8FAFC"/>
            <w:tcMar>
              <w:top w:w="100" w:type="dxa"/>
              <w:bottom w:w="100" w:type="dxa"/>
              <w:left w:w="120" w:type="dxa"/>
              <w:right w:w="120" w:type="dxa"/>
            </w:tcMar>
          </w:tcPr>
          <w:p>
            <w:r>
              <w:rPr>
                <w:sz w:val="18"/>
              </w:rPr>
              <w:t>"The model showed distributed attention around the foveal region without a strong localized pathological focus, consistent with normal retinal architecture."</w:t>
            </w:r>
          </w:p>
        </w:tc>
      </w:tr>
    </w:tbl>
    <w:p>
      <w:pPr>
        <w:spacing w:after="160"/>
      </w:pPr>
    </w:p>
    <w:p>
      <w:pPr>
        <w:pStyle w:val="Heading2"/>
      </w:pPr>
      <w:r>
        <w:t>How the Decision is Made (Pipeline Formulation)</w:t>
      </w:r>
    </w:p>
    <w:p>
      <w:r>
        <w:rPr>
          <w:b/>
          <w:color w:val="1E293B"/>
          <w:sz w:val="20"/>
        </w:rPr>
        <w:t>In the UI, this two-stage decision trace is presented to demonstrate that the classifier and explainability methods operate in tandem without false equivalence:</w:t>
        <w:br/>
        <w:br/>
        <w:t>• ConvNeXt-Tiny → extracts retinal features → produces scores for 4 classes → highest score becomes prediction.</w:t>
        <w:br/>
        <w:t>• Grad-CAM → shows which image regions contributed most to that prediction.</w:t>
      </w:r>
    </w:p>
    <w:tbl>
      <w:tblPr>
        <w:tblW w:type="auto" w:w="0"/>
        <w:jc w:val="center"/>
        <w:tblLayout w:type="fixed"/>
        <w:tblLook w:firstColumn="1" w:firstRow="1" w:lastColumn="0" w:lastRow="0" w:noHBand="0" w:noVBand="1" w:val="04A0"/>
      </w:tblPr>
      <w:tblGrid>
        <w:gridCol w:w="9360"/>
      </w:tblGrid>
      <w:tr>
        <w:tc>
          <w:tcPr>
            <w:tcW w:type="dxa" w:w="9936"/>
            <w:shd w:fill="FFF1F2"/>
            <w:tcMar>
              <w:top w:w="140" w:type="dxa"/>
              <w:bottom w:w="140" w:type="dxa"/>
              <w:left w:w="200" w:type="dxa"/>
              <w:right w:w="180" w:type="dxa"/>
            </w:tcMar>
            <w:tcBorders>
              <w:left w:val="single" w:sz="36" w:space="0" w:color="E11D48"/>
              <w:top w:val="none"/>
              <w:right w:val="none"/>
              <w:bottom w:val="none"/>
            </w:tcBorders>
          </w:tcPr>
          <w:p>
            <w:pPr>
              <w:spacing w:before="40" w:after="80"/>
            </w:pPr>
            <w:r>
              <w:rPr>
                <w:rFonts w:ascii="Calibri" w:hAnsi="Calibri"/>
                <w:b/>
                <w:color w:val="0E7490"/>
                <w:sz w:val="22"/>
              </w:rPr>
              <w:t>📌 Strict Interpretability &amp; Regulatory Guardrails</w:t>
              <w:br/>
            </w:r>
            <w:r>
              <w:rPr>
                <w:rFonts w:ascii="Calibri" w:hAnsi="Calibri"/>
                <w:color w:val="1E293B"/>
                <w:sz w:val="20"/>
              </w:rPr>
              <w:t>• Grad-CAM is an attribution method, NOT a secondary or independent classifier. It does not perform the classification; it illustrates the gradients flowing backward from the winning logit.</w:t>
              <w:br/>
              <w:t>• Heatmap activations do NOT 'prove' disease existence; they indicate spatial feature importance for the model's numerical activation.</w:t>
              <w:br/>
              <w:t>• All probabilities and heatmaps are calculated dynamically from actual model inference with zero hardcoded or mocked values.</w:t>
              <w:br/>
              <w:t>• The software is an academic investigational prototype designed as assistive diagnostic decision support, not an autonomous medical device.</w:t>
            </w:r>
          </w:p>
        </w:tc>
      </w:tr>
    </w:tbl>
    <w:p>
      <w:pPr>
        <w:spacing w:after="80"/>
      </w:pPr>
    </w:p>
    <w:p>
      <w:pPr>
        <w:pStyle w:val="Heading1"/>
      </w:pPr>
      <w:r>
        <w:t>2. Repository Architecture: What Every File Does &amp; Why It Matters</w:t>
      </w:r>
    </w:p>
    <w:p>
      <w:r>
        <w:t>To facilitate smooth project evaluation, the following directory breakdown describes the precise job of every file in the RetinaScan AI codebase and explains why that file is critical to the system's operation and evaluation.</w:t>
      </w:r>
    </w:p>
    <w:tbl>
      <w:tblPr>
        <w:tblW w:type="auto" w:w="0"/>
        <w:jc w:val="center"/>
        <w:tblLayout w:type="fixed"/>
        <w:tblLook w:firstColumn="1" w:firstRow="1" w:lastColumn="0" w:lastRow="0" w:noHBand="0" w:noVBand="1" w:val="04A0"/>
      </w:tblPr>
      <w:tblGrid>
        <w:gridCol w:w="2592"/>
        <w:gridCol w:w="3168"/>
        <w:gridCol w:w="3600"/>
      </w:tblGrid>
      <w:tr>
        <w:tc>
          <w:tcPr>
            <w:tcW w:type="dxa" w:w="3312"/>
            <w:shd w:fill="0F172A"/>
            <w:tcMar>
              <w:top w:w="120" w:type="dxa"/>
              <w:bottom w:w="120" w:type="dxa"/>
              <w:left w:w="140" w:type="dxa"/>
              <w:right w:w="140" w:type="dxa"/>
            </w:tcMar>
          </w:tcPr>
          <w:p>
            <w:r>
              <w:rPr>
                <w:b/>
                <w:color w:val="FFFFFF"/>
                <w:sz w:val="19"/>
              </w:rPr>
              <w:t>File / Folder Name</w:t>
            </w:r>
          </w:p>
        </w:tc>
        <w:tc>
          <w:tcPr>
            <w:tcW w:type="dxa" w:w="3312"/>
            <w:shd w:fill="0F172A"/>
            <w:tcMar>
              <w:top w:w="120" w:type="dxa"/>
              <w:bottom w:w="120" w:type="dxa"/>
              <w:left w:w="140" w:type="dxa"/>
              <w:right w:w="140" w:type="dxa"/>
            </w:tcMar>
          </w:tcPr>
          <w:p>
            <w:r>
              <w:rPr>
                <w:b/>
                <w:color w:val="FFFFFF"/>
                <w:sz w:val="19"/>
              </w:rPr>
              <w:t>What Job It Does (Functional Role)</w:t>
            </w:r>
          </w:p>
        </w:tc>
        <w:tc>
          <w:tcPr>
            <w:tcW w:type="dxa" w:w="3312"/>
            <w:shd w:fill="0F172A"/>
            <w:tcMar>
              <w:top w:w="120" w:type="dxa"/>
              <w:bottom w:w="120" w:type="dxa"/>
              <w:left w:w="140" w:type="dxa"/>
              <w:right w:w="140" w:type="dxa"/>
            </w:tcMar>
          </w:tcPr>
          <w:p>
            <w:r>
              <w:rPr>
                <w:b/>
                <w:color w:val="FFFFFF"/>
                <w:sz w:val="19"/>
              </w:rPr>
              <w:t>Why It Matters (Evaluation Significance)</w:t>
            </w:r>
          </w:p>
        </w:tc>
      </w:tr>
      <w:tr>
        <w:tc>
          <w:tcPr>
            <w:tcW w:type="dxa" w:w="3312"/>
            <w:shd w:fill="FFFFFF"/>
            <w:tcMar>
              <w:top w:w="90" w:type="dxa"/>
              <w:bottom w:w="90" w:type="dxa"/>
              <w:left w:w="110" w:type="dxa"/>
              <w:right w:w="110" w:type="dxa"/>
            </w:tcMar>
          </w:tcPr>
          <w:p>
            <w:r>
              <w:rPr>
                <w:rFonts w:ascii="Consolas" w:hAnsi="Consolas"/>
                <w:b/>
                <w:color w:val="0E7490"/>
                <w:sz w:val="17"/>
              </w:rPr>
              <w:t>retinascan_ui_v2.py</w:t>
            </w:r>
          </w:p>
        </w:tc>
        <w:tc>
          <w:tcPr>
            <w:tcW w:type="dxa" w:w="3312"/>
            <w:shd w:fill="FFFFFF"/>
            <w:tcMar>
              <w:top w:w="90" w:type="dxa"/>
              <w:bottom w:w="90" w:type="dxa"/>
              <w:left w:w="110" w:type="dxa"/>
              <w:right w:w="110" w:type="dxa"/>
            </w:tcMar>
          </w:tcPr>
          <w:p>
            <w:r>
              <w:rPr>
                <w:sz w:val="17"/>
              </w:rPr>
              <w:t>Flagship Web Application (Gradio 6.x). Implements inference pipeline, 5-layer OOD validation, Grad-CAM visualizer, 'Why this prediction?' section, dynamic explanations, and dark-mode CSS.</w:t>
            </w:r>
          </w:p>
        </w:tc>
        <w:tc>
          <w:tcPr>
            <w:tcW w:type="dxa" w:w="3312"/>
            <w:shd w:fill="FFFFFF"/>
            <w:tcMar>
              <w:top w:w="90" w:type="dxa"/>
              <w:bottom w:w="90" w:type="dxa"/>
              <w:left w:w="110" w:type="dxa"/>
              <w:right w:w="110" w:type="dxa"/>
            </w:tcMar>
          </w:tcPr>
          <w:p>
            <w:r>
              <w:rPr>
                <w:sz w:val="17"/>
              </w:rPr>
              <w:t>The primary software artifact evaluated by examiners. Translates deep learning outputs into actionable, explainable clinical intelligence.</w:t>
            </w:r>
          </w:p>
        </w:tc>
      </w:tr>
      <w:tr>
        <w:tc>
          <w:tcPr>
            <w:tcW w:type="dxa" w:w="3312"/>
            <w:shd w:fill="F8FAFC"/>
            <w:tcMar>
              <w:top w:w="90" w:type="dxa"/>
              <w:bottom w:w="90" w:type="dxa"/>
              <w:left w:w="110" w:type="dxa"/>
              <w:right w:w="110" w:type="dxa"/>
            </w:tcMar>
          </w:tcPr>
          <w:p>
            <w:r>
              <w:rPr>
                <w:rFonts w:ascii="Consolas" w:hAnsi="Consolas"/>
                <w:b/>
                <w:color w:val="0E7490"/>
                <w:sz w:val="17"/>
              </w:rPr>
              <w:t>best_convnext_tiny_oct2017.pth</w:t>
            </w:r>
          </w:p>
        </w:tc>
        <w:tc>
          <w:tcPr>
            <w:tcW w:type="dxa" w:w="3312"/>
            <w:shd w:fill="F8FAFC"/>
            <w:tcMar>
              <w:top w:w="90" w:type="dxa"/>
              <w:bottom w:w="90" w:type="dxa"/>
              <w:left w:w="110" w:type="dxa"/>
              <w:right w:w="110" w:type="dxa"/>
            </w:tcMar>
          </w:tcPr>
          <w:p>
            <w:r>
              <w:rPr>
                <w:sz w:val="17"/>
              </w:rPr>
              <w:t>Trained Model Checkpoint (~334 MB). Contains the PyTorch state_dict with 28.5 million fine-tuned ConvNeXt-Tiny weights.</w:t>
            </w:r>
          </w:p>
        </w:tc>
        <w:tc>
          <w:tcPr>
            <w:tcW w:type="dxa" w:w="3312"/>
            <w:shd w:fill="F8FAFC"/>
            <w:tcMar>
              <w:top w:w="90" w:type="dxa"/>
              <w:bottom w:w="90" w:type="dxa"/>
              <w:left w:w="110" w:type="dxa"/>
              <w:right w:w="110" w:type="dxa"/>
            </w:tcMar>
          </w:tcPr>
          <w:p>
            <w:r>
              <w:rPr>
                <w:sz w:val="17"/>
              </w:rPr>
              <w:t>The core neural intelligence artifact. Without this file, the system has no trained feature extractors and cannot perform inference.</w:t>
            </w:r>
          </w:p>
        </w:tc>
      </w:tr>
      <w:tr>
        <w:tc>
          <w:tcPr>
            <w:tcW w:type="dxa" w:w="3312"/>
            <w:shd w:fill="FFFFFF"/>
            <w:tcMar>
              <w:top w:w="90" w:type="dxa"/>
              <w:bottom w:w="90" w:type="dxa"/>
              <w:left w:w="110" w:type="dxa"/>
              <w:right w:w="110" w:type="dxa"/>
            </w:tcMar>
          </w:tcPr>
          <w:p>
            <w:r>
              <w:rPr>
                <w:rFonts w:ascii="Consolas" w:hAnsi="Consolas"/>
                <w:b/>
                <w:color w:val="0E7490"/>
                <w:sz w:val="17"/>
              </w:rPr>
              <w:t>app.py</w:t>
            </w:r>
          </w:p>
        </w:tc>
        <w:tc>
          <w:tcPr>
            <w:tcW w:type="dxa" w:w="3312"/>
            <w:shd w:fill="FFFFFF"/>
            <w:tcMar>
              <w:top w:w="90" w:type="dxa"/>
              <w:bottom w:w="90" w:type="dxa"/>
              <w:left w:w="110" w:type="dxa"/>
              <w:right w:w="110" w:type="dxa"/>
            </w:tcMar>
          </w:tcPr>
          <w:p>
            <w:r>
              <w:rPr>
                <w:sz w:val="17"/>
              </w:rPr>
              <w:t>Standalone / Alternate Gradio Interface. Compact, self-contained single-script deployment with Grad-CAM and OOD filtering.</w:t>
            </w:r>
          </w:p>
        </w:tc>
        <w:tc>
          <w:tcPr>
            <w:tcW w:type="dxa" w:w="3312"/>
            <w:shd w:fill="FFFFFF"/>
            <w:tcMar>
              <w:top w:w="90" w:type="dxa"/>
              <w:bottom w:w="90" w:type="dxa"/>
              <w:left w:w="110" w:type="dxa"/>
              <w:right w:w="110" w:type="dxa"/>
            </w:tcMar>
          </w:tcPr>
          <w:p>
            <w:r>
              <w:rPr>
                <w:sz w:val="17"/>
              </w:rPr>
              <w:t>Provides deployment portability (e.g. Hugging Face Spaces or lightweight edge nodes) independent of advanced UI styling.</w:t>
            </w:r>
          </w:p>
        </w:tc>
      </w:tr>
      <w:tr>
        <w:tc>
          <w:tcPr>
            <w:tcW w:type="dxa" w:w="3312"/>
            <w:shd w:fill="F8FAFC"/>
            <w:tcMar>
              <w:top w:w="90" w:type="dxa"/>
              <w:bottom w:w="90" w:type="dxa"/>
              <w:left w:w="110" w:type="dxa"/>
              <w:right w:w="110" w:type="dxa"/>
            </w:tcMar>
          </w:tcPr>
          <w:p>
            <w:r>
              <w:rPr>
                <w:rFonts w:ascii="Consolas" w:hAnsi="Consolas"/>
                <w:b/>
                <w:color w:val="0E7490"/>
                <w:sz w:val="17"/>
              </w:rPr>
              <w:t>RetinaScan_AI_GradCAM.ipynb</w:t>
            </w:r>
          </w:p>
        </w:tc>
        <w:tc>
          <w:tcPr>
            <w:tcW w:type="dxa" w:w="3312"/>
            <w:shd w:fill="F8FAFC"/>
            <w:tcMar>
              <w:top w:w="90" w:type="dxa"/>
              <w:bottom w:w="90" w:type="dxa"/>
              <w:left w:w="110" w:type="dxa"/>
              <w:right w:w="110" w:type="dxa"/>
            </w:tcMar>
          </w:tcPr>
          <w:p>
            <w:r>
              <w:rPr>
                <w:sz w:val="17"/>
              </w:rPr>
              <w:t>Research &amp; Experimentation Notebook. Contains full data loading, augmentation pipeline, transfer learning loop, validation tracking, and Grad-CAM prototyping.</w:t>
            </w:r>
          </w:p>
        </w:tc>
        <w:tc>
          <w:tcPr>
            <w:tcW w:type="dxa" w:w="3312"/>
            <w:shd w:fill="F8FAFC"/>
            <w:tcMar>
              <w:top w:w="90" w:type="dxa"/>
              <w:bottom w:w="90" w:type="dxa"/>
              <w:left w:w="110" w:type="dxa"/>
              <w:right w:w="110" w:type="dxa"/>
            </w:tcMar>
          </w:tcPr>
          <w:p>
            <w:r>
              <w:rPr>
                <w:sz w:val="17"/>
              </w:rPr>
              <w:t>Documents the end-to-end scientific methodology, hyperparameter exploration, loss convergence, and empirical validation.</w:t>
            </w:r>
          </w:p>
        </w:tc>
      </w:tr>
      <w:tr>
        <w:tc>
          <w:tcPr>
            <w:tcW w:type="dxa" w:w="3312"/>
            <w:shd w:fill="FFFFFF"/>
            <w:tcMar>
              <w:top w:w="90" w:type="dxa"/>
              <w:bottom w:w="90" w:type="dxa"/>
              <w:left w:w="110" w:type="dxa"/>
              <w:right w:w="110" w:type="dxa"/>
            </w:tcMar>
          </w:tcPr>
          <w:p>
            <w:r>
              <w:rPr>
                <w:rFonts w:ascii="Consolas" w:hAnsi="Consolas"/>
                <w:b/>
                <w:color w:val="0E7490"/>
                <w:sz w:val="17"/>
              </w:rPr>
              <w:t>_test_predictions.py</w:t>
            </w:r>
          </w:p>
        </w:tc>
        <w:tc>
          <w:tcPr>
            <w:tcW w:type="dxa" w:w="3312"/>
            <w:shd w:fill="FFFFFF"/>
            <w:tcMar>
              <w:top w:w="90" w:type="dxa"/>
              <w:bottom w:w="90" w:type="dxa"/>
              <w:left w:w="110" w:type="dxa"/>
              <w:right w:w="110" w:type="dxa"/>
            </w:tcMar>
          </w:tcPr>
          <w:p>
            <w:r>
              <w:rPr>
                <w:sz w:val="17"/>
              </w:rPr>
              <w:t>Automated Runtime Verification Suite. Executes programmatic test assertions across all 4 disease classes, the 3-image triad, dynamic text matching, and non-OCT rejection.</w:t>
            </w:r>
          </w:p>
        </w:tc>
        <w:tc>
          <w:tcPr>
            <w:tcW w:type="dxa" w:w="3312"/>
            <w:shd w:fill="FFFFFF"/>
            <w:tcMar>
              <w:top w:w="90" w:type="dxa"/>
              <w:bottom w:w="90" w:type="dxa"/>
              <w:left w:w="110" w:type="dxa"/>
              <w:right w:w="110" w:type="dxa"/>
            </w:tcMar>
          </w:tcPr>
          <w:p>
            <w:r>
              <w:rPr>
                <w:sz w:val="17"/>
              </w:rPr>
              <w:t>Guarantees system reliability and reproducibility. Demonstrates software engineering rigor and regression testing to examiners.</w:t>
            </w:r>
          </w:p>
        </w:tc>
      </w:tr>
      <w:tr>
        <w:tc>
          <w:tcPr>
            <w:tcW w:type="dxa" w:w="3312"/>
            <w:shd w:fill="F8FAFC"/>
            <w:tcMar>
              <w:top w:w="90" w:type="dxa"/>
              <w:bottom w:w="90" w:type="dxa"/>
              <w:left w:w="110" w:type="dxa"/>
              <w:right w:w="110" w:type="dxa"/>
            </w:tcMar>
          </w:tcPr>
          <w:p>
            <w:r>
              <w:rPr>
                <w:rFonts w:ascii="Consolas" w:hAnsi="Consolas"/>
                <w:b/>
                <w:color w:val="0E7490"/>
                <w:sz w:val="17"/>
              </w:rPr>
              <w:t>_smoke_test.py</w:t>
            </w:r>
          </w:p>
        </w:tc>
        <w:tc>
          <w:tcPr>
            <w:tcW w:type="dxa" w:w="3312"/>
            <w:shd w:fill="F8FAFC"/>
            <w:tcMar>
              <w:top w:w="90" w:type="dxa"/>
              <w:bottom w:w="90" w:type="dxa"/>
              <w:left w:w="110" w:type="dxa"/>
              <w:right w:w="110" w:type="dxa"/>
            </w:tcMar>
          </w:tcPr>
          <w:p>
            <w:r>
              <w:rPr>
                <w:sz w:val="17"/>
              </w:rPr>
              <w:t>Gradio 6.x Smoke Test. Verifies theme compatibility, argument signatures, and Gradio component definitions before server launch.</w:t>
            </w:r>
          </w:p>
        </w:tc>
        <w:tc>
          <w:tcPr>
            <w:tcW w:type="dxa" w:w="3312"/>
            <w:shd w:fill="F8FAFC"/>
            <w:tcMar>
              <w:top w:w="90" w:type="dxa"/>
              <w:bottom w:w="90" w:type="dxa"/>
              <w:left w:w="110" w:type="dxa"/>
              <w:right w:w="110" w:type="dxa"/>
            </w:tcMar>
          </w:tcPr>
          <w:p>
            <w:r>
              <w:rPr>
                <w:sz w:val="17"/>
              </w:rPr>
              <w:t>Prevents runtime crashes caused by framework version updates, ensuring smooth startup during presentation day.</w:t>
            </w:r>
          </w:p>
        </w:tc>
      </w:tr>
      <w:tr>
        <w:tc>
          <w:tcPr>
            <w:tcW w:type="dxa" w:w="3312"/>
            <w:shd w:fill="FFFFFF"/>
            <w:tcMar>
              <w:top w:w="90" w:type="dxa"/>
              <w:bottom w:w="90" w:type="dxa"/>
              <w:left w:w="110" w:type="dxa"/>
              <w:right w:w="110" w:type="dxa"/>
            </w:tcMar>
          </w:tcPr>
          <w:p>
            <w:r>
              <w:rPr>
                <w:rFonts w:ascii="Consolas" w:hAnsi="Consolas"/>
                <w:b/>
                <w:color w:val="0E7490"/>
                <w:sz w:val="17"/>
              </w:rPr>
              <w:t>_capture_screenshots.py</w:t>
            </w:r>
          </w:p>
        </w:tc>
        <w:tc>
          <w:tcPr>
            <w:tcW w:type="dxa" w:w="3312"/>
            <w:shd w:fill="FFFFFF"/>
            <w:tcMar>
              <w:top w:w="90" w:type="dxa"/>
              <w:bottom w:w="90" w:type="dxa"/>
              <w:left w:w="110" w:type="dxa"/>
              <w:right w:w="110" w:type="dxa"/>
            </w:tcMar>
          </w:tcPr>
          <w:p>
            <w:r>
              <w:rPr>
                <w:sz w:val="17"/>
              </w:rPr>
              <w:t>Headless Browser Screenshot Generator. Uses Selenium automation to render the UI and capture high-res PNG images of various diagnostic states.</w:t>
            </w:r>
          </w:p>
        </w:tc>
        <w:tc>
          <w:tcPr>
            <w:tcW w:type="dxa" w:w="3312"/>
            <w:shd w:fill="FFFFFF"/>
            <w:tcMar>
              <w:top w:w="90" w:type="dxa"/>
              <w:bottom w:w="90" w:type="dxa"/>
              <w:left w:w="110" w:type="dxa"/>
              <w:right w:w="110" w:type="dxa"/>
            </w:tcMar>
          </w:tcPr>
          <w:p>
            <w:r>
              <w:rPr>
                <w:sz w:val="17"/>
              </w:rPr>
              <w:t>Provides authentic visual documentation for technical reports, project documentation, and viva presentation slides.</w:t>
            </w:r>
          </w:p>
        </w:tc>
      </w:tr>
      <w:tr>
        <w:tc>
          <w:tcPr>
            <w:tcW w:type="dxa" w:w="3312"/>
            <w:shd w:fill="F8FAFC"/>
            <w:tcMar>
              <w:top w:w="90" w:type="dxa"/>
              <w:bottom w:w="90" w:type="dxa"/>
              <w:left w:w="110" w:type="dxa"/>
              <w:right w:w="110" w:type="dxa"/>
            </w:tcMar>
          </w:tcPr>
          <w:p>
            <w:r>
              <w:rPr>
                <w:rFonts w:ascii="Consolas" w:hAnsi="Consolas"/>
                <w:b/>
                <w:color w:val="0E7490"/>
                <w:sz w:val="17"/>
              </w:rPr>
              <w:t>_verify_env.py</w:t>
            </w:r>
          </w:p>
        </w:tc>
        <w:tc>
          <w:tcPr>
            <w:tcW w:type="dxa" w:w="3312"/>
            <w:shd w:fill="F8FAFC"/>
            <w:tcMar>
              <w:top w:w="90" w:type="dxa"/>
              <w:bottom w:w="90" w:type="dxa"/>
              <w:left w:w="110" w:type="dxa"/>
              <w:right w:w="110" w:type="dxa"/>
            </w:tcMar>
          </w:tcPr>
          <w:p>
            <w:r>
              <w:rPr>
                <w:sz w:val="17"/>
              </w:rPr>
              <w:t>Environment Sanity Check. Inspects Python version, PyTorch version, CUDA GPU device availability, and library paths.</w:t>
            </w:r>
          </w:p>
        </w:tc>
        <w:tc>
          <w:tcPr>
            <w:tcW w:type="dxa" w:w="3312"/>
            <w:shd w:fill="F8FAFC"/>
            <w:tcMar>
              <w:top w:w="90" w:type="dxa"/>
              <w:bottom w:w="90" w:type="dxa"/>
              <w:left w:w="110" w:type="dxa"/>
              <w:right w:w="110" w:type="dxa"/>
            </w:tcMar>
          </w:tcPr>
          <w:p>
            <w:r>
              <w:rPr>
                <w:sz w:val="17"/>
              </w:rPr>
              <w:t>Ensures the runtime environment is properly configured before launching heavy deep learning workloads.</w:t>
            </w:r>
          </w:p>
        </w:tc>
      </w:tr>
      <w:tr>
        <w:tc>
          <w:tcPr>
            <w:tcW w:type="dxa" w:w="3312"/>
            <w:shd w:fill="FFFFFF"/>
            <w:tcMar>
              <w:top w:w="90" w:type="dxa"/>
              <w:bottom w:w="90" w:type="dxa"/>
              <w:left w:w="110" w:type="dxa"/>
              <w:right w:w="110" w:type="dxa"/>
            </w:tcMar>
          </w:tcPr>
          <w:p>
            <w:r>
              <w:rPr>
                <w:rFonts w:ascii="Consolas" w:hAnsi="Consolas"/>
                <w:b/>
                <w:color w:val="0E7490"/>
                <w:sz w:val="17"/>
              </w:rPr>
              <w:t>gradcam_summary.json</w:t>
            </w:r>
          </w:p>
        </w:tc>
        <w:tc>
          <w:tcPr>
            <w:tcW w:type="dxa" w:w="3312"/>
            <w:shd w:fill="FFFFFF"/>
            <w:tcMar>
              <w:top w:w="90" w:type="dxa"/>
              <w:bottom w:w="90" w:type="dxa"/>
              <w:left w:w="110" w:type="dxa"/>
              <w:right w:w="110" w:type="dxa"/>
            </w:tcMar>
          </w:tcPr>
          <w:p>
            <w:r>
              <w:rPr>
                <w:sz w:val="17"/>
              </w:rPr>
              <w:t>Explainability Benchmark Report. Stores per-sample evaluation metrics for Grad-CAM tests (100% sample accuracy, 99.44% mean confidence).</w:t>
            </w:r>
          </w:p>
        </w:tc>
        <w:tc>
          <w:tcPr>
            <w:tcW w:type="dxa" w:w="3312"/>
            <w:shd w:fill="FFFFFF"/>
            <w:tcMar>
              <w:top w:w="90" w:type="dxa"/>
              <w:bottom w:w="90" w:type="dxa"/>
              <w:left w:w="110" w:type="dxa"/>
              <w:right w:w="110" w:type="dxa"/>
            </w:tcMar>
          </w:tcPr>
          <w:p>
            <w:r>
              <w:rPr>
                <w:sz w:val="17"/>
              </w:rPr>
              <w:t>Provides quantitative proof that Grad-CAM heatmaps correspond directly to correct diagnostic classifications.</w:t>
            </w:r>
          </w:p>
        </w:tc>
      </w:tr>
      <w:tr>
        <w:tc>
          <w:tcPr>
            <w:tcW w:type="dxa" w:w="3312"/>
            <w:shd w:fill="F8FAFC"/>
            <w:tcMar>
              <w:top w:w="90" w:type="dxa"/>
              <w:bottom w:w="90" w:type="dxa"/>
              <w:left w:w="110" w:type="dxa"/>
              <w:right w:w="110" w:type="dxa"/>
            </w:tcMar>
          </w:tcPr>
          <w:p>
            <w:r>
              <w:rPr>
                <w:rFonts w:ascii="Consolas" w:hAnsi="Consolas"/>
                <w:b/>
                <w:color w:val="0E7490"/>
                <w:sz w:val="17"/>
              </w:rPr>
              <w:t>final_metrics.json</w:t>
            </w:r>
          </w:p>
        </w:tc>
        <w:tc>
          <w:tcPr>
            <w:tcW w:type="dxa" w:w="3312"/>
            <w:shd w:fill="F8FAFC"/>
            <w:tcMar>
              <w:top w:w="90" w:type="dxa"/>
              <w:bottom w:w="90" w:type="dxa"/>
              <w:left w:w="110" w:type="dxa"/>
              <w:right w:w="110" w:type="dxa"/>
            </w:tcMar>
          </w:tcPr>
          <w:p>
            <w:r>
              <w:rPr>
                <w:sz w:val="17"/>
              </w:rPr>
              <w:t>Formal Benchmark Results. Stores best epoch (Epoch 10), validation accuracy (97.77%), validation loss (0.1028), and official test accuracy (99.8967%).</w:t>
            </w:r>
          </w:p>
        </w:tc>
        <w:tc>
          <w:tcPr>
            <w:tcW w:type="dxa" w:w="3312"/>
            <w:shd w:fill="F8FAFC"/>
            <w:tcMar>
              <w:top w:w="90" w:type="dxa"/>
              <w:bottom w:w="90" w:type="dxa"/>
              <w:left w:w="110" w:type="dxa"/>
              <w:right w:w="110" w:type="dxa"/>
            </w:tcMar>
          </w:tcPr>
          <w:p>
            <w:r>
              <w:rPr>
                <w:sz w:val="17"/>
              </w:rPr>
              <w:t>Serves as the audited empirical source of truth for all quantitative claims made in project presentations and papers.</w:t>
            </w:r>
          </w:p>
        </w:tc>
      </w:tr>
      <w:tr>
        <w:tc>
          <w:tcPr>
            <w:tcW w:type="dxa" w:w="3312"/>
            <w:shd w:fill="FFFFFF"/>
            <w:tcMar>
              <w:top w:w="90" w:type="dxa"/>
              <w:bottom w:w="90" w:type="dxa"/>
              <w:left w:w="110" w:type="dxa"/>
              <w:right w:w="110" w:type="dxa"/>
            </w:tcMar>
          </w:tcPr>
          <w:p>
            <w:r>
              <w:rPr>
                <w:rFonts w:ascii="Consolas" w:hAnsi="Consolas"/>
                <w:b/>
                <w:color w:val="0E7490"/>
                <w:sz w:val="17"/>
              </w:rPr>
              <w:t>training_history.json</w:t>
            </w:r>
          </w:p>
        </w:tc>
        <w:tc>
          <w:tcPr>
            <w:tcW w:type="dxa" w:w="3312"/>
            <w:shd w:fill="FFFFFF"/>
            <w:tcMar>
              <w:top w:w="90" w:type="dxa"/>
              <w:bottom w:w="90" w:type="dxa"/>
              <w:left w:w="110" w:type="dxa"/>
              <w:right w:w="110" w:type="dxa"/>
            </w:tcMar>
          </w:tcPr>
          <w:p>
            <w:r>
              <w:rPr>
                <w:sz w:val="17"/>
              </w:rPr>
              <w:t>Epoch-by-Epoch Metric History. Logs loss and accuracy progressions across all 10 epochs for both training and validation sets.</w:t>
            </w:r>
          </w:p>
        </w:tc>
        <w:tc>
          <w:tcPr>
            <w:tcW w:type="dxa" w:w="3312"/>
            <w:shd w:fill="FFFFFF"/>
            <w:tcMar>
              <w:top w:w="90" w:type="dxa"/>
              <w:bottom w:w="90" w:type="dxa"/>
              <w:left w:w="110" w:type="dxa"/>
              <w:right w:w="110" w:type="dxa"/>
            </w:tcMar>
          </w:tcPr>
          <w:p>
            <w:r>
              <w:rPr>
                <w:sz w:val="17"/>
              </w:rPr>
              <w:t>Proves stable gradient descent without overfitting, divergence, or vanishing gradients during ConvNeXt fine-tuning.</w:t>
            </w:r>
          </w:p>
        </w:tc>
      </w:tr>
      <w:tr>
        <w:tc>
          <w:tcPr>
            <w:tcW w:type="dxa" w:w="3312"/>
            <w:shd w:fill="F8FAFC"/>
            <w:tcMar>
              <w:top w:w="90" w:type="dxa"/>
              <w:bottom w:w="90" w:type="dxa"/>
              <w:left w:w="110" w:type="dxa"/>
              <w:right w:w="110" w:type="dxa"/>
            </w:tcMar>
          </w:tcPr>
          <w:p>
            <w:r>
              <w:rPr>
                <w:rFonts w:ascii="Consolas" w:hAnsi="Consolas"/>
                <w:b/>
                <w:color w:val="0E7490"/>
                <w:sz w:val="17"/>
              </w:rPr>
              <w:t>accuracy_curve.png</w:t>
            </w:r>
          </w:p>
        </w:tc>
        <w:tc>
          <w:tcPr>
            <w:tcW w:type="dxa" w:w="3312"/>
            <w:shd w:fill="F8FAFC"/>
            <w:tcMar>
              <w:top w:w="90" w:type="dxa"/>
              <w:bottom w:w="90" w:type="dxa"/>
              <w:left w:w="110" w:type="dxa"/>
              <w:right w:w="110" w:type="dxa"/>
            </w:tcMar>
          </w:tcPr>
          <w:p>
            <w:r>
              <w:rPr>
                <w:sz w:val="17"/>
              </w:rPr>
              <w:t>Training vs. Validation Accuracy Curve Plot. High-resolution visual plot tracking learning trajectory across 10 epochs.</w:t>
            </w:r>
          </w:p>
        </w:tc>
        <w:tc>
          <w:tcPr>
            <w:tcW w:type="dxa" w:w="3312"/>
            <w:shd w:fill="F8FAFC"/>
            <w:tcMar>
              <w:top w:w="90" w:type="dxa"/>
              <w:bottom w:w="90" w:type="dxa"/>
              <w:left w:w="110" w:type="dxa"/>
              <w:right w:w="110" w:type="dxa"/>
            </w:tcMar>
          </w:tcPr>
          <w:p>
            <w:r>
              <w:rPr>
                <w:sz w:val="17"/>
              </w:rPr>
              <w:t>Visual evidence proving rapid convergence to &gt;97% validation accuracy within 10 epochs without plateauing prematurely.</w:t>
            </w:r>
          </w:p>
        </w:tc>
      </w:tr>
      <w:tr>
        <w:tc>
          <w:tcPr>
            <w:tcW w:type="dxa" w:w="3312"/>
            <w:shd w:fill="FFFFFF"/>
            <w:tcMar>
              <w:top w:w="90" w:type="dxa"/>
              <w:bottom w:w="90" w:type="dxa"/>
              <w:left w:w="110" w:type="dxa"/>
              <w:right w:w="110" w:type="dxa"/>
            </w:tcMar>
          </w:tcPr>
          <w:p>
            <w:r>
              <w:rPr>
                <w:rFonts w:ascii="Consolas" w:hAnsi="Consolas"/>
                <w:b/>
                <w:color w:val="0E7490"/>
                <w:sz w:val="17"/>
              </w:rPr>
              <w:t>loss_curve.png</w:t>
            </w:r>
          </w:p>
        </w:tc>
        <w:tc>
          <w:tcPr>
            <w:tcW w:type="dxa" w:w="3312"/>
            <w:shd w:fill="FFFFFF"/>
            <w:tcMar>
              <w:top w:w="90" w:type="dxa"/>
              <w:bottom w:w="90" w:type="dxa"/>
              <w:left w:w="110" w:type="dxa"/>
              <w:right w:w="110" w:type="dxa"/>
            </w:tcMar>
          </w:tcPr>
          <w:p>
            <w:r>
              <w:rPr>
                <w:sz w:val="17"/>
              </w:rPr>
              <w:t>Loss Convergence Curve Plot. Graph showing cross-entropy loss reduction across training and validation splits.</w:t>
            </w:r>
          </w:p>
        </w:tc>
        <w:tc>
          <w:tcPr>
            <w:tcW w:type="dxa" w:w="3312"/>
            <w:shd w:fill="FFFFFF"/>
            <w:tcMar>
              <w:top w:w="90" w:type="dxa"/>
              <w:bottom w:w="90" w:type="dxa"/>
              <w:left w:w="110" w:type="dxa"/>
              <w:right w:w="110" w:type="dxa"/>
            </w:tcMar>
          </w:tcPr>
          <w:p>
            <w:r>
              <w:rPr>
                <w:sz w:val="17"/>
              </w:rPr>
              <w:t>Demonstrates optimization stability, proper learning rate scheduling, and absence of catastrophic loss divergence.</w:t>
            </w:r>
          </w:p>
        </w:tc>
      </w:tr>
      <w:tr>
        <w:tc>
          <w:tcPr>
            <w:tcW w:type="dxa" w:w="3312"/>
            <w:shd w:fill="F8FAFC"/>
            <w:tcMar>
              <w:top w:w="90" w:type="dxa"/>
              <w:bottom w:w="90" w:type="dxa"/>
              <w:left w:w="110" w:type="dxa"/>
              <w:right w:w="110" w:type="dxa"/>
            </w:tcMar>
          </w:tcPr>
          <w:p>
            <w:r>
              <w:rPr>
                <w:rFonts w:ascii="Consolas" w:hAnsi="Consolas"/>
                <w:b/>
                <w:color w:val="0E7490"/>
                <w:sz w:val="17"/>
              </w:rPr>
              <w:t>confusion_matrix.png</w:t>
            </w:r>
          </w:p>
        </w:tc>
        <w:tc>
          <w:tcPr>
            <w:tcW w:type="dxa" w:w="3312"/>
            <w:shd w:fill="F8FAFC"/>
            <w:tcMar>
              <w:top w:w="90" w:type="dxa"/>
              <w:bottom w:w="90" w:type="dxa"/>
              <w:left w:w="110" w:type="dxa"/>
              <w:right w:w="110" w:type="dxa"/>
            </w:tcMar>
          </w:tcPr>
          <w:p>
            <w:r>
              <w:rPr>
                <w:sz w:val="17"/>
              </w:rPr>
              <w:t>4x4 Multi-Class Confusion Matrix. Visualizes classification accuracy across 968 held-out test scans (CNV, DME, Drusen, Normal).</w:t>
            </w:r>
          </w:p>
        </w:tc>
        <w:tc>
          <w:tcPr>
            <w:tcW w:type="dxa" w:w="3312"/>
            <w:shd w:fill="F8FAFC"/>
            <w:tcMar>
              <w:top w:w="90" w:type="dxa"/>
              <w:bottom w:w="90" w:type="dxa"/>
              <w:left w:w="110" w:type="dxa"/>
              <w:right w:w="110" w:type="dxa"/>
            </w:tcMar>
          </w:tcPr>
          <w:p>
            <w:r>
              <w:rPr>
                <w:sz w:val="17"/>
              </w:rPr>
              <w:t>Demonstrates class-level sensitivity and specificity. Shows that 967/968 scans were correctly categorized with only 1 single misclassification.</w:t>
            </w:r>
          </w:p>
        </w:tc>
      </w:tr>
      <w:tr>
        <w:tc>
          <w:tcPr>
            <w:tcW w:type="dxa" w:w="3312"/>
            <w:shd w:fill="FFFFFF"/>
            <w:tcMar>
              <w:top w:w="90" w:type="dxa"/>
              <w:bottom w:w="90" w:type="dxa"/>
              <w:left w:w="110" w:type="dxa"/>
              <w:right w:w="110" w:type="dxa"/>
            </w:tcMar>
          </w:tcPr>
          <w:p>
            <w:r>
              <w:rPr>
                <w:rFonts w:ascii="Consolas" w:hAnsi="Consolas"/>
                <w:b/>
                <w:color w:val="0E7490"/>
                <w:sz w:val="17"/>
              </w:rPr>
              <w:t>gradcam_comparison.png</w:t>
            </w:r>
          </w:p>
        </w:tc>
        <w:tc>
          <w:tcPr>
            <w:tcW w:type="dxa" w:w="3312"/>
            <w:shd w:fill="FFFFFF"/>
            <w:tcMar>
              <w:top w:w="90" w:type="dxa"/>
              <w:bottom w:w="90" w:type="dxa"/>
              <w:left w:w="110" w:type="dxa"/>
              <w:right w:w="110" w:type="dxa"/>
            </w:tcMar>
          </w:tcPr>
          <w:p>
            <w:r>
              <w:rPr>
                <w:sz w:val="17"/>
              </w:rPr>
              <w:t>Side-by-Side Grad-CAM Comparative Plot. Shows multi-class activation patterns side-by-side with original B-scans.</w:t>
            </w:r>
          </w:p>
        </w:tc>
        <w:tc>
          <w:tcPr>
            <w:tcW w:type="dxa" w:w="3312"/>
            <w:shd w:fill="FFFFFF"/>
            <w:tcMar>
              <w:top w:w="90" w:type="dxa"/>
              <w:bottom w:w="90" w:type="dxa"/>
              <w:left w:w="110" w:type="dxa"/>
              <w:right w:w="110" w:type="dxa"/>
            </w:tcMar>
          </w:tcPr>
          <w:p>
            <w:r>
              <w:rPr>
                <w:sz w:val="17"/>
              </w:rPr>
              <w:t>Primary visual asset for explaining attention differences (e.g. sub-RPE Drusen vs intraretinal DME cysts) to faculty.</w:t>
            </w:r>
          </w:p>
        </w:tc>
      </w:tr>
      <w:tr>
        <w:tc>
          <w:tcPr>
            <w:tcW w:type="dxa" w:w="3312"/>
            <w:shd w:fill="F8FAFC"/>
            <w:tcMar>
              <w:top w:w="90" w:type="dxa"/>
              <w:bottom w:w="90" w:type="dxa"/>
              <w:left w:w="110" w:type="dxa"/>
              <w:right w:w="110" w:type="dxa"/>
            </w:tcMar>
          </w:tcPr>
          <w:p>
            <w:r>
              <w:rPr>
                <w:rFonts w:ascii="Consolas" w:hAnsi="Consolas"/>
                <w:b/>
                <w:color w:val="0E7490"/>
                <w:sz w:val="17"/>
              </w:rPr>
              <w:t>gradcam_grid_full.png</w:t>
            </w:r>
          </w:p>
        </w:tc>
        <w:tc>
          <w:tcPr>
            <w:tcW w:type="dxa" w:w="3312"/>
            <w:shd w:fill="F8FAFC"/>
            <w:tcMar>
              <w:top w:w="90" w:type="dxa"/>
              <w:bottom w:w="90" w:type="dxa"/>
              <w:left w:w="110" w:type="dxa"/>
              <w:right w:w="110" w:type="dxa"/>
            </w:tcMar>
          </w:tcPr>
          <w:p>
            <w:r>
              <w:rPr>
                <w:sz w:val="17"/>
              </w:rPr>
              <w:t>Comprehensive Grad-CAM Patient Grid. Displays multiple patient samples per disease class with overlaid heatmaps.</w:t>
            </w:r>
          </w:p>
        </w:tc>
        <w:tc>
          <w:tcPr>
            <w:tcW w:type="dxa" w:w="3312"/>
            <w:shd w:fill="F8FAFC"/>
            <w:tcMar>
              <w:top w:w="90" w:type="dxa"/>
              <w:bottom w:w="90" w:type="dxa"/>
              <w:left w:w="110" w:type="dxa"/>
              <w:right w:w="110" w:type="dxa"/>
            </w:tcMar>
          </w:tcPr>
          <w:p>
            <w:r>
              <w:rPr>
                <w:sz w:val="17"/>
              </w:rPr>
              <w:t>Proves that attention localization is consistent across varying scan qualities, SNR ratios, and patient anatomies.</w:t>
            </w:r>
          </w:p>
        </w:tc>
      </w:tr>
      <w:tr>
        <w:tc>
          <w:tcPr>
            <w:tcW w:type="dxa" w:w="3312"/>
            <w:shd w:fill="FFFFFF"/>
            <w:tcMar>
              <w:top w:w="90" w:type="dxa"/>
              <w:bottom w:w="90" w:type="dxa"/>
              <w:left w:w="110" w:type="dxa"/>
              <w:right w:w="110" w:type="dxa"/>
            </w:tcMar>
          </w:tcPr>
          <w:p>
            <w:r>
              <w:rPr>
                <w:rFonts w:ascii="Consolas" w:hAnsi="Consolas"/>
                <w:b/>
                <w:color w:val="0E7490"/>
                <w:sz w:val="17"/>
              </w:rPr>
              <w:t>test_nonoct.jpg</w:t>
            </w:r>
          </w:p>
        </w:tc>
        <w:tc>
          <w:tcPr>
            <w:tcW w:type="dxa" w:w="3312"/>
            <w:shd w:fill="FFFFFF"/>
            <w:tcMar>
              <w:top w:w="90" w:type="dxa"/>
              <w:bottom w:w="90" w:type="dxa"/>
              <w:left w:w="110" w:type="dxa"/>
              <w:right w:w="110" w:type="dxa"/>
            </w:tcMar>
          </w:tcPr>
          <w:p>
            <w:r>
              <w:rPr>
                <w:sz w:val="17"/>
              </w:rPr>
              <w:t>Out-Of-Distribution (OOD) Test Image. Natural high-saturation color photograph used to benchmark rejection filters.</w:t>
            </w:r>
          </w:p>
        </w:tc>
        <w:tc>
          <w:tcPr>
            <w:tcW w:type="dxa" w:w="3312"/>
            <w:shd w:fill="FFFFFF"/>
            <w:tcMar>
              <w:top w:w="90" w:type="dxa"/>
              <w:bottom w:w="90" w:type="dxa"/>
              <w:left w:w="110" w:type="dxa"/>
              <w:right w:w="110" w:type="dxa"/>
            </w:tcMar>
          </w:tcPr>
          <w:p>
            <w:r>
              <w:rPr>
                <w:sz w:val="17"/>
              </w:rPr>
              <w:t>Validates patient safety. Proves that non-retinal images (movies, documents, photos) are blocked before classification.</w:t>
            </w:r>
          </w:p>
        </w:tc>
      </w:tr>
      <w:tr>
        <w:tc>
          <w:tcPr>
            <w:tcW w:type="dxa" w:w="3312"/>
            <w:shd w:fill="F8FAFC"/>
            <w:tcMar>
              <w:top w:w="90" w:type="dxa"/>
              <w:bottom w:w="90" w:type="dxa"/>
              <w:left w:w="110" w:type="dxa"/>
              <w:right w:w="110" w:type="dxa"/>
            </w:tcMar>
          </w:tcPr>
          <w:p>
            <w:r>
              <w:rPr>
                <w:rFonts w:ascii="Consolas" w:hAnsi="Consolas"/>
                <w:b/>
                <w:color w:val="0E7490"/>
                <w:sz w:val="17"/>
              </w:rPr>
              <w:t>demo_image/</w:t>
            </w:r>
          </w:p>
        </w:tc>
        <w:tc>
          <w:tcPr>
            <w:tcW w:type="dxa" w:w="3312"/>
            <w:shd w:fill="F8FAFC"/>
            <w:tcMar>
              <w:top w:w="90" w:type="dxa"/>
              <w:bottom w:w="90" w:type="dxa"/>
              <w:left w:w="110" w:type="dxa"/>
              <w:right w:w="110" w:type="dxa"/>
            </w:tcMar>
          </w:tcPr>
          <w:p>
            <w:r>
              <w:rPr>
                <w:sz w:val="17"/>
              </w:rPr>
              <w:t>Curated OCT Sample Directory. Contains validated benchmark B-scans for each disease category (CNV, DME, DRUSEN, NORMAL).</w:t>
            </w:r>
          </w:p>
        </w:tc>
        <w:tc>
          <w:tcPr>
            <w:tcW w:type="dxa" w:w="3312"/>
            <w:shd w:fill="F8FAFC"/>
            <w:tcMar>
              <w:top w:w="90" w:type="dxa"/>
              <w:bottom w:w="90" w:type="dxa"/>
              <w:left w:w="110" w:type="dxa"/>
              <w:right w:w="110" w:type="dxa"/>
            </w:tcMar>
          </w:tcPr>
          <w:p>
            <w:r>
              <w:rPr>
                <w:sz w:val="17"/>
              </w:rPr>
              <w:t>Powers the one-click example gallery in the web UI, allowing instant live demonstration during project viva reviews.</w:t>
            </w:r>
          </w:p>
        </w:tc>
      </w:tr>
      <w:tr>
        <w:tc>
          <w:tcPr>
            <w:tcW w:type="dxa" w:w="3312"/>
            <w:shd w:fill="FFFFFF"/>
            <w:tcMar>
              <w:top w:w="90" w:type="dxa"/>
              <w:bottom w:w="90" w:type="dxa"/>
              <w:left w:w="110" w:type="dxa"/>
              <w:right w:w="110" w:type="dxa"/>
            </w:tcMar>
          </w:tcPr>
          <w:p>
            <w:r>
              <w:rPr>
                <w:rFonts w:ascii="Consolas" w:hAnsi="Consolas"/>
                <w:b/>
                <w:color w:val="0E7490"/>
                <w:sz w:val="17"/>
              </w:rPr>
              <w:t>latest_checkpoint.pth</w:t>
            </w:r>
          </w:p>
        </w:tc>
        <w:tc>
          <w:tcPr>
            <w:tcW w:type="dxa" w:w="3312"/>
            <w:shd w:fill="FFFFFF"/>
            <w:tcMar>
              <w:top w:w="90" w:type="dxa"/>
              <w:bottom w:w="90" w:type="dxa"/>
              <w:left w:w="110" w:type="dxa"/>
              <w:right w:w="110" w:type="dxa"/>
            </w:tcMar>
          </w:tcPr>
          <w:p>
            <w:r>
              <w:rPr>
                <w:sz w:val="17"/>
              </w:rPr>
              <w:t>Last Training Checkpoint (~334 MB). Contains full optimizer states and model weights at epoch termination.</w:t>
            </w:r>
          </w:p>
        </w:tc>
        <w:tc>
          <w:tcPr>
            <w:tcW w:type="dxa" w:w="3312"/>
            <w:shd w:fill="FFFFFF"/>
            <w:tcMar>
              <w:top w:w="90" w:type="dxa"/>
              <w:bottom w:w="90" w:type="dxa"/>
              <w:left w:w="110" w:type="dxa"/>
              <w:right w:w="110" w:type="dxa"/>
            </w:tcMar>
          </w:tcPr>
          <w:p>
            <w:r>
              <w:rPr>
                <w:sz w:val="17"/>
              </w:rPr>
              <w:t>Ensures checkpoint recovery and allows continuation of fine-tuning or transfer learning without retraining from scratch.</w:t>
            </w:r>
          </w:p>
        </w:tc>
      </w:tr>
      <w:tr>
        <w:tc>
          <w:tcPr>
            <w:tcW w:type="dxa" w:w="3312"/>
            <w:shd w:fill="F8FAFC"/>
            <w:tcMar>
              <w:top w:w="90" w:type="dxa"/>
              <w:bottom w:w="90" w:type="dxa"/>
              <w:left w:w="110" w:type="dxa"/>
              <w:right w:w="110" w:type="dxa"/>
            </w:tcMar>
          </w:tcPr>
          <w:p>
            <w:r>
              <w:rPr>
                <w:rFonts w:ascii="Consolas" w:hAnsi="Consolas"/>
                <w:b/>
                <w:color w:val="0E7490"/>
                <w:sz w:val="17"/>
              </w:rPr>
              <w:t>requirements.txt</w:t>
            </w:r>
          </w:p>
        </w:tc>
        <w:tc>
          <w:tcPr>
            <w:tcW w:type="dxa" w:w="3312"/>
            <w:shd w:fill="F8FAFC"/>
            <w:tcMar>
              <w:top w:w="90" w:type="dxa"/>
              <w:bottom w:w="90" w:type="dxa"/>
              <w:left w:w="110" w:type="dxa"/>
              <w:right w:w="110" w:type="dxa"/>
            </w:tcMar>
          </w:tcPr>
          <w:p>
            <w:r>
              <w:rPr>
                <w:sz w:val="17"/>
              </w:rPr>
              <w:t>Dependency Specification Manifest. Lists required packages (torch, torchvision, gradio, opencv-python, pillow, numpy).</w:t>
            </w:r>
          </w:p>
        </w:tc>
        <w:tc>
          <w:tcPr>
            <w:tcW w:type="dxa" w:w="3312"/>
            <w:shd w:fill="F8FAFC"/>
            <w:tcMar>
              <w:top w:w="90" w:type="dxa"/>
              <w:bottom w:w="90" w:type="dxa"/>
              <w:left w:w="110" w:type="dxa"/>
              <w:right w:w="110" w:type="dxa"/>
            </w:tcMar>
          </w:tcPr>
          <w:p>
            <w:r>
              <w:rPr>
                <w:sz w:val="17"/>
              </w:rPr>
              <w:t>Ensures automated, identical environment replication across development, examination, and cloud instances.</w:t>
            </w:r>
          </w:p>
        </w:tc>
      </w:tr>
      <w:tr>
        <w:tc>
          <w:tcPr>
            <w:tcW w:type="dxa" w:w="3312"/>
            <w:shd w:fill="FFFFFF"/>
            <w:tcMar>
              <w:top w:w="90" w:type="dxa"/>
              <w:bottom w:w="90" w:type="dxa"/>
              <w:left w:w="110" w:type="dxa"/>
              <w:right w:w="110" w:type="dxa"/>
            </w:tcMar>
          </w:tcPr>
          <w:p>
            <w:r>
              <w:rPr>
                <w:rFonts w:ascii="Consolas" w:hAnsi="Consolas"/>
                <w:b/>
                <w:color w:val="0E7490"/>
                <w:sz w:val="17"/>
              </w:rPr>
              <w:t>README.md</w:t>
            </w:r>
          </w:p>
        </w:tc>
        <w:tc>
          <w:tcPr>
            <w:tcW w:type="dxa" w:w="3312"/>
            <w:shd w:fill="FFFFFF"/>
            <w:tcMar>
              <w:top w:w="90" w:type="dxa"/>
              <w:bottom w:w="90" w:type="dxa"/>
              <w:left w:w="110" w:type="dxa"/>
              <w:right w:w="110" w:type="dxa"/>
            </w:tcMar>
          </w:tcPr>
          <w:p>
            <w:r>
              <w:rPr>
                <w:sz w:val="17"/>
              </w:rPr>
              <w:t>Project Documentation &amp; Startup Guide. Formatted markdown summary covering architecture, setup instructions, and metrics.</w:t>
            </w:r>
          </w:p>
        </w:tc>
        <w:tc>
          <w:tcPr>
            <w:tcW w:type="dxa" w:w="3312"/>
            <w:shd w:fill="FFFFFF"/>
            <w:tcMar>
              <w:top w:w="90" w:type="dxa"/>
              <w:bottom w:w="90" w:type="dxa"/>
              <w:left w:w="110" w:type="dxa"/>
              <w:right w:w="110" w:type="dxa"/>
            </w:tcMar>
          </w:tcPr>
          <w:p>
            <w:r>
              <w:rPr>
                <w:sz w:val="17"/>
              </w:rPr>
              <w:t>The central introduction for repository visitors, external evaluators, and open-source contributors.</w:t>
            </w:r>
          </w:p>
        </w:tc>
      </w:tr>
    </w:tbl>
    <w:p>
      <w:pPr>
        <w:spacing w:after="160"/>
      </w:pPr>
    </w:p>
    <w:p>
      <w:pPr>
        <w:pStyle w:val="Heading1"/>
      </w:pPr>
      <w:r>
        <w:t>3. Deep Learning Mechanics: ConvNeXt-Tiny &amp; Grad-CAM</w:t>
      </w:r>
    </w:p>
    <w:p>
      <w:pPr>
        <w:pStyle w:val="Heading2"/>
      </w:pPr>
      <w:r>
        <w:t>Why ConvNeXt-Tiny Over Traditional CNNs and Vision Transformers?</w:t>
      </w:r>
    </w:p>
    <w:p>
      <w:r>
        <w:t>A frequent and vital question during project defense is: 'Why did you select ConvNeXt-Tiny instead of ResNet-50, VGG-16, or Vision Transformers (ViT)?'</w:t>
        <w:br/>
        <w:br/>
        <w:t>ConvNeXt (Liu et al., CVPR 2022) modernizes the standard convolutional network by incorporating architectural advancements pioneered by Swin Transformers, while retaining the simplicity, high inductive bias, and computational efficiency of standard convolutions:</w:t>
        <w:br/>
        <w:br/>
        <w:t>1. Inverted Bottleneck Design: Unlike ResNet, which compresses channels before spatial convolution (64 → 16 → 64), ConvNeXt expands channels in the hidden layer (e.g. 1× to 4×) before 1×1 projection, maximizing feature expressive capacity.</w:t>
        <w:br/>
        <w:t>2. Large 7×7 Depthwise Convolutions: Standard CNNs use 3×3 kernels. ConvNeXt moves depthwise convolution to the front of each block and scales kernel size to 7×7, mirroring the receptive field of Swin Transformer attention windows without the quadratic computational complexity ($O(N^2)$) of self-attention.</w:t>
        <w:br/>
        <w:t>3. Replaced BatchNorm with LayerNorm: BatchNorm exhibits instability under small batch sizes and domain shifts. ConvNeXt adopts LayerNorm and places it sparsely at the start of each block.</w:t>
        <w:br/>
        <w:t>4. GELU Activation Functions: Employs Gaussian Error Linear Units instead of standard ReLU, preventing dead-neuron pathologies and providing smoother optimization surfaces.</w:t>
        <w:br/>
        <w:t>5. Superior Medical Inductive Bias: Vision Transformers require massive pretraining data (&gt;300M images in JFT-300M) because they lack inherent spatial translation equivariance. ConvNeXt retains spatial inductive bias, making it ideal for medical imaging datasets like OCT where layer stratification and relative spatial positions are clinically invariant.</w:t>
      </w:r>
    </w:p>
    <w:p>
      <w:pPr>
        <w:pStyle w:val="Heading2"/>
      </w:pPr>
      <w:r>
        <w:t>Grad-CAM Mathematical Formulation</w:t>
      </w:r>
    </w:p>
    <w:p>
      <w:r>
        <w:t>Gradient-weighted Class Activation Mapping (Grad-CAM, Selvaraju et al., ICCV 2017) visualizes the spatial attention of the network by flowing gradients from the predicted score back to the final convolutional feature maps.</w:t>
        <w:br/>
        <w:br/>
        <w:t>Let $Y^c$ be the unnormalized logit score for class $c$, and let $A_{i,j}^k$ represent the activation at spatial location $(i,j)$ in channel $k$ of the target convolutional layer (in ConvNeXt-Tiny, `model.features[-1]`).</w:t>
        <w:br/>
        <w:br/>
        <w:t>Step 1: Neuron Importance Weights (Global Average Pooling of Gradients)</w:t>
        <w:br/>
        <w:t>$$\alpha_k^c = \frac{1}{Z} \sum_{i=1}^U \sum_{j=1}^V \frac{\partial Y^c}{\partial A_{i,j}^k}$$</w:t>
        <w:br/>
        <w:t>where $Z = U \times V$ is the spatial area of the feature map (typically $7 \times 7 = 49$). The partial derivative captures how sensitive the prediction score $Y^c$ is to changes in channel $k$.</w:t>
        <w:br/>
        <w:br/>
        <w:t>Step 2: Weighted Combination &amp; Rectified Linear Activation</w:t>
        <w:br/>
        <w:t>$$L_{\text{Grad-CAM}}^c = \text{ReLU}\left( \sum_{k} \alpha_k^c A^k \right)$$</w:t>
        <w:br/>
        <w:t>The ReLU operation is critical: it isolates features that have a positive correlation with the target class $c$, suppressing features that belong to competing classes or background pixels.</w:t>
        <w:br/>
        <w:br/>
        <w:t>Step 3: Normalization &amp; Visual Colormap Mapping</w:t>
        <w:br/>
        <w:t>The 2D map $L_{\text{Grad-CAM}}^c$ is bilinearly upsampled to the input image dimensions ($224 \times 224$), min-max normalized into $[0, 1]$, mapped to the Jet RGB colormap (blue = minimum, red = peak attention), and alpha-blended over the grayscale B-scan ($0.55 \times \text{OCT} + 0.45 \times \text{Heatmap}$).</w:t>
      </w:r>
    </w:p>
    <w:p>
      <w:pPr>
        <w:pStyle w:val="Heading1"/>
      </w:pPr>
      <w:r>
        <w:t>4. Input Validation &amp; Out-Of-Distribution (OOD) Pipeline</w:t>
      </w:r>
    </w:p>
    <w:p>
      <w:r>
        <w:t>A catastrophic risk in clinical machine learning is 'Silent Misdiagnosis' — when an out-of-distribution image (such as a selfie, document scan, or cartoon) is uploaded, and the unconstrained softmax layer forces a high-confidence medical prediction (e.g., classifying a cat photo as 99.8% CNV).</w:t>
        <w:br/>
        <w:br/>
        <w:t>RetinaScan AI implements a multi-stage validation engine that evaluates optical, structural, and information-theoretic properties before confirming diagnostic validity:</w:t>
      </w:r>
    </w:p>
    <w:tbl>
      <w:tblPr>
        <w:tblW w:type="auto" w:w="0"/>
        <w:jc w:val="center"/>
        <w:tblLayout w:type="fixed"/>
        <w:tblLook w:firstColumn="1" w:firstRow="1" w:lastColumn="0" w:lastRow="0" w:noHBand="0" w:noVBand="1" w:val="04A0"/>
      </w:tblPr>
      <w:tblGrid>
        <w:gridCol w:w="2160"/>
        <w:gridCol w:w="3168"/>
        <w:gridCol w:w="4032"/>
      </w:tblGrid>
      <w:tr>
        <w:tc>
          <w:tcPr>
            <w:tcW w:type="dxa" w:w="3312"/>
            <w:shd w:fill="0F172A"/>
            <w:tcMar>
              <w:top w:w="120" w:type="dxa"/>
              <w:bottom w:w="120" w:type="dxa"/>
              <w:left w:w="140" w:type="dxa"/>
              <w:right w:w="140" w:type="dxa"/>
            </w:tcMar>
          </w:tcPr>
          <w:p>
            <w:r>
              <w:rPr>
                <w:b/>
                <w:color w:val="FFFFFF"/>
                <w:sz w:val="19"/>
              </w:rPr>
              <w:t>Filter Check</w:t>
            </w:r>
          </w:p>
        </w:tc>
        <w:tc>
          <w:tcPr>
            <w:tcW w:type="dxa" w:w="3312"/>
            <w:shd w:fill="0F172A"/>
            <w:tcMar>
              <w:top w:w="120" w:type="dxa"/>
              <w:bottom w:w="120" w:type="dxa"/>
              <w:left w:w="140" w:type="dxa"/>
              <w:right w:w="140" w:type="dxa"/>
            </w:tcMar>
          </w:tcPr>
          <w:p>
            <w:r>
              <w:rPr>
                <w:b/>
                <w:color w:val="FFFFFF"/>
                <w:sz w:val="19"/>
              </w:rPr>
              <w:t>Threshold &amp; Math Metric</w:t>
            </w:r>
          </w:p>
        </w:tc>
        <w:tc>
          <w:tcPr>
            <w:tcW w:type="dxa" w:w="3312"/>
            <w:shd w:fill="0F172A"/>
            <w:tcMar>
              <w:top w:w="120" w:type="dxa"/>
              <w:bottom w:w="120" w:type="dxa"/>
              <w:left w:w="140" w:type="dxa"/>
              <w:right w:w="140" w:type="dxa"/>
            </w:tcMar>
          </w:tcPr>
          <w:p>
            <w:r>
              <w:rPr>
                <w:b/>
                <w:color w:val="FFFFFF"/>
                <w:sz w:val="19"/>
              </w:rPr>
              <w:t>Failure Condition &amp; What It Catches</w:t>
            </w:r>
          </w:p>
        </w:tc>
      </w:tr>
      <w:tr>
        <w:tc>
          <w:tcPr>
            <w:tcW w:type="dxa" w:w="3312"/>
            <w:shd w:fill="FFFFFF"/>
            <w:tcMar>
              <w:top w:w="90" w:type="dxa"/>
              <w:bottom w:w="90" w:type="dxa"/>
              <w:left w:w="110" w:type="dxa"/>
              <w:right w:w="110" w:type="dxa"/>
            </w:tcMar>
          </w:tcPr>
          <w:p>
            <w:r>
              <w:rPr>
                <w:b/>
                <w:color w:val="0E7490"/>
                <w:sz w:val="17"/>
              </w:rPr>
              <w:t>1. HSV Saturation</w:t>
            </w:r>
          </w:p>
        </w:tc>
        <w:tc>
          <w:tcPr>
            <w:tcW w:type="dxa" w:w="3312"/>
            <w:shd w:fill="FFFFFF"/>
            <w:tcMar>
              <w:top w:w="90" w:type="dxa"/>
              <w:bottom w:w="90" w:type="dxa"/>
              <w:left w:w="110" w:type="dxa"/>
              <w:right w:w="110" w:type="dxa"/>
            </w:tcMar>
          </w:tcPr>
          <w:p>
            <w:r>
              <w:rPr>
                <w:sz w:val="17"/>
              </w:rPr>
              <w:t>Mean Saturation $S &lt; 25.0$ in HSV color space</w:t>
            </w:r>
          </w:p>
        </w:tc>
        <w:tc>
          <w:tcPr>
            <w:tcW w:type="dxa" w:w="3312"/>
            <w:shd w:fill="FFFFFF"/>
            <w:tcMar>
              <w:top w:w="90" w:type="dxa"/>
              <w:bottom w:w="90" w:type="dxa"/>
              <w:left w:w="110" w:type="dxa"/>
              <w:right w:w="110" w:type="dxa"/>
            </w:tcMar>
          </w:tcPr>
          <w:p>
            <w:r>
              <w:rPr>
                <w:sz w:val="17"/>
              </w:rPr>
              <w:t>Rejects color photographs, paintings, and movies. Genuine OCT B-scans are grayscale interferometry signals ($S &lt; 15$).</w:t>
            </w:r>
          </w:p>
        </w:tc>
      </w:tr>
      <w:tr>
        <w:tc>
          <w:tcPr>
            <w:tcW w:type="dxa" w:w="3312"/>
            <w:shd w:fill="F8FAFC"/>
            <w:tcMar>
              <w:top w:w="90" w:type="dxa"/>
              <w:bottom w:w="90" w:type="dxa"/>
              <w:left w:w="110" w:type="dxa"/>
              <w:right w:w="110" w:type="dxa"/>
            </w:tcMar>
          </w:tcPr>
          <w:p>
            <w:r>
              <w:rPr>
                <w:b/>
                <w:color w:val="0E7490"/>
                <w:sz w:val="17"/>
              </w:rPr>
              <w:t>2. RGB Channel Similarity</w:t>
            </w:r>
          </w:p>
        </w:tc>
        <w:tc>
          <w:tcPr>
            <w:tcW w:type="dxa" w:w="3312"/>
            <w:shd w:fill="F8FAFC"/>
            <w:tcMar>
              <w:top w:w="90" w:type="dxa"/>
              <w:bottom w:w="90" w:type="dxa"/>
              <w:left w:w="110" w:type="dxa"/>
              <w:right w:w="110" w:type="dxa"/>
            </w:tcMar>
          </w:tcPr>
          <w:p>
            <w:r>
              <w:rPr>
                <w:sz w:val="17"/>
              </w:rPr>
              <w:t>Mean Absolute Difference $\frac{1}{3}(|R-G| + |G-B| + |B-R|) &lt; 20.0$</w:t>
            </w:r>
          </w:p>
        </w:tc>
        <w:tc>
          <w:tcPr>
            <w:tcW w:type="dxa" w:w="3312"/>
            <w:shd w:fill="F8FAFC"/>
            <w:tcMar>
              <w:top w:w="90" w:type="dxa"/>
              <w:bottom w:w="90" w:type="dxa"/>
              <w:left w:w="110" w:type="dxa"/>
              <w:right w:w="110" w:type="dxa"/>
            </w:tcMar>
          </w:tcPr>
          <w:p>
            <w:r>
              <w:rPr>
                <w:sz w:val="17"/>
              </w:rPr>
              <w:t>Rejects tinted or colored illustrations where individual channels diverge from monochromatic parity.</w:t>
            </w:r>
          </w:p>
        </w:tc>
      </w:tr>
      <w:tr>
        <w:tc>
          <w:tcPr>
            <w:tcW w:type="dxa" w:w="3312"/>
            <w:shd w:fill="FFFFFF"/>
            <w:tcMar>
              <w:top w:w="90" w:type="dxa"/>
              <w:bottom w:w="90" w:type="dxa"/>
              <w:left w:w="110" w:type="dxa"/>
              <w:right w:w="110" w:type="dxa"/>
            </w:tcMar>
          </w:tcPr>
          <w:p>
            <w:r>
              <w:rPr>
                <w:b/>
                <w:color w:val="0E7490"/>
                <w:sz w:val="17"/>
              </w:rPr>
              <w:t>3. Laplacian Edge Variance</w:t>
            </w:r>
          </w:p>
        </w:tc>
        <w:tc>
          <w:tcPr>
            <w:tcW w:type="dxa" w:w="3312"/>
            <w:shd w:fill="FFFFFF"/>
            <w:tcMar>
              <w:top w:w="90" w:type="dxa"/>
              <w:bottom w:w="90" w:type="dxa"/>
              <w:left w:w="110" w:type="dxa"/>
              <w:right w:w="110" w:type="dxa"/>
            </w:tcMar>
          </w:tcPr>
          <w:p>
            <w:r>
              <w:rPr>
                <w:sz w:val="17"/>
              </w:rPr>
              <w:t>$\text{Var}(\nabla^2 I) &lt; 3500.0$</w:t>
            </w:r>
          </w:p>
        </w:tc>
        <w:tc>
          <w:tcPr>
            <w:tcW w:type="dxa" w:w="3312"/>
            <w:shd w:fill="FFFFFF"/>
            <w:tcMar>
              <w:top w:w="90" w:type="dxa"/>
              <w:bottom w:w="90" w:type="dxa"/>
              <w:left w:w="110" w:type="dxa"/>
              <w:right w:w="110" w:type="dxa"/>
            </w:tcMar>
          </w:tcPr>
          <w:p>
            <w:r>
              <w:rPr>
                <w:sz w:val="17"/>
              </w:rPr>
              <w:t>Rejects sharp screenshots, text documents, and user interface captures that have high-frequency edge variance.</w:t>
            </w:r>
          </w:p>
        </w:tc>
      </w:tr>
      <w:tr>
        <w:tc>
          <w:tcPr>
            <w:tcW w:type="dxa" w:w="3312"/>
            <w:shd w:fill="F8FAFC"/>
            <w:tcMar>
              <w:top w:w="90" w:type="dxa"/>
              <w:bottom w:w="90" w:type="dxa"/>
              <w:left w:w="110" w:type="dxa"/>
              <w:right w:w="110" w:type="dxa"/>
            </w:tcMar>
          </w:tcPr>
          <w:p>
            <w:r>
              <w:rPr>
                <w:b/>
                <w:color w:val="0E7490"/>
                <w:sz w:val="17"/>
              </w:rPr>
              <w:t>4. Horizontal Edge Ratio</w:t>
            </w:r>
          </w:p>
        </w:tc>
        <w:tc>
          <w:tcPr>
            <w:tcW w:type="dxa" w:w="3312"/>
            <w:shd w:fill="F8FAFC"/>
            <w:tcMar>
              <w:top w:w="90" w:type="dxa"/>
              <w:bottom w:w="90" w:type="dxa"/>
              <w:left w:w="110" w:type="dxa"/>
              <w:right w:w="110" w:type="dxa"/>
            </w:tcMar>
          </w:tcPr>
          <w:p>
            <w:r>
              <w:rPr>
                <w:sz w:val="17"/>
              </w:rPr>
              <w:t>$\frac{\sum (\text{Sobel}_y)^2}{\sum (\text{Sobel}_x)^2 + \sum (\text{Sobel}_y)^2} &gt; 0.35$</w:t>
            </w:r>
          </w:p>
        </w:tc>
        <w:tc>
          <w:tcPr>
            <w:tcW w:type="dxa" w:w="3312"/>
            <w:shd w:fill="F8FAFC"/>
            <w:tcMar>
              <w:top w:w="90" w:type="dxa"/>
              <w:bottom w:w="90" w:type="dxa"/>
              <w:left w:w="110" w:type="dxa"/>
              <w:right w:w="110" w:type="dxa"/>
            </w:tcMar>
          </w:tcPr>
          <w:p>
            <w:r>
              <w:rPr>
                <w:sz w:val="17"/>
              </w:rPr>
              <w:t>Verifies retinal layer laminations. Real OCT scans exhibit dominant horizontal retinal stratification; text/objects exhibit mixed or vertical orientations.</w:t>
            </w:r>
          </w:p>
        </w:tc>
      </w:tr>
      <w:tr>
        <w:tc>
          <w:tcPr>
            <w:tcW w:type="dxa" w:w="3312"/>
            <w:shd w:fill="FFFFFF"/>
            <w:tcMar>
              <w:top w:w="90" w:type="dxa"/>
              <w:bottom w:w="90" w:type="dxa"/>
              <w:left w:w="110" w:type="dxa"/>
              <w:right w:w="110" w:type="dxa"/>
            </w:tcMar>
          </w:tcPr>
          <w:p>
            <w:r>
              <w:rPr>
                <w:b/>
                <w:color w:val="0E7490"/>
                <w:sz w:val="17"/>
              </w:rPr>
              <w:t>5. Shannon Entropy Threshold</w:t>
            </w:r>
          </w:p>
        </w:tc>
        <w:tc>
          <w:tcPr>
            <w:tcW w:type="dxa" w:w="3312"/>
            <w:shd w:fill="FFFFFF"/>
            <w:tcMar>
              <w:top w:w="90" w:type="dxa"/>
              <w:bottom w:w="90" w:type="dxa"/>
              <w:left w:w="110" w:type="dxa"/>
              <w:right w:w="110" w:type="dxa"/>
            </w:tcMar>
          </w:tcPr>
          <w:p>
            <w:r>
              <w:rPr>
                <w:sz w:val="17"/>
              </w:rPr>
              <w:t>Entropy Ratio $\frac{H(p)}{\ln(4)} &lt; 0.75$ when Confidence $&lt; 70\%$</w:t>
            </w:r>
          </w:p>
        </w:tc>
        <w:tc>
          <w:tcPr>
            <w:tcW w:type="dxa" w:w="3312"/>
            <w:shd w:fill="FFFFFF"/>
            <w:tcMar>
              <w:top w:w="90" w:type="dxa"/>
              <w:bottom w:w="90" w:type="dxa"/>
              <w:left w:w="110" w:type="dxa"/>
              <w:right w:w="110" w:type="dxa"/>
            </w:tcMar>
          </w:tcPr>
          <w:p>
            <w:r>
              <w:rPr>
                <w:sz w:val="17"/>
              </w:rPr>
              <w:t>Soft warning filter. Rejects images that induce uniform confusion across all 4 classes, indicating atypical scans or corrupted data.</w:t>
            </w:r>
          </w:p>
        </w:tc>
      </w:tr>
    </w:tbl>
    <w:p>
      <w:pPr>
        <w:spacing w:after="160"/>
      </w:pPr>
    </w:p>
    <w:p>
      <w:pPr>
        <w:pStyle w:val="Heading1"/>
      </w:pPr>
      <w:r>
        <w:t>5. Comprehensive Final Review Q&amp;A Guide (Viva Defense)</w:t>
      </w:r>
    </w:p>
    <w:p>
      <w:r>
        <w:t>This section equips the team with authoritative, technically sound answers to the most rigorous questions typically posed by academic examiners, faculty evaluators, and clinical reviewers.</w:t>
      </w:r>
    </w:p>
    <w:p>
      <w:pPr>
        <w:spacing w:before="160" w:after="40"/>
      </w:pPr>
      <w:r>
        <w:rPr>
          <w:rFonts w:ascii="Calibri" w:hAnsi="Calibri"/>
          <w:b/>
          <w:color w:val="0E7490"/>
          <w:sz w:val="22"/>
        </w:rPr>
        <w:t>Q1: What is the clinical problem your project addresses?</w:t>
      </w:r>
    </w:p>
    <w:p>
      <w:pPr>
        <w:spacing w:before="0" w:after="120"/>
      </w:pPr>
      <w:r>
        <w:rPr>
          <w:rFonts w:ascii="Calibri" w:hAnsi="Calibri"/>
          <w:color w:val="1E293B"/>
          <w:sz w:val="20"/>
        </w:rPr>
        <w:t>Age-related macular degeneration (AMD) and Diabetic Macular Edema (DME) are leading causes of irreversible blindness worldwide. Early detection via Optical Coherence Tomography (OCT) is critical, as anti-VEGF therapies can halt progression if administered promptly. However, manual interpretation of volumetric OCT scans is labor-intensive and prone to inter-observer variability, especially in resource-constrained clinics. RetinaScan AI delivers automated, instant triage with 99.90% accuracy and transparent visual explanations to assist ophthalmologists.</w:t>
      </w:r>
    </w:p>
    <w:p>
      <w:pPr>
        <w:spacing w:before="160" w:after="40"/>
      </w:pPr>
      <w:r>
        <w:rPr>
          <w:rFonts w:ascii="Calibri" w:hAnsi="Calibri"/>
          <w:b/>
          <w:color w:val="0E7490"/>
          <w:sz w:val="22"/>
        </w:rPr>
        <w:t>Q2: What is an OCT scan, and how does it differ from a standard fundus photograph?</w:t>
      </w:r>
    </w:p>
    <w:p>
      <w:pPr>
        <w:spacing w:before="0" w:after="120"/>
      </w:pPr>
      <w:r>
        <w:rPr>
          <w:rFonts w:ascii="Calibri" w:hAnsi="Calibri"/>
          <w:color w:val="1E293B"/>
          <w:sz w:val="20"/>
        </w:rPr>
        <w:t>A fundus photograph is an en-face (2D surface) RGB view of the retina, similar to looking through a camera. In contrast, Optical Coherence Tomography (OCT) uses low-coherence near-infrared interferometry to capture micrometer-resolution cross-sectional B-scans of the retinal layers. It reveals internal morphological changes (such as intraretinal fluid pockets, sub-RPE drusen deposits, and neovascular membranes) that are completely invisible on fundus photography.</w:t>
      </w:r>
    </w:p>
    <w:p>
      <w:pPr>
        <w:spacing w:before="160" w:after="40"/>
      </w:pPr>
      <w:r>
        <w:rPr>
          <w:rFonts w:ascii="Calibri" w:hAnsi="Calibri"/>
          <w:b/>
          <w:color w:val="0E7490"/>
          <w:sz w:val="22"/>
        </w:rPr>
        <w:t>Q3: Can you explain the four diagnostic classes in the Kermany dataset?</w:t>
      </w:r>
    </w:p>
    <w:p>
      <w:pPr>
        <w:spacing w:before="0" w:after="120"/>
      </w:pPr>
      <w:r>
        <w:rPr>
          <w:rFonts w:ascii="Calibri" w:hAnsi="Calibri"/>
          <w:color w:val="1E293B"/>
          <w:sz w:val="20"/>
        </w:rPr>
        <w:t>1. CNV (Choroidal Neovascularization): Pathological vessels break through Bruch's membrane into the sub-retinal space, causing dome-shaped elevations and leakage. Marker of wet AMD.</w:t>
        <w:br/>
        <w:t>2. DME (Diabetic Macular Edema): Retinal vascular leakage causing fluid buildup and cystoid intraretinal hyporeflective spaces. Secondary to diabetic retinopathy.</w:t>
        <w:br/>
        <w:t>3. DRUSEN: Lipid/protein deposits accumulating between the retinal pigment epithelium (RPE) and Bruch's membrane. Primary hallmark of early/intermediate dry AMD.</w:t>
        <w:br/>
        <w:t>4. NORMAL: Intact retinal stratification with continuous RPE, distinct photoreceptor layer, and well-preserved foveal depression.</w:t>
      </w:r>
    </w:p>
    <w:p>
      <w:pPr>
        <w:spacing w:before="160" w:after="40"/>
      </w:pPr>
      <w:r>
        <w:rPr>
          <w:rFonts w:ascii="Calibri" w:hAnsi="Calibri"/>
          <w:b/>
          <w:color w:val="0E7490"/>
          <w:sz w:val="22"/>
        </w:rPr>
        <w:t>Q4: Why did you choose ConvNeXt-Tiny over standard architectures like ResNet-50?</w:t>
      </w:r>
    </w:p>
    <w:p>
      <w:pPr>
        <w:spacing w:before="0" w:after="120"/>
      </w:pPr>
      <w:r>
        <w:rPr>
          <w:rFonts w:ascii="Calibri" w:hAnsi="Calibri"/>
          <w:color w:val="1E293B"/>
          <w:sz w:val="20"/>
        </w:rPr>
        <w:t>ConvNeXt-Tiny achieves higher accuracy than ResNet-50 while preserving convolutional inductive bias. It incorporates modern Transformer improvements: large 7×7 depthwise convolutions (expanding the effective receptive field), an inverted bottleneck ratio (4× expansion), LayerNorm instead of BatchNorm (ensuring stability), and GELU non-linearities. With 28.5 million parameters, it is lightweight enough for CPU/edge deployment yet outperforms ResNet-50 on fine-grained retinal textures.</w:t>
      </w:r>
    </w:p>
    <w:p>
      <w:pPr>
        <w:spacing w:before="160" w:after="40"/>
      </w:pPr>
      <w:r>
        <w:rPr>
          <w:rFonts w:ascii="Calibri" w:hAnsi="Calibri"/>
          <w:b/>
          <w:color w:val="0E7490"/>
          <w:sz w:val="22"/>
        </w:rPr>
        <w:t>Q5: Why did you not use a pure Vision Transformer (ViT)?</w:t>
      </w:r>
    </w:p>
    <w:p>
      <w:pPr>
        <w:spacing w:before="0" w:after="120"/>
      </w:pPr>
      <w:r>
        <w:rPr>
          <w:rFonts w:ascii="Calibri" w:hAnsi="Calibri"/>
          <w:color w:val="1E293B"/>
          <w:sz w:val="20"/>
        </w:rPr>
        <w:t>Pure Vision Transformers lack spatial translation equivariance and rely on global self-attention, requiring huge datasets (hundreds of millions of images) to learn basic edge and texture priors. On medical datasets of 80k images, ViTs are prone to overfitting and require heavy regularization. Furthermore, self-attention scales quadratically ($O(N^2)$) with image patch length, whereas ConvNeXt processes 224×224 images with linear spatial complexity ($O(N)$), enabling sub-second inference even on standard laptop CPUs without GPU acceleration.</w:t>
      </w:r>
    </w:p>
    <w:p>
      <w:pPr>
        <w:spacing w:before="160" w:after="40"/>
      </w:pPr>
      <w:r>
        <w:rPr>
          <w:rFonts w:ascii="Calibri" w:hAnsi="Calibri"/>
          <w:b/>
          <w:color w:val="0E7490"/>
          <w:sz w:val="22"/>
        </w:rPr>
        <w:t>Q6: How was the classifier head adapted for this task?</w:t>
      </w:r>
    </w:p>
    <w:p>
      <w:pPr>
        <w:spacing w:before="0" w:after="120"/>
      </w:pPr>
      <w:r>
        <w:rPr>
          <w:rFonts w:ascii="Calibri" w:hAnsi="Calibri"/>
          <w:color w:val="1E293B"/>
          <w:sz w:val="20"/>
        </w:rPr>
        <w:t>The original ConvNeXt-Tiny model was pretrained on ImageNet-1K with a 1000-class output head. We replaced the final linear projection layer (`model.classifier[2]`) with a 4-dimensional Linear layer (`nn.Linear(768, 4)`), mapping the 768-dimensional pooled feature vector into class logits corresponding to CNV, DME, DRUSEN, and NORMAL.</w:t>
      </w:r>
    </w:p>
    <w:p>
      <w:pPr>
        <w:spacing w:before="160" w:after="40"/>
      </w:pPr>
      <w:r>
        <w:rPr>
          <w:rFonts w:ascii="Calibri" w:hAnsi="Calibri"/>
          <w:b/>
          <w:color w:val="0E7490"/>
          <w:sz w:val="22"/>
        </w:rPr>
        <w:t>Q7: How does Grad-CAM work in your project?</w:t>
      </w:r>
    </w:p>
    <w:p>
      <w:pPr>
        <w:spacing w:before="0" w:after="120"/>
      </w:pPr>
      <w:r>
        <w:rPr>
          <w:rFonts w:ascii="Calibri" w:hAnsi="Calibri"/>
          <w:color w:val="1E293B"/>
          <w:sz w:val="20"/>
        </w:rPr>
        <w:t>Grad-CAM computes the gradient of the predicted class score $Y^c$ with respect to the feature activation maps $A^k$ of the final convolutional stage (`model.features[-1]`). We register forward and backward hooks in PyTorch to capture activations and gradients. Global average pooling calculates neuron importance weights $\alpha_k^c$. We then take the weighted sum across channels and apply a ReLU activation to retain features that positively support the predicted class. The resulting 2D attention map is resized to 224×224, normalized, and blended over the OCT image.</w:t>
      </w:r>
    </w:p>
    <w:p>
      <w:pPr>
        <w:spacing w:before="160" w:after="40"/>
      </w:pPr>
      <w:r>
        <w:rPr>
          <w:rFonts w:ascii="Calibri" w:hAnsi="Calibri"/>
          <w:b/>
          <w:color w:val="0E7490"/>
          <w:sz w:val="22"/>
        </w:rPr>
        <w:t>Q8: Why is the target layer specifically `model.features[-1]`?</w:t>
      </w:r>
    </w:p>
    <w:p>
      <w:pPr>
        <w:spacing w:before="0" w:after="120"/>
      </w:pPr>
      <w:r>
        <w:rPr>
          <w:rFonts w:ascii="Calibri" w:hAnsi="Calibri"/>
          <w:color w:val="1E293B"/>
          <w:sz w:val="20"/>
        </w:rPr>
        <w:t>Convolutional neural networks learn hierarchical representations: early layers capture low-level features (edges, lines), middle layers capture textures, and the final convolutional stage (`model.features[-1]`) captures high-level, class-specific semantic concepts with the largest receptive field. Hooking into `model.features[-1]` preserves both spatial localization and high-level semantic relevance.</w:t>
      </w:r>
    </w:p>
    <w:p>
      <w:pPr>
        <w:spacing w:before="160" w:after="40"/>
      </w:pPr>
      <w:r>
        <w:rPr>
          <w:rFonts w:ascii="Calibri" w:hAnsi="Calibri"/>
          <w:b/>
          <w:color w:val="0E7490"/>
          <w:sz w:val="22"/>
        </w:rPr>
        <w:t>Q9: Why is the ReLU function used in the Grad-CAM formula?</w:t>
      </w:r>
    </w:p>
    <w:p>
      <w:pPr>
        <w:spacing w:before="0" w:after="120"/>
      </w:pPr>
      <w:r>
        <w:rPr>
          <w:rFonts w:ascii="Calibri" w:hAnsi="Calibri"/>
          <w:color w:val="1E293B"/>
          <w:sz w:val="20"/>
        </w:rPr>
        <w:t>Without ReLU, negative weights would allow features that contribute to *other* classes to influence the heatmap. ReLU acts as a threshold: it sets all negative values to zero, ensuring that the heatmap highlights ONLY those pixels that increased the likelihood of the selected class, discarding inhibitory signals.</w:t>
      </w:r>
    </w:p>
    <w:p>
      <w:pPr>
        <w:spacing w:before="160" w:after="40"/>
      </w:pPr>
      <w:r>
        <w:rPr>
          <w:rFonts w:ascii="Calibri" w:hAnsi="Calibri"/>
          <w:b/>
          <w:color w:val="0E7490"/>
          <w:sz w:val="22"/>
        </w:rPr>
        <w:t>Q10: Does Grad-CAM prove that the disease is definitely present?</w:t>
      </w:r>
    </w:p>
    <w:p>
      <w:pPr>
        <w:spacing w:before="0" w:after="120"/>
      </w:pPr>
      <w:r>
        <w:rPr>
          <w:rFonts w:ascii="Calibri" w:hAnsi="Calibri"/>
          <w:color w:val="1E293B"/>
          <w:sz w:val="20"/>
        </w:rPr>
        <w:t>No. This is a critical distinction that we highlight prominently in our UI: Grad-CAM is an attribution visualization, not an independent clinical diagnostic test. It answers: 'Which pixels influenced the model's numerical score most heavily?' It does not verify tissue histopathology or guarantee anatomical correctness. That is why our UI explicitly includes a scientific guardrail stating: 'Grad-CAM visualizes spatial attention and does not perform classification or directly diagnose disease.'</w:t>
      </w:r>
    </w:p>
    <w:p>
      <w:pPr>
        <w:spacing w:before="160" w:after="40"/>
      </w:pPr>
      <w:r>
        <w:rPr>
          <w:rFonts w:ascii="Calibri" w:hAnsi="Calibri"/>
          <w:b/>
          <w:color w:val="0E7490"/>
          <w:sz w:val="22"/>
        </w:rPr>
        <w:t>Q11: What happens if someone uploads a picture of a cat, a car, or a colored ultrasound?</w:t>
      </w:r>
    </w:p>
    <w:p>
      <w:pPr>
        <w:spacing w:before="0" w:after="120"/>
      </w:pPr>
      <w:r>
        <w:rPr>
          <w:rFonts w:ascii="Calibri" w:hAnsi="Calibri"/>
          <w:color w:val="1E293B"/>
          <w:sz w:val="20"/>
        </w:rPr>
        <w:t>Our 5-signal input validation engine detects and rejects it immediately: First, the HSV saturation filter flags the image because OCT scans are monochromatic ($S &lt; 25$). Second, RGB channel difference checking ensures identical channel values. If color is detected, the pipeline performs a 'hard rejection': inference is skipped completely, saving compute and preventing false predictions. An informative red status banner informs the user why the image was rejected.</w:t>
      </w:r>
    </w:p>
    <w:p>
      <w:pPr>
        <w:spacing w:before="160" w:after="40"/>
      </w:pPr>
      <w:r>
        <w:rPr>
          <w:rFonts w:ascii="Calibri" w:hAnsi="Calibri"/>
          <w:b/>
          <w:color w:val="0E7490"/>
          <w:sz w:val="22"/>
        </w:rPr>
        <w:t>Q12: What if someone uploads a grayscale document, screenshot, or invoice?</w:t>
      </w:r>
    </w:p>
    <w:p>
      <w:pPr>
        <w:spacing w:before="0" w:after="120"/>
      </w:pPr>
      <w:r>
        <w:rPr>
          <w:rFonts w:ascii="Calibri" w:hAnsi="Calibri"/>
          <w:color w:val="1E293B"/>
          <w:sz w:val="20"/>
        </w:rPr>
        <w:t>Screenshots and text documents easily pass color checks because they can be black and white. To catch them, our system evaluates two structural properties: Laplacian Variance and Horizontal Edge Energy Ratio. Text documents have sharp character edges (Laplacian variance &gt; 4000) and mixed vertical/horizontal edges. Real OCT scans exhibit smooth, gradual gradients (variance &lt; 3500) and predominantly horizontal edges corresponding to laminar retinal stratification.</w:t>
      </w:r>
    </w:p>
    <w:p>
      <w:pPr>
        <w:spacing w:before="160" w:after="40"/>
      </w:pPr>
      <w:r>
        <w:rPr>
          <w:rFonts w:ascii="Calibri" w:hAnsi="Calibri"/>
          <w:b/>
          <w:color w:val="0E7490"/>
          <w:sz w:val="22"/>
        </w:rPr>
        <w:t>Q13: How does the system handle borderline or ambiguous OCT scans?</w:t>
      </w:r>
    </w:p>
    <w:p>
      <w:pPr>
        <w:spacing w:before="0" w:after="120"/>
      </w:pPr>
      <w:r>
        <w:rPr>
          <w:rFonts w:ascii="Calibri" w:hAnsi="Calibri"/>
          <w:color w:val="1E293B"/>
          <w:sz w:val="20"/>
        </w:rPr>
        <w:t>When an image passes physical validation but produces moderate confidence (70%–90%) or high Shannon entropy ($H(p) / \ln(4) &gt; 0.75$), the UI issues a yellow warning banner. It advises the clinician that the prediction exhibits uncertainty and requires secondary clinical review.</w:t>
      </w:r>
    </w:p>
    <w:p>
      <w:pPr>
        <w:spacing w:before="160" w:after="40"/>
      </w:pPr>
      <w:r>
        <w:rPr>
          <w:rFonts w:ascii="Calibri" w:hAnsi="Calibri"/>
          <w:b/>
          <w:color w:val="0E7490"/>
          <w:sz w:val="22"/>
        </w:rPr>
        <w:t>Q14: You achieved 99.90% accuracy. Is the model overfitting?</w:t>
      </w:r>
    </w:p>
    <w:p>
      <w:pPr>
        <w:spacing w:before="0" w:after="120"/>
      </w:pPr>
      <w:r>
        <w:rPr>
          <w:rFonts w:ascii="Calibri" w:hAnsi="Calibri"/>
          <w:color w:val="1E293B"/>
          <w:sz w:val="20"/>
        </w:rPr>
        <w:t>No, for several concrete reasons: First, the evaluation was conducted on Kermany's official held-out test split of 968 scans from patients whose scans were never present in the training set. Second, the training and validation loss curves show smooth, monotonic convergence without validation loss inflection. Third, the model has 28.5 million parameters and was trained with data augmentation (random flips, rotations) and weight decay. Finally, Grad-CAM attention maps confirm that the model learns clinically legitimate retinal pathology rather than memorizing dataset background noise.</w:t>
      </w:r>
    </w:p>
    <w:p>
      <w:pPr>
        <w:spacing w:before="160" w:after="40"/>
      </w:pPr>
      <w:r>
        <w:rPr>
          <w:rFonts w:ascii="Calibri" w:hAnsi="Calibri"/>
          <w:b/>
          <w:color w:val="0E7490"/>
          <w:sz w:val="22"/>
        </w:rPr>
        <w:t>Q15: What was the single misclassification in the test set?</w:t>
      </w:r>
    </w:p>
    <w:p>
      <w:pPr>
        <w:spacing w:before="0" w:after="120"/>
      </w:pPr>
      <w:r>
        <w:rPr>
          <w:rFonts w:ascii="Calibri" w:hAnsi="Calibri"/>
          <w:color w:val="1E293B"/>
          <w:sz w:val="20"/>
        </w:rPr>
        <w:t>Out of 968 test images, 967 were classified correctly. The single error occurred between DRUSEN and CNV. Clinically, early sub-RPE drusen deposits and early choroidal neovascularization share overlapping morphology along the RPE layer. Even experienced retinal specialists occasionally debate borderline cases between dry AMD with drusen and occult wet AMD.</w:t>
      </w:r>
    </w:p>
    <w:p>
      <w:pPr>
        <w:spacing w:before="160" w:after="40"/>
      </w:pPr>
      <w:r>
        <w:rPr>
          <w:rFonts w:ascii="Calibri" w:hAnsi="Calibri"/>
          <w:b/>
          <w:color w:val="0E7490"/>
          <w:sz w:val="22"/>
        </w:rPr>
        <w:t>Q16: How does your UI answer the reviewer question: 'Why was this image classified as CNV/DME/Drusen?'</w:t>
      </w:r>
    </w:p>
    <w:p>
      <w:pPr>
        <w:spacing w:before="0" w:after="120"/>
      </w:pPr>
      <w:r>
        <w:rPr>
          <w:rFonts w:ascii="Calibri" w:hAnsi="Calibri"/>
          <w:color w:val="1E293B"/>
          <w:sz w:val="20"/>
        </w:rPr>
        <w:t>Directly below the result, our 'Why this prediction?' section answers this in three complementary ways:</w:t>
        <w:br/>
        <w:t>1. Visually: By displaying the Original OCT scan, the standalone Grad-CAM Jet heatmap, and the blended overlay side-by-side.</w:t>
        <w:br/>
        <w:t>2. Anatomically: By dynamically outputting the specific pathological region of interest (e.g. for DME: 'The model focused on the central intraretinal region, where cystoid/fluid-filled spaces associated with DME are typically observed.').</w:t>
        <w:br/>
        <w:t>3. Mechanistically: By detailing the exact decision pipeline ('ConvNeXt-Tiny → extracts retinal features → produces scores for 4 classes → highest score becomes prediction. Grad-CAM → shows which image regions contributed most to that prediction.').</w:t>
      </w:r>
    </w:p>
    <w:p>
      <w:pPr>
        <w:spacing w:before="160" w:after="40"/>
      </w:pPr>
      <w:r>
        <w:rPr>
          <w:rFonts w:ascii="Calibri" w:hAnsi="Calibri"/>
          <w:b/>
          <w:color w:val="0E7490"/>
          <w:sz w:val="22"/>
        </w:rPr>
        <w:t>Q17: What are the primary limitations of your current system?</w:t>
      </w:r>
    </w:p>
    <w:p>
      <w:pPr>
        <w:spacing w:before="0" w:after="120"/>
      </w:pPr>
      <w:r>
        <w:rPr>
          <w:rFonts w:ascii="Calibri" w:hAnsi="Calibri"/>
          <w:color w:val="1E293B"/>
          <w:sz w:val="20"/>
        </w:rPr>
        <w:t>1. 2D B-Scan Analysis: The current prototype processes individual 2D cross-sections rather than full 3D volumetric OCT cubes.</w:t>
        <w:br/>
        <w:t>2. Single-Label Classification: It assumes each scan exhibits one predominant condition, whereas real-world elderly patients may have co-occurring DME and CNV.</w:t>
        <w:br/>
        <w:t>3. Single Scanner Benchmark: The model was trained predominantly on Heidelberg Spectralis OCT data; domain adaptation is needed for Zeiss Cirrus or Topcon scanners.</w:t>
      </w:r>
    </w:p>
    <w:p>
      <w:pPr>
        <w:spacing w:before="160" w:after="40"/>
      </w:pPr>
      <w:r>
        <w:rPr>
          <w:rFonts w:ascii="Calibri" w:hAnsi="Calibri"/>
          <w:b/>
          <w:color w:val="0E7490"/>
          <w:sz w:val="22"/>
        </w:rPr>
        <w:t>Q18: What is your future roadmap for clinical deployment?</w:t>
      </w:r>
    </w:p>
    <w:p>
      <w:pPr>
        <w:spacing w:before="0" w:after="120"/>
      </w:pPr>
      <w:r>
        <w:rPr>
          <w:rFonts w:ascii="Calibri" w:hAnsi="Calibri"/>
          <w:color w:val="1E293B"/>
          <w:sz w:val="20"/>
        </w:rPr>
        <w:t>1. 3D Volumetric Aggregation: Extending the pipeline to analyze entire 128-slice macular volume cubes.</w:t>
        <w:br/>
        <w:t>2. Multi-Label Segmentation: Combining classification with semantic segmentation (e.g. U-Net) to quantify fluid volume in nanoliters.</w:t>
        <w:br/>
        <w:t>3. DICOM PACS Integration: Packaging the inference engine as a DICOM-compliant microservice to integrate directly into hospital Electronic Health Record (EHR) workflows.</w:t>
      </w:r>
    </w:p>
    <w:p>
      <w:pPr>
        <w:pStyle w:val="Heading1"/>
      </w:pPr>
      <w:r>
        <w:t>6. Live Viva Demonstration Script &amp; Examiner Walkthrough</w:t>
      </w:r>
    </w:p>
    <w:p>
      <w:r>
        <w:t>Follow this step-by-step 3-minute presentation script during the live examination to showcase the system smoothly:</w:t>
      </w:r>
    </w:p>
    <w:p>
      <w:pPr>
        <w:spacing w:before="120" w:after="40"/>
      </w:pPr>
      <w:r>
        <w:rPr>
          <w:b/>
          <w:color w:val="0F172A"/>
          <w:sz w:val="21"/>
        </w:rPr>
        <w:t>📌 Step 1: Introduction (30 seconds)</w:t>
      </w:r>
    </w:p>
    <w:p>
      <w:pPr>
        <w:spacing w:before="0" w:after="120"/>
      </w:pPr>
      <w:r>
        <w:rPr>
          <w:i/>
          <w:color w:val="334155"/>
          <w:sz w:val="19"/>
        </w:rPr>
        <w:t>"Respected examiners, we present RetinaScan AI — an explainable deep learning prototype for automated Optical Coherence Tomography (OCT) retinal disease triage. Using a modernized ConvNeXt-Tiny architecture with 28.5 million parameters fine-tuned on the Kermany OCT2017 dataset, the model achieves 99.90% test accuracy across CNV, DME, Drusen, and Normal categories. Crucially, our system eliminates black-box obscurity by integrating real-time Grad-CAM explainability and an active 5-signal input safety filter."</w:t>
      </w:r>
    </w:p>
    <w:p>
      <w:pPr>
        <w:spacing w:before="120" w:after="40"/>
      </w:pPr>
      <w:r>
        <w:rPr>
          <w:b/>
          <w:color w:val="0F172A"/>
          <w:sz w:val="21"/>
        </w:rPr>
        <w:t>📌 Step 2: Demonstrate Normal Sample (30 seconds)</w:t>
      </w:r>
    </w:p>
    <w:p>
      <w:pPr>
        <w:spacing w:before="0" w:after="120"/>
      </w:pPr>
      <w:r>
        <w:rPr>
          <w:i/>
          <w:color w:val="334155"/>
          <w:sz w:val="19"/>
        </w:rPr>
        <w:t>Click on the 'NORMAL' example in the sample gallery. Point to the UI:</w:t>
        <w:br/>
        <w:t>"Notice how the model predicts NORMAL with &gt;99.9% confidence. Looking at our 'Why this prediction?' section, the 3-image triad displays the original scan, the jet heatmap, and the overlay. The dynamic explanation confirms: 'The model showed distributed attention around the foveal region without a strong localized pathological focus, consistent with normal retinal architecture.'"</w:t>
      </w:r>
    </w:p>
    <w:p>
      <w:pPr>
        <w:spacing w:before="120" w:after="40"/>
      </w:pPr>
      <w:r>
        <w:rPr>
          <w:b/>
          <w:color w:val="0F172A"/>
          <w:sz w:val="21"/>
        </w:rPr>
        <w:t>📌 Step 3: Demonstrate Pathological Samples (DME &amp; CNV) (60 seconds)</w:t>
      </w:r>
    </w:p>
    <w:p>
      <w:pPr>
        <w:spacing w:before="0" w:after="120"/>
      </w:pPr>
      <w:r>
        <w:rPr>
          <w:i/>
          <w:color w:val="334155"/>
          <w:sz w:val="19"/>
        </w:rPr>
        <w:t>Click on the 'DME' example, then 'CNV'.</w:t>
        <w:br/>
        <w:t>"When we switch to DME, the model immediately focuses on the intraretinal hyporeflective cystoid spaces. The explanation dynamically informs the clinician that focus is localized on intraretinal fluid pockets. When we test CNV, the attention shifts downwards to the elevated choroid and RPE layer where neovascular membrane formation occurs."</w:t>
      </w:r>
    </w:p>
    <w:p>
      <w:pPr>
        <w:spacing w:before="120" w:after="40"/>
      </w:pPr>
      <w:r>
        <w:rPr>
          <w:b/>
          <w:color w:val="0F172A"/>
          <w:sz w:val="21"/>
        </w:rPr>
        <w:t>📌 Step 4: Demonstrate Safety Pipeline (Non-OCT Rejection) (45 seconds)</w:t>
      </w:r>
    </w:p>
    <w:p>
      <w:pPr>
        <w:spacing w:before="0" w:after="120"/>
      </w:pPr>
      <w:r>
        <w:rPr>
          <w:i/>
          <w:color w:val="334155"/>
          <w:sz w:val="19"/>
        </w:rPr>
        <w:t>Upload `test_nonoct.jpg` or a random color image.</w:t>
        <w:br/>
        <w:t>"In clinical settings, accidental non-OCT uploads pose severe diagnostic hazards. When a natural photo is uploaded, our 5-signal pipeline detects high color saturation and non-retinal edge variance. Instead of outputting an arbitrary high-confidence false diagnosis, the system triggers a hard rejection with a red safety banner, blocking inference entirely."</w:t>
      </w:r>
    </w:p>
    <w:p>
      <w:pPr>
        <w:spacing w:before="120" w:after="40"/>
      </w:pPr>
      <w:r>
        <w:rPr>
          <w:b/>
          <w:color w:val="0F172A"/>
          <w:sz w:val="21"/>
        </w:rPr>
        <w:t>📌 Step 5: Conclusion &amp; Q&amp;A Transition (15 seconds)</w:t>
      </w:r>
    </w:p>
    <w:p>
      <w:pPr>
        <w:spacing w:before="0" w:after="120"/>
      </w:pPr>
      <w:r>
        <w:rPr>
          <w:i/>
          <w:color w:val="334155"/>
          <w:sz w:val="19"/>
        </w:rPr>
        <w:t>"In summary, RetinaScan AI combines state-of-the-art accuracy, interpretable visual diagnostics, and robust clinical safety guardrails. We are now happy to answer your questions."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749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