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BB147" w14:textId="5E425EB4" w:rsidR="00367F96" w:rsidRPr="004B6747" w:rsidRDefault="00086B25" w:rsidP="00367F96">
      <w:pPr>
        <w:spacing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FD1DDC">
        <w:rPr>
          <w:rFonts w:ascii="Times New Roman" w:eastAsia="Calibri" w:hAnsi="Times New Roman" w:cs="Times New Roman"/>
          <w:b/>
          <w:sz w:val="28"/>
          <w:szCs w:val="28"/>
        </w:rPr>
        <w:t xml:space="preserve">PREFORMULATION </w:t>
      </w:r>
      <w:r w:rsidR="00367F96">
        <w:rPr>
          <w:rFonts w:ascii="Times New Roman" w:eastAsia="Calibri" w:hAnsi="Times New Roman" w:cs="Times New Roman"/>
          <w:b/>
          <w:sz w:val="28"/>
          <w:szCs w:val="28"/>
        </w:rPr>
        <w:t xml:space="preserve">STUDIES OF </w:t>
      </w:r>
      <w:r w:rsidR="009B0622">
        <w:rPr>
          <w:rFonts w:ascii="Times New Roman" w:eastAsia="Calibri" w:hAnsi="Times New Roman" w:cs="Times New Roman"/>
          <w:b/>
          <w:sz w:val="28"/>
          <w:szCs w:val="28"/>
        </w:rPr>
        <w:t>GRANULES</w:t>
      </w:r>
    </w:p>
    <w:p w14:paraId="511CE65B" w14:textId="77777777" w:rsidR="00367F96" w:rsidRPr="004B6747" w:rsidRDefault="00367F96" w:rsidP="00367F96">
      <w:pPr>
        <w:spacing w:line="360" w:lineRule="auto"/>
        <w:rPr>
          <w:rFonts w:ascii="Times New Roman" w:eastAsia="Calibri" w:hAnsi="Times New Roman" w:cs="Times New Roman"/>
          <w:sz w:val="24"/>
          <w:szCs w:val="24"/>
        </w:rPr>
      </w:pPr>
      <w:r w:rsidRPr="004B6747">
        <w:rPr>
          <w:rFonts w:ascii="Times New Roman" w:eastAsia="Calibri" w:hAnsi="Times New Roman" w:cs="Times New Roman"/>
          <w:b/>
          <w:sz w:val="24"/>
          <w:szCs w:val="24"/>
        </w:rPr>
        <w:t xml:space="preserve">AIM </w:t>
      </w:r>
    </w:p>
    <w:p w14:paraId="5CBE0ABF" w14:textId="77777777" w:rsidR="00367F96" w:rsidRDefault="00367F96" w:rsidP="00367F96">
      <w:pPr>
        <w:spacing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ab/>
        <w:t xml:space="preserve">To </w:t>
      </w:r>
      <w:r>
        <w:rPr>
          <w:rFonts w:ascii="Times New Roman" w:eastAsia="Calibri" w:hAnsi="Times New Roman" w:cs="Times New Roman"/>
          <w:sz w:val="24"/>
          <w:szCs w:val="24"/>
        </w:rPr>
        <w:t xml:space="preserve">perform the </w:t>
      </w:r>
      <w:r w:rsidR="00EF1D70">
        <w:rPr>
          <w:rFonts w:ascii="Times New Roman" w:eastAsia="Calibri" w:hAnsi="Times New Roman" w:cs="Times New Roman"/>
          <w:sz w:val="24"/>
          <w:szCs w:val="24"/>
        </w:rPr>
        <w:t>Pre-F</w:t>
      </w:r>
      <w:r w:rsidR="00FD1DDC">
        <w:rPr>
          <w:rFonts w:ascii="Times New Roman" w:eastAsia="Calibri" w:hAnsi="Times New Roman" w:cs="Times New Roman"/>
          <w:sz w:val="24"/>
          <w:szCs w:val="24"/>
        </w:rPr>
        <w:t>ormulation</w:t>
      </w:r>
      <w:r w:rsidR="009B0622">
        <w:rPr>
          <w:rFonts w:ascii="Times New Roman" w:eastAsia="Calibri" w:hAnsi="Times New Roman" w:cs="Times New Roman"/>
          <w:sz w:val="24"/>
          <w:szCs w:val="24"/>
        </w:rPr>
        <w:t xml:space="preserve"> studies</w:t>
      </w:r>
      <w:r>
        <w:rPr>
          <w:rFonts w:ascii="Times New Roman" w:eastAsia="Calibri" w:hAnsi="Times New Roman" w:cs="Times New Roman"/>
          <w:sz w:val="24"/>
          <w:szCs w:val="24"/>
        </w:rPr>
        <w:t xml:space="preserve"> of </w:t>
      </w:r>
      <w:r w:rsidR="009B0622">
        <w:rPr>
          <w:rFonts w:ascii="Times New Roman" w:eastAsia="Calibri" w:hAnsi="Times New Roman" w:cs="Times New Roman"/>
          <w:sz w:val="24"/>
          <w:szCs w:val="24"/>
        </w:rPr>
        <w:t>given granules</w:t>
      </w:r>
      <w:r>
        <w:rPr>
          <w:rFonts w:ascii="Times New Roman" w:eastAsia="Calibri" w:hAnsi="Times New Roman" w:cs="Times New Roman"/>
          <w:sz w:val="24"/>
          <w:szCs w:val="24"/>
        </w:rPr>
        <w:t>.</w:t>
      </w:r>
    </w:p>
    <w:p w14:paraId="01AF2B7D" w14:textId="77777777" w:rsidR="00367F96" w:rsidRPr="004B6747" w:rsidRDefault="00367F96" w:rsidP="00367F96">
      <w:pPr>
        <w:spacing w:line="360" w:lineRule="auto"/>
        <w:rPr>
          <w:rFonts w:ascii="Times New Roman" w:eastAsia="Calibri" w:hAnsi="Times New Roman" w:cs="Times New Roman"/>
          <w:b/>
          <w:sz w:val="24"/>
          <w:szCs w:val="24"/>
        </w:rPr>
      </w:pPr>
      <w:r w:rsidRPr="004B6747">
        <w:rPr>
          <w:rFonts w:ascii="Times New Roman" w:eastAsia="Calibri" w:hAnsi="Times New Roman" w:cs="Times New Roman"/>
          <w:b/>
          <w:sz w:val="24"/>
          <w:szCs w:val="24"/>
        </w:rPr>
        <w:t xml:space="preserve"> REQUIREMENTS</w:t>
      </w:r>
    </w:p>
    <w:p w14:paraId="382415AE" w14:textId="77777777" w:rsidR="00367F96" w:rsidRPr="004B6747" w:rsidRDefault="00367F96" w:rsidP="00367F96">
      <w:pPr>
        <w:spacing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ab/>
        <w:t xml:space="preserve">Paracetamol, Mannitol, </w:t>
      </w:r>
      <w:proofErr w:type="spellStart"/>
      <w:r w:rsidRPr="004B6747">
        <w:rPr>
          <w:rFonts w:ascii="Times New Roman" w:eastAsia="Calibri" w:hAnsi="Times New Roman" w:cs="Times New Roman"/>
          <w:sz w:val="24"/>
          <w:szCs w:val="24"/>
        </w:rPr>
        <w:t>Avicel</w:t>
      </w:r>
      <w:proofErr w:type="spellEnd"/>
      <w:r w:rsidRPr="004B6747">
        <w:rPr>
          <w:rFonts w:ascii="Times New Roman" w:eastAsia="Calibri" w:hAnsi="Times New Roman" w:cs="Times New Roman"/>
          <w:sz w:val="24"/>
          <w:szCs w:val="24"/>
        </w:rPr>
        <w:t xml:space="preserve"> pH 101, SSG, Talc, Magnesium stearate.</w:t>
      </w:r>
    </w:p>
    <w:p w14:paraId="5D0274D4" w14:textId="77777777" w:rsidR="00367F96" w:rsidRPr="004B6747" w:rsidRDefault="00367F96" w:rsidP="00367F96">
      <w:pPr>
        <w:spacing w:line="360" w:lineRule="auto"/>
        <w:rPr>
          <w:rFonts w:ascii="Times New Roman" w:eastAsia="Calibri" w:hAnsi="Times New Roman" w:cs="Times New Roman"/>
          <w:b/>
          <w:sz w:val="24"/>
          <w:szCs w:val="24"/>
        </w:rPr>
      </w:pPr>
      <w:r w:rsidRPr="004B6747">
        <w:rPr>
          <w:rFonts w:ascii="Times New Roman" w:eastAsia="Calibri" w:hAnsi="Times New Roman" w:cs="Times New Roman"/>
          <w:b/>
          <w:sz w:val="24"/>
          <w:szCs w:val="24"/>
        </w:rPr>
        <w:t>PRINCIPLE</w:t>
      </w:r>
    </w:p>
    <w:p w14:paraId="4248E0AD" w14:textId="77777777" w:rsidR="00367F96" w:rsidRPr="004B6747" w:rsidRDefault="00367F96" w:rsidP="00367F96">
      <w:pPr>
        <w:spacing w:line="360" w:lineRule="auto"/>
        <w:jc w:val="both"/>
        <w:rPr>
          <w:rFonts w:ascii="Times New Roman" w:eastAsia="Calibri" w:hAnsi="Times New Roman" w:cs="Times New Roman"/>
          <w:sz w:val="24"/>
          <w:szCs w:val="24"/>
        </w:rPr>
      </w:pPr>
      <w:r w:rsidRPr="004B6747">
        <w:rPr>
          <w:rFonts w:ascii="Times New Roman" w:eastAsia="Calibri" w:hAnsi="Times New Roman" w:cs="Times New Roman"/>
          <w:sz w:val="24"/>
          <w:szCs w:val="24"/>
        </w:rPr>
        <w:tab/>
      </w:r>
      <w:r w:rsidR="00FD1DDC">
        <w:rPr>
          <w:rFonts w:ascii="Times New Roman" w:eastAsia="Calibri" w:hAnsi="Times New Roman" w:cs="Times New Roman"/>
          <w:sz w:val="24"/>
          <w:szCs w:val="24"/>
        </w:rPr>
        <w:t>The study prior to formulation of a dosage form is called as Pre</w:t>
      </w:r>
      <w:r w:rsidR="00FA252E">
        <w:rPr>
          <w:rFonts w:ascii="Times New Roman" w:eastAsia="Calibri" w:hAnsi="Times New Roman" w:cs="Times New Roman"/>
          <w:sz w:val="24"/>
          <w:szCs w:val="24"/>
        </w:rPr>
        <w:t>-</w:t>
      </w:r>
      <w:r w:rsidR="00FD1DDC">
        <w:rPr>
          <w:rFonts w:ascii="Times New Roman" w:eastAsia="Calibri" w:hAnsi="Times New Roman" w:cs="Times New Roman"/>
          <w:sz w:val="24"/>
          <w:szCs w:val="24"/>
        </w:rPr>
        <w:t xml:space="preserve">formulation study. The </w:t>
      </w:r>
      <w:r w:rsidR="00FA252E">
        <w:rPr>
          <w:rFonts w:ascii="Times New Roman" w:eastAsia="Calibri" w:hAnsi="Times New Roman" w:cs="Times New Roman"/>
          <w:sz w:val="24"/>
          <w:szCs w:val="24"/>
        </w:rPr>
        <w:t>P</w:t>
      </w:r>
      <w:r w:rsidR="00FD1DDC">
        <w:rPr>
          <w:rFonts w:ascii="Times New Roman" w:eastAsia="Calibri" w:hAnsi="Times New Roman" w:cs="Times New Roman"/>
          <w:sz w:val="24"/>
          <w:szCs w:val="24"/>
        </w:rPr>
        <w:t>re</w:t>
      </w:r>
      <w:r w:rsidR="00FA252E">
        <w:rPr>
          <w:rFonts w:ascii="Times New Roman" w:eastAsia="Calibri" w:hAnsi="Times New Roman" w:cs="Times New Roman"/>
          <w:sz w:val="24"/>
          <w:szCs w:val="24"/>
        </w:rPr>
        <w:t>-</w:t>
      </w:r>
      <w:r w:rsidR="00FD1DDC">
        <w:rPr>
          <w:rFonts w:ascii="Times New Roman" w:eastAsia="Calibri" w:hAnsi="Times New Roman" w:cs="Times New Roman"/>
          <w:sz w:val="24"/>
          <w:szCs w:val="24"/>
        </w:rPr>
        <w:t>formulation of a solid dosage forms include study of Flow properties of the granules that were to be compressed or to be filled into capsules.</w:t>
      </w:r>
      <w:r w:rsidR="00514E42">
        <w:rPr>
          <w:rFonts w:ascii="Times New Roman" w:eastAsia="Calibri" w:hAnsi="Times New Roman" w:cs="Times New Roman"/>
          <w:sz w:val="24"/>
          <w:szCs w:val="24"/>
        </w:rPr>
        <w:t xml:space="preserve"> </w:t>
      </w:r>
      <w:r w:rsidR="009B0622">
        <w:rPr>
          <w:rFonts w:ascii="Times New Roman" w:eastAsia="Calibri" w:hAnsi="Times New Roman" w:cs="Times New Roman"/>
          <w:sz w:val="24"/>
          <w:szCs w:val="24"/>
        </w:rPr>
        <w:t xml:space="preserve">In the preparation of solid dosage forms the </w:t>
      </w:r>
      <w:r w:rsidR="00FD1DDC">
        <w:rPr>
          <w:rFonts w:ascii="Times New Roman" w:eastAsia="Calibri" w:hAnsi="Times New Roman" w:cs="Times New Roman"/>
          <w:sz w:val="24"/>
          <w:szCs w:val="24"/>
        </w:rPr>
        <w:t xml:space="preserve">Flow properties </w:t>
      </w:r>
      <w:r w:rsidR="009B0622">
        <w:rPr>
          <w:rFonts w:ascii="Times New Roman" w:eastAsia="Calibri" w:hAnsi="Times New Roman" w:cs="Times New Roman"/>
          <w:sz w:val="24"/>
          <w:szCs w:val="24"/>
        </w:rPr>
        <w:t xml:space="preserve">of granules plays a vital role as the flow properties like Angle of Repose, </w:t>
      </w:r>
      <w:proofErr w:type="spellStart"/>
      <w:r w:rsidR="009B0622">
        <w:rPr>
          <w:rFonts w:ascii="Times New Roman" w:eastAsia="Calibri" w:hAnsi="Times New Roman" w:cs="Times New Roman"/>
          <w:sz w:val="24"/>
          <w:szCs w:val="24"/>
        </w:rPr>
        <w:t>Carr’s</w:t>
      </w:r>
      <w:proofErr w:type="spellEnd"/>
      <w:r w:rsidR="009B0622">
        <w:rPr>
          <w:rFonts w:ascii="Times New Roman" w:eastAsia="Calibri" w:hAnsi="Times New Roman" w:cs="Times New Roman"/>
          <w:sz w:val="24"/>
          <w:szCs w:val="24"/>
        </w:rPr>
        <w:t xml:space="preserve"> Index, </w:t>
      </w:r>
      <w:proofErr w:type="spellStart"/>
      <w:r w:rsidR="009B0622">
        <w:rPr>
          <w:rFonts w:ascii="Times New Roman" w:eastAsia="Calibri" w:hAnsi="Times New Roman" w:cs="Times New Roman"/>
          <w:sz w:val="24"/>
          <w:szCs w:val="24"/>
        </w:rPr>
        <w:t>Hausner’s</w:t>
      </w:r>
      <w:proofErr w:type="spellEnd"/>
      <w:r w:rsidR="009B0622">
        <w:rPr>
          <w:rFonts w:ascii="Times New Roman" w:eastAsia="Calibri" w:hAnsi="Times New Roman" w:cs="Times New Roman"/>
          <w:sz w:val="24"/>
          <w:szCs w:val="24"/>
        </w:rPr>
        <w:t xml:space="preserve"> ratio and Density characteristics are having effect on the different desired characteristics of dosage forms like Content uniformity, Uniformity of Weight, Hardness etc.</w:t>
      </w:r>
    </w:p>
    <w:p w14:paraId="00E029C3" w14:textId="77777777" w:rsidR="00367F96" w:rsidRPr="004B6747" w:rsidRDefault="00367F96" w:rsidP="00367F96">
      <w:pPr>
        <w:spacing w:line="360" w:lineRule="auto"/>
        <w:jc w:val="both"/>
        <w:rPr>
          <w:rFonts w:ascii="Times New Roman" w:eastAsia="Calibri" w:hAnsi="Times New Roman" w:cs="Times New Roman"/>
          <w:sz w:val="24"/>
          <w:szCs w:val="24"/>
        </w:rPr>
      </w:pPr>
      <w:r w:rsidRPr="004B6747">
        <w:rPr>
          <w:rFonts w:ascii="Times New Roman" w:eastAsia="Calibri" w:hAnsi="Times New Roman" w:cs="Times New Roman"/>
          <w:b/>
          <w:sz w:val="24"/>
          <w:szCs w:val="24"/>
        </w:rPr>
        <w:t>PROCEDURE</w:t>
      </w:r>
    </w:p>
    <w:p w14:paraId="32AEDA4F" w14:textId="77777777" w:rsidR="00367F96" w:rsidRPr="004B6747" w:rsidRDefault="00367F96" w:rsidP="00367F96">
      <w:pPr>
        <w:spacing w:line="360" w:lineRule="auto"/>
        <w:jc w:val="both"/>
        <w:rPr>
          <w:rFonts w:ascii="Times New Roman" w:eastAsia="Calibri" w:hAnsi="Times New Roman" w:cs="Times New Roman"/>
          <w:sz w:val="24"/>
          <w:szCs w:val="24"/>
        </w:rPr>
      </w:pPr>
      <w:r w:rsidRPr="004B6747">
        <w:rPr>
          <w:rFonts w:ascii="Times New Roman" w:eastAsia="Calibri" w:hAnsi="Times New Roman" w:cs="Times New Roman"/>
          <w:sz w:val="24"/>
          <w:szCs w:val="24"/>
        </w:rPr>
        <w:tab/>
        <w:t xml:space="preserve">Weighed quantities of </w:t>
      </w:r>
      <w:proofErr w:type="spellStart"/>
      <w:r w:rsidRPr="004B6747">
        <w:rPr>
          <w:rFonts w:ascii="Times New Roman" w:eastAsia="Calibri" w:hAnsi="Times New Roman" w:cs="Times New Roman"/>
          <w:sz w:val="24"/>
          <w:szCs w:val="24"/>
        </w:rPr>
        <w:t>Ofloxacin</w:t>
      </w:r>
      <w:proofErr w:type="spellEnd"/>
      <w:r w:rsidRPr="004B6747">
        <w:rPr>
          <w:rFonts w:ascii="Times New Roman" w:eastAsia="Calibri" w:hAnsi="Times New Roman" w:cs="Times New Roman"/>
          <w:sz w:val="24"/>
          <w:szCs w:val="24"/>
        </w:rPr>
        <w:t xml:space="preserve">, Mannitol, </w:t>
      </w:r>
      <w:proofErr w:type="spellStart"/>
      <w:r w:rsidRPr="004B6747">
        <w:rPr>
          <w:rFonts w:ascii="Times New Roman" w:eastAsia="Calibri" w:hAnsi="Times New Roman" w:cs="Times New Roman"/>
          <w:sz w:val="24"/>
          <w:szCs w:val="24"/>
        </w:rPr>
        <w:t>Avicel</w:t>
      </w:r>
      <w:proofErr w:type="spellEnd"/>
      <w:r w:rsidRPr="004B6747">
        <w:rPr>
          <w:rFonts w:ascii="Times New Roman" w:eastAsia="Calibri" w:hAnsi="Times New Roman" w:cs="Times New Roman"/>
          <w:sz w:val="24"/>
          <w:szCs w:val="24"/>
        </w:rPr>
        <w:t xml:space="preserve"> PH-101, and SSG were added in geometric proportion and uniformly blended. This uniformly blended mixture was passed through a sieve. To this mixture </w:t>
      </w:r>
      <w:proofErr w:type="spellStart"/>
      <w:r w:rsidRPr="004B6747">
        <w:rPr>
          <w:rFonts w:ascii="Times New Roman" w:eastAsia="Calibri" w:hAnsi="Times New Roman" w:cs="Times New Roman"/>
          <w:sz w:val="24"/>
          <w:szCs w:val="24"/>
        </w:rPr>
        <w:t>Glidant</w:t>
      </w:r>
      <w:proofErr w:type="spellEnd"/>
      <w:r w:rsidRPr="004B6747">
        <w:rPr>
          <w:rFonts w:ascii="Times New Roman" w:eastAsia="Calibri" w:hAnsi="Times New Roman" w:cs="Times New Roman"/>
          <w:sz w:val="24"/>
          <w:szCs w:val="24"/>
        </w:rPr>
        <w:t xml:space="preserve"> and </w:t>
      </w:r>
      <w:r w:rsidR="00872305" w:rsidRPr="004B6747">
        <w:rPr>
          <w:rFonts w:ascii="Times New Roman" w:eastAsia="Calibri" w:hAnsi="Times New Roman" w:cs="Times New Roman"/>
          <w:sz w:val="24"/>
          <w:szCs w:val="24"/>
        </w:rPr>
        <w:t>Mg. Stearate</w:t>
      </w:r>
      <w:r w:rsidRPr="004B6747">
        <w:rPr>
          <w:rFonts w:ascii="Times New Roman" w:eastAsia="Calibri" w:hAnsi="Times New Roman" w:cs="Times New Roman"/>
          <w:sz w:val="24"/>
          <w:szCs w:val="24"/>
        </w:rPr>
        <w:t xml:space="preserve"> were added and gently mixed for 5-10 minutes in a polyethylene bag. The hardness was adjusted in between 2-3 kg and then the tablets were compressed by direct compression method.</w:t>
      </w:r>
    </w:p>
    <w:p w14:paraId="78F9D294" w14:textId="77777777" w:rsidR="00367F96" w:rsidRPr="004B6747" w:rsidRDefault="00367F96" w:rsidP="00367F96">
      <w:pPr>
        <w:spacing w:line="360" w:lineRule="auto"/>
        <w:jc w:val="both"/>
        <w:rPr>
          <w:rFonts w:ascii="Times New Roman" w:eastAsia="Calibri" w:hAnsi="Times New Roman" w:cs="Times New Roman"/>
          <w:sz w:val="24"/>
          <w:szCs w:val="24"/>
        </w:rPr>
      </w:pPr>
      <w:r w:rsidRPr="004B6747">
        <w:rPr>
          <w:rFonts w:ascii="Times New Roman" w:eastAsia="Calibri" w:hAnsi="Times New Roman" w:cs="Times New Roman"/>
          <w:sz w:val="24"/>
          <w:szCs w:val="24"/>
        </w:rPr>
        <w:t>The working formula for one tablet is</w:t>
      </w:r>
    </w:p>
    <w:p w14:paraId="231060DB" w14:textId="0AA94B77" w:rsidR="00367F96" w:rsidRPr="00534D23" w:rsidRDefault="00367F96" w:rsidP="00534D23">
      <w:pPr>
        <w:pStyle w:val="Subtitle"/>
        <w:jc w:val="center"/>
        <w:rPr>
          <w:rFonts w:ascii="Times New Roman" w:eastAsia="Calibri" w:hAnsi="Times New Roman" w:cs="Times New Roman"/>
          <w:color w:val="auto"/>
        </w:rPr>
      </w:pPr>
      <w:r w:rsidRPr="00534D23">
        <w:rPr>
          <w:rFonts w:ascii="Times New Roman" w:eastAsia="Calibri" w:hAnsi="Times New Roman" w:cs="Times New Roman"/>
          <w:color w:val="auto"/>
        </w:rPr>
        <w:t>Paracetamol</w:t>
      </w:r>
      <w:r w:rsidR="00534D23">
        <w:rPr>
          <w:rFonts w:ascii="Times New Roman" w:eastAsia="Calibri" w:hAnsi="Times New Roman" w:cs="Times New Roman"/>
          <w:color w:val="auto"/>
        </w:rPr>
        <w:t xml:space="preserve">       </w:t>
      </w:r>
      <w:r w:rsidRPr="00534D23">
        <w:rPr>
          <w:rFonts w:ascii="Times New Roman" w:eastAsia="Calibri" w:hAnsi="Times New Roman" w:cs="Times New Roman"/>
          <w:color w:val="auto"/>
        </w:rPr>
        <w:t>: 30 mg</w:t>
      </w:r>
    </w:p>
    <w:p w14:paraId="46606EC6" w14:textId="2803C0F8" w:rsidR="00367F96" w:rsidRPr="00534D23" w:rsidRDefault="00534D23" w:rsidP="00534D23">
      <w:pPr>
        <w:pStyle w:val="Subtitle"/>
        <w:jc w:val="center"/>
        <w:rPr>
          <w:rFonts w:ascii="Times New Roman" w:eastAsia="Calibri" w:hAnsi="Times New Roman" w:cs="Times New Roman"/>
          <w:color w:val="auto"/>
        </w:rPr>
      </w:pPr>
      <w:r>
        <w:rPr>
          <w:rFonts w:ascii="Times New Roman" w:eastAsia="Calibri" w:hAnsi="Times New Roman" w:cs="Times New Roman"/>
          <w:color w:val="auto"/>
        </w:rPr>
        <w:t xml:space="preserve">Mannitol        </w:t>
      </w:r>
      <w:r w:rsidR="00367F96" w:rsidRPr="00534D23">
        <w:rPr>
          <w:rFonts w:ascii="Times New Roman" w:eastAsia="Calibri" w:hAnsi="Times New Roman" w:cs="Times New Roman"/>
          <w:color w:val="auto"/>
        </w:rPr>
        <w:t>: 144.75 mg</w:t>
      </w:r>
    </w:p>
    <w:p w14:paraId="7C868B20" w14:textId="0504E54D" w:rsidR="00367F96" w:rsidRPr="00534D23" w:rsidRDefault="00367F96" w:rsidP="00534D23">
      <w:pPr>
        <w:pStyle w:val="Subtitle"/>
        <w:jc w:val="center"/>
        <w:rPr>
          <w:rFonts w:ascii="Times New Roman" w:eastAsia="Calibri" w:hAnsi="Times New Roman" w:cs="Times New Roman"/>
          <w:color w:val="auto"/>
        </w:rPr>
      </w:pPr>
      <w:proofErr w:type="spellStart"/>
      <w:r w:rsidRPr="00534D23">
        <w:rPr>
          <w:rFonts w:ascii="Times New Roman" w:eastAsia="Calibri" w:hAnsi="Times New Roman" w:cs="Times New Roman"/>
          <w:color w:val="auto"/>
        </w:rPr>
        <w:t>Avicel</w:t>
      </w:r>
      <w:proofErr w:type="spellEnd"/>
      <w:r w:rsidRPr="00534D23">
        <w:rPr>
          <w:rFonts w:ascii="Times New Roman" w:eastAsia="Calibri" w:hAnsi="Times New Roman" w:cs="Times New Roman"/>
          <w:color w:val="auto"/>
        </w:rPr>
        <w:t xml:space="preserve"> pH </w:t>
      </w:r>
      <w:proofErr w:type="gramStart"/>
      <w:r w:rsidRPr="00534D23">
        <w:rPr>
          <w:rFonts w:ascii="Times New Roman" w:eastAsia="Calibri" w:hAnsi="Times New Roman" w:cs="Times New Roman"/>
          <w:color w:val="auto"/>
        </w:rPr>
        <w:t>101</w:t>
      </w:r>
      <w:r w:rsidR="00534D23">
        <w:rPr>
          <w:rFonts w:ascii="Times New Roman" w:eastAsia="Calibri" w:hAnsi="Times New Roman" w:cs="Times New Roman"/>
          <w:color w:val="auto"/>
        </w:rPr>
        <w:t xml:space="preserve">  </w:t>
      </w:r>
      <w:r w:rsidRPr="00534D23">
        <w:rPr>
          <w:rFonts w:ascii="Times New Roman" w:eastAsia="Calibri" w:hAnsi="Times New Roman" w:cs="Times New Roman"/>
          <w:color w:val="auto"/>
        </w:rPr>
        <w:t>:</w:t>
      </w:r>
      <w:proofErr w:type="gramEnd"/>
      <w:r w:rsidRPr="00534D23">
        <w:rPr>
          <w:rFonts w:ascii="Times New Roman" w:eastAsia="Calibri" w:hAnsi="Times New Roman" w:cs="Times New Roman"/>
          <w:color w:val="auto"/>
        </w:rPr>
        <w:t xml:space="preserve"> 162.75 mg</w:t>
      </w:r>
    </w:p>
    <w:p w14:paraId="50944BBA" w14:textId="77777777" w:rsidR="00367F96" w:rsidRPr="00534D23" w:rsidRDefault="00367F96" w:rsidP="00534D23">
      <w:pPr>
        <w:pStyle w:val="Subtitle"/>
        <w:jc w:val="center"/>
        <w:rPr>
          <w:rFonts w:ascii="Times New Roman" w:eastAsia="Calibri" w:hAnsi="Times New Roman" w:cs="Times New Roman"/>
          <w:color w:val="auto"/>
        </w:rPr>
      </w:pPr>
      <w:r w:rsidRPr="00534D23">
        <w:rPr>
          <w:rFonts w:ascii="Times New Roman" w:eastAsia="Calibri" w:hAnsi="Times New Roman" w:cs="Times New Roman"/>
          <w:color w:val="auto"/>
        </w:rPr>
        <w:t>SSG</w:t>
      </w:r>
      <w:r w:rsidRPr="00534D23">
        <w:rPr>
          <w:rFonts w:ascii="Times New Roman" w:eastAsia="Calibri" w:hAnsi="Times New Roman" w:cs="Times New Roman"/>
          <w:color w:val="auto"/>
        </w:rPr>
        <w:tab/>
      </w:r>
      <w:r w:rsidRPr="00534D23">
        <w:rPr>
          <w:rFonts w:ascii="Times New Roman" w:eastAsia="Calibri" w:hAnsi="Times New Roman" w:cs="Times New Roman"/>
          <w:color w:val="auto"/>
        </w:rPr>
        <w:tab/>
        <w:t>: 18 mg</w:t>
      </w:r>
    </w:p>
    <w:p w14:paraId="6429F735" w14:textId="77777777" w:rsidR="00367F96" w:rsidRPr="00534D23" w:rsidRDefault="00367F96" w:rsidP="00534D23">
      <w:pPr>
        <w:pStyle w:val="Subtitle"/>
        <w:jc w:val="center"/>
        <w:rPr>
          <w:rFonts w:ascii="Times New Roman" w:eastAsia="Calibri" w:hAnsi="Times New Roman" w:cs="Times New Roman"/>
          <w:color w:val="auto"/>
        </w:rPr>
      </w:pPr>
      <w:r w:rsidRPr="00534D23">
        <w:rPr>
          <w:rFonts w:ascii="Times New Roman" w:eastAsia="Calibri" w:hAnsi="Times New Roman" w:cs="Times New Roman"/>
          <w:color w:val="auto"/>
        </w:rPr>
        <w:t>Talc</w:t>
      </w:r>
      <w:r w:rsidRPr="00534D23">
        <w:rPr>
          <w:rFonts w:ascii="Times New Roman" w:eastAsia="Calibri" w:hAnsi="Times New Roman" w:cs="Times New Roman"/>
          <w:color w:val="auto"/>
        </w:rPr>
        <w:tab/>
      </w:r>
      <w:r w:rsidRPr="00534D23">
        <w:rPr>
          <w:rFonts w:ascii="Times New Roman" w:eastAsia="Calibri" w:hAnsi="Times New Roman" w:cs="Times New Roman"/>
          <w:color w:val="auto"/>
        </w:rPr>
        <w:tab/>
        <w:t>: 3 mg</w:t>
      </w:r>
    </w:p>
    <w:p w14:paraId="1554C481" w14:textId="77777777" w:rsidR="00534D23" w:rsidRDefault="00534D23" w:rsidP="00367F96">
      <w:pPr>
        <w:spacing w:line="360" w:lineRule="auto"/>
        <w:jc w:val="both"/>
        <w:rPr>
          <w:rFonts w:ascii="Times New Roman" w:eastAsia="Calibri" w:hAnsi="Times New Roman" w:cs="Times New Roman"/>
          <w:b/>
          <w:sz w:val="24"/>
          <w:szCs w:val="24"/>
        </w:rPr>
      </w:pPr>
    </w:p>
    <w:p w14:paraId="38FDA7E3" w14:textId="77777777" w:rsidR="00367F96" w:rsidRPr="004B6747" w:rsidRDefault="00367F96" w:rsidP="00367F96">
      <w:pPr>
        <w:spacing w:line="360" w:lineRule="auto"/>
        <w:jc w:val="both"/>
        <w:rPr>
          <w:rFonts w:ascii="Times New Roman" w:eastAsia="Calibri" w:hAnsi="Times New Roman" w:cs="Times New Roman"/>
          <w:b/>
          <w:sz w:val="24"/>
          <w:szCs w:val="24"/>
        </w:rPr>
      </w:pPr>
      <w:r w:rsidRPr="004B6747">
        <w:rPr>
          <w:rFonts w:ascii="Times New Roman" w:eastAsia="Calibri" w:hAnsi="Times New Roman" w:cs="Times New Roman"/>
          <w:b/>
          <w:sz w:val="24"/>
          <w:szCs w:val="24"/>
        </w:rPr>
        <w:lastRenderedPageBreak/>
        <w:t>EVALUATION OF BLEND</w:t>
      </w:r>
    </w:p>
    <w:p w14:paraId="761E7E10" w14:textId="77777777" w:rsidR="00367F96" w:rsidRPr="00961937" w:rsidRDefault="00367F96" w:rsidP="00367F96">
      <w:pPr>
        <w:numPr>
          <w:ilvl w:val="0"/>
          <w:numId w:val="4"/>
        </w:numPr>
        <w:spacing w:line="360" w:lineRule="auto"/>
        <w:contextualSpacing/>
        <w:rPr>
          <w:rFonts w:ascii="Times New Roman" w:eastAsia="Calibri" w:hAnsi="Times New Roman" w:cs="Times New Roman"/>
          <w:b/>
          <w:sz w:val="24"/>
          <w:szCs w:val="24"/>
        </w:rPr>
      </w:pPr>
      <w:r w:rsidRPr="00961937">
        <w:rPr>
          <w:rFonts w:ascii="Times New Roman" w:eastAsia="Calibri" w:hAnsi="Times New Roman" w:cs="Times New Roman"/>
          <w:b/>
          <w:sz w:val="24"/>
          <w:szCs w:val="24"/>
        </w:rPr>
        <w:t>Angle of Repose</w:t>
      </w:r>
    </w:p>
    <w:p w14:paraId="0AD71A69" w14:textId="77777777" w:rsidR="00367F96" w:rsidRPr="004B6747" w:rsidRDefault="00367F96" w:rsidP="00367F96">
      <w:pPr>
        <w:spacing w:line="360" w:lineRule="auto"/>
        <w:jc w:val="both"/>
        <w:rPr>
          <w:rFonts w:ascii="Times New Roman" w:eastAsia="Calibri" w:hAnsi="Times New Roman" w:cs="Times New Roman"/>
          <w:sz w:val="24"/>
          <w:szCs w:val="24"/>
        </w:rPr>
      </w:pPr>
      <w:r w:rsidRPr="004B6747">
        <w:rPr>
          <w:rFonts w:ascii="Times New Roman" w:eastAsia="Calibri" w:hAnsi="Times New Roman" w:cs="Times New Roman"/>
          <w:sz w:val="24"/>
          <w:szCs w:val="24"/>
        </w:rPr>
        <w:tab/>
        <w:t xml:space="preserve"> The angle of repose was determined by funnel method. The accurately weighed blend was taken in a funnel. The height of the funnel was adjusted in such a way that the tip of the funnel just touches the apex of the heap of the blend. The drug excipient blend was allowed to flow freely on to the surface. The angle of repose was calculated by using following equation.</w:t>
      </w:r>
    </w:p>
    <w:p w14:paraId="791CE583" w14:textId="77777777" w:rsidR="00367F96" w:rsidRPr="004B6747" w:rsidRDefault="00367F96" w:rsidP="00367F96">
      <w:pPr>
        <w:spacing w:line="360" w:lineRule="auto"/>
        <w:jc w:val="center"/>
        <w:rPr>
          <w:rFonts w:ascii="Times New Roman" w:eastAsia="Calibri" w:hAnsi="Times New Roman" w:cs="Times New Roman"/>
          <w:sz w:val="24"/>
          <w:szCs w:val="24"/>
        </w:rPr>
      </w:pPr>
      <w:r w:rsidRPr="004B6747">
        <w:rPr>
          <w:rFonts w:ascii="Times New Roman" w:eastAsia="Calibri" w:hAnsi="Times New Roman" w:cs="Times New Roman"/>
          <w:sz w:val="24"/>
          <w:szCs w:val="24"/>
        </w:rPr>
        <w:t>Tan ø = h/r</w:t>
      </w:r>
    </w:p>
    <w:p w14:paraId="649DDBB5" w14:textId="77777777" w:rsidR="00367F96" w:rsidRPr="004B6747" w:rsidRDefault="00367F96" w:rsidP="00367F96">
      <w:pPr>
        <w:spacing w:line="360" w:lineRule="auto"/>
        <w:jc w:val="center"/>
        <w:rPr>
          <w:rFonts w:ascii="Times New Roman" w:eastAsia="Calibri" w:hAnsi="Times New Roman" w:cs="Times New Roman"/>
          <w:sz w:val="24"/>
          <w:szCs w:val="24"/>
        </w:rPr>
      </w:pPr>
      <w:r w:rsidRPr="004B6747">
        <w:rPr>
          <w:rFonts w:ascii="Times New Roman" w:eastAsia="Calibri" w:hAnsi="Times New Roman" w:cs="Times New Roman"/>
          <w:sz w:val="24"/>
          <w:szCs w:val="24"/>
        </w:rPr>
        <w:t>Where h = height of the powder pile.</w:t>
      </w:r>
    </w:p>
    <w:p w14:paraId="1702982E" w14:textId="77777777" w:rsidR="00367F96" w:rsidRPr="004B6747" w:rsidRDefault="00367F96" w:rsidP="00367F96">
      <w:pPr>
        <w:spacing w:line="360" w:lineRule="auto"/>
        <w:jc w:val="center"/>
        <w:rPr>
          <w:rFonts w:ascii="Times New Roman" w:eastAsia="Calibri" w:hAnsi="Times New Roman" w:cs="Times New Roman"/>
          <w:sz w:val="24"/>
          <w:szCs w:val="24"/>
        </w:rPr>
      </w:pPr>
      <w:r w:rsidRPr="004B6747">
        <w:rPr>
          <w:rFonts w:ascii="Times New Roman" w:eastAsia="Calibri" w:hAnsi="Times New Roman" w:cs="Times New Roman"/>
          <w:sz w:val="24"/>
          <w:szCs w:val="24"/>
        </w:rPr>
        <w:t>r = radius of the powder pile.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6"/>
        <w:gridCol w:w="1196"/>
      </w:tblGrid>
      <w:tr w:rsidR="00367F96" w:rsidRPr="004B6747" w14:paraId="2739D0BF" w14:textId="77777777" w:rsidTr="00482E0B">
        <w:trPr>
          <w:trHeight w:val="395"/>
          <w:jc w:val="center"/>
        </w:trPr>
        <w:tc>
          <w:tcPr>
            <w:tcW w:w="0" w:type="auto"/>
          </w:tcPr>
          <w:p w14:paraId="5994E5FD" w14:textId="77777777" w:rsidR="00367F96" w:rsidRPr="00961937" w:rsidRDefault="00367F96" w:rsidP="00482E0B">
            <w:pPr>
              <w:spacing w:before="100" w:beforeAutospacing="1" w:after="100" w:afterAutospacing="1" w:line="240" w:lineRule="auto"/>
              <w:jc w:val="center"/>
              <w:rPr>
                <w:rFonts w:ascii="Times New Roman" w:eastAsia="Times New Roman" w:hAnsi="Times New Roman" w:cs="Times New Roman"/>
                <w:b/>
                <w:bCs/>
                <w:sz w:val="24"/>
                <w:szCs w:val="24"/>
              </w:rPr>
            </w:pPr>
            <w:r w:rsidRPr="00961937">
              <w:rPr>
                <w:rFonts w:ascii="Times New Roman" w:eastAsia="Times New Roman" w:hAnsi="Times New Roman" w:cs="Times New Roman"/>
                <w:b/>
                <w:bCs/>
                <w:sz w:val="24"/>
                <w:szCs w:val="24"/>
              </w:rPr>
              <w:t>ANGLE OF REPOSE(θ) DEGREES</w:t>
            </w:r>
          </w:p>
        </w:tc>
        <w:tc>
          <w:tcPr>
            <w:tcW w:w="0" w:type="auto"/>
          </w:tcPr>
          <w:p w14:paraId="40480D7A" w14:textId="77777777" w:rsidR="00367F96" w:rsidRPr="00961937" w:rsidRDefault="00367F96" w:rsidP="00482E0B">
            <w:pPr>
              <w:spacing w:before="100" w:beforeAutospacing="1" w:after="100" w:afterAutospacing="1" w:line="240" w:lineRule="auto"/>
              <w:jc w:val="center"/>
              <w:rPr>
                <w:rFonts w:ascii="Times New Roman" w:eastAsia="Times New Roman" w:hAnsi="Times New Roman" w:cs="Times New Roman"/>
                <w:b/>
                <w:bCs/>
                <w:sz w:val="24"/>
                <w:szCs w:val="24"/>
              </w:rPr>
            </w:pPr>
            <w:r w:rsidRPr="00961937">
              <w:rPr>
                <w:rFonts w:ascii="Times New Roman" w:eastAsia="Times New Roman" w:hAnsi="Times New Roman" w:cs="Times New Roman"/>
                <w:b/>
                <w:bCs/>
                <w:sz w:val="24"/>
                <w:szCs w:val="24"/>
              </w:rPr>
              <w:t>FLOW</w:t>
            </w:r>
          </w:p>
        </w:tc>
      </w:tr>
      <w:tr w:rsidR="00367F96" w:rsidRPr="004B6747" w14:paraId="11E1FF5F" w14:textId="77777777" w:rsidTr="00482E0B">
        <w:trPr>
          <w:trHeight w:val="395"/>
          <w:jc w:val="center"/>
        </w:trPr>
        <w:tc>
          <w:tcPr>
            <w:tcW w:w="0" w:type="auto"/>
          </w:tcPr>
          <w:p w14:paraId="7009F78A" w14:textId="77777777" w:rsidR="00367F96" w:rsidRPr="004B6747" w:rsidRDefault="00367F96" w:rsidP="00482E0B">
            <w:pPr>
              <w:spacing w:before="100" w:beforeAutospacing="1" w:after="100" w:afterAutospacing="1" w:line="240" w:lineRule="auto"/>
              <w:jc w:val="center"/>
              <w:rPr>
                <w:rFonts w:ascii="Times New Roman" w:eastAsia="Times New Roman" w:hAnsi="Times New Roman" w:cs="Times New Roman"/>
                <w:bCs/>
                <w:sz w:val="24"/>
                <w:szCs w:val="24"/>
              </w:rPr>
            </w:pPr>
            <w:r w:rsidRPr="004B6747">
              <w:rPr>
                <w:rFonts w:ascii="Times New Roman" w:eastAsia="Times New Roman" w:hAnsi="Times New Roman" w:cs="Times New Roman"/>
                <w:bCs/>
                <w:sz w:val="24"/>
                <w:szCs w:val="24"/>
              </w:rPr>
              <w:t>&lt;25</w:t>
            </w:r>
          </w:p>
        </w:tc>
        <w:tc>
          <w:tcPr>
            <w:tcW w:w="0" w:type="auto"/>
          </w:tcPr>
          <w:p w14:paraId="496A6643" w14:textId="77777777" w:rsidR="00367F96" w:rsidRPr="004B6747" w:rsidRDefault="00367F96" w:rsidP="00482E0B">
            <w:pPr>
              <w:spacing w:before="100" w:beforeAutospacing="1" w:after="100" w:afterAutospacing="1" w:line="240" w:lineRule="auto"/>
              <w:jc w:val="center"/>
              <w:rPr>
                <w:rFonts w:ascii="Times New Roman" w:eastAsia="Times New Roman" w:hAnsi="Times New Roman" w:cs="Times New Roman"/>
                <w:bCs/>
                <w:sz w:val="24"/>
                <w:szCs w:val="24"/>
              </w:rPr>
            </w:pPr>
            <w:r w:rsidRPr="004B6747">
              <w:rPr>
                <w:rFonts w:ascii="Times New Roman" w:eastAsia="Times New Roman" w:hAnsi="Times New Roman" w:cs="Times New Roman"/>
                <w:bCs/>
                <w:sz w:val="24"/>
                <w:szCs w:val="24"/>
              </w:rPr>
              <w:t>Excellent</w:t>
            </w:r>
          </w:p>
        </w:tc>
      </w:tr>
      <w:tr w:rsidR="00367F96" w:rsidRPr="004B6747" w14:paraId="3D2C0A30" w14:textId="77777777" w:rsidTr="00482E0B">
        <w:trPr>
          <w:trHeight w:val="395"/>
          <w:jc w:val="center"/>
        </w:trPr>
        <w:tc>
          <w:tcPr>
            <w:tcW w:w="0" w:type="auto"/>
          </w:tcPr>
          <w:p w14:paraId="260E89A0" w14:textId="77777777" w:rsidR="00367F96" w:rsidRPr="004B6747" w:rsidRDefault="00367F96" w:rsidP="00482E0B">
            <w:pPr>
              <w:spacing w:before="100" w:beforeAutospacing="1" w:after="100" w:afterAutospacing="1" w:line="240" w:lineRule="auto"/>
              <w:jc w:val="center"/>
              <w:rPr>
                <w:rFonts w:ascii="Times New Roman" w:eastAsia="Times New Roman" w:hAnsi="Times New Roman" w:cs="Times New Roman"/>
                <w:bCs/>
                <w:sz w:val="24"/>
                <w:szCs w:val="24"/>
              </w:rPr>
            </w:pPr>
            <w:r w:rsidRPr="004B6747">
              <w:rPr>
                <w:rFonts w:ascii="Times New Roman" w:eastAsia="Times New Roman" w:hAnsi="Times New Roman" w:cs="Times New Roman"/>
                <w:bCs/>
                <w:sz w:val="24"/>
                <w:szCs w:val="24"/>
              </w:rPr>
              <w:t>25-30</w:t>
            </w:r>
          </w:p>
        </w:tc>
        <w:tc>
          <w:tcPr>
            <w:tcW w:w="0" w:type="auto"/>
          </w:tcPr>
          <w:p w14:paraId="16C275C0" w14:textId="77777777" w:rsidR="00367F96" w:rsidRPr="004B6747" w:rsidRDefault="00367F96" w:rsidP="00482E0B">
            <w:pPr>
              <w:spacing w:before="100" w:beforeAutospacing="1" w:after="100" w:afterAutospacing="1" w:line="240" w:lineRule="auto"/>
              <w:jc w:val="center"/>
              <w:rPr>
                <w:rFonts w:ascii="Times New Roman" w:eastAsia="Times New Roman" w:hAnsi="Times New Roman" w:cs="Times New Roman"/>
                <w:bCs/>
                <w:sz w:val="24"/>
                <w:szCs w:val="24"/>
              </w:rPr>
            </w:pPr>
            <w:r w:rsidRPr="004B6747">
              <w:rPr>
                <w:rFonts w:ascii="Times New Roman" w:eastAsia="Times New Roman" w:hAnsi="Times New Roman" w:cs="Times New Roman"/>
                <w:bCs/>
                <w:sz w:val="24"/>
                <w:szCs w:val="24"/>
              </w:rPr>
              <w:t>Good</w:t>
            </w:r>
          </w:p>
        </w:tc>
      </w:tr>
      <w:tr w:rsidR="00367F96" w:rsidRPr="004B6747" w14:paraId="17D329ED" w14:textId="77777777" w:rsidTr="00482E0B">
        <w:trPr>
          <w:trHeight w:val="384"/>
          <w:jc w:val="center"/>
        </w:trPr>
        <w:tc>
          <w:tcPr>
            <w:tcW w:w="0" w:type="auto"/>
          </w:tcPr>
          <w:p w14:paraId="5D8F9932" w14:textId="77777777" w:rsidR="00367F96" w:rsidRPr="004B6747" w:rsidRDefault="00367F96" w:rsidP="00482E0B">
            <w:pPr>
              <w:spacing w:before="100" w:beforeAutospacing="1" w:after="100" w:afterAutospacing="1" w:line="240" w:lineRule="auto"/>
              <w:jc w:val="center"/>
              <w:rPr>
                <w:rFonts w:ascii="Times New Roman" w:eastAsia="Times New Roman" w:hAnsi="Times New Roman" w:cs="Times New Roman"/>
                <w:bCs/>
                <w:sz w:val="24"/>
                <w:szCs w:val="24"/>
              </w:rPr>
            </w:pPr>
            <w:r w:rsidRPr="004B6747">
              <w:rPr>
                <w:rFonts w:ascii="Times New Roman" w:eastAsia="Times New Roman" w:hAnsi="Times New Roman" w:cs="Times New Roman"/>
                <w:bCs/>
                <w:sz w:val="24"/>
                <w:szCs w:val="24"/>
              </w:rPr>
              <w:t>30-40</w:t>
            </w:r>
          </w:p>
        </w:tc>
        <w:tc>
          <w:tcPr>
            <w:tcW w:w="0" w:type="auto"/>
          </w:tcPr>
          <w:p w14:paraId="68F4F11F" w14:textId="77777777" w:rsidR="00367F96" w:rsidRPr="004B6747" w:rsidRDefault="00367F96" w:rsidP="00482E0B">
            <w:pPr>
              <w:spacing w:before="100" w:beforeAutospacing="1" w:after="100" w:afterAutospacing="1" w:line="240" w:lineRule="auto"/>
              <w:jc w:val="center"/>
              <w:rPr>
                <w:rFonts w:ascii="Times New Roman" w:eastAsia="Times New Roman" w:hAnsi="Times New Roman" w:cs="Times New Roman"/>
                <w:bCs/>
                <w:sz w:val="24"/>
                <w:szCs w:val="24"/>
              </w:rPr>
            </w:pPr>
            <w:r w:rsidRPr="004B6747">
              <w:rPr>
                <w:rFonts w:ascii="Times New Roman" w:eastAsia="Times New Roman" w:hAnsi="Times New Roman" w:cs="Times New Roman"/>
                <w:bCs/>
                <w:sz w:val="24"/>
                <w:szCs w:val="24"/>
              </w:rPr>
              <w:t>Passable</w:t>
            </w:r>
          </w:p>
        </w:tc>
      </w:tr>
      <w:tr w:rsidR="00367F96" w:rsidRPr="004B6747" w14:paraId="00D378D0" w14:textId="77777777" w:rsidTr="00482E0B">
        <w:trPr>
          <w:trHeight w:val="406"/>
          <w:jc w:val="center"/>
        </w:trPr>
        <w:tc>
          <w:tcPr>
            <w:tcW w:w="0" w:type="auto"/>
          </w:tcPr>
          <w:p w14:paraId="1AFC1FA6" w14:textId="77777777" w:rsidR="00367F96" w:rsidRPr="004B6747" w:rsidRDefault="00367F96" w:rsidP="00482E0B">
            <w:pPr>
              <w:spacing w:before="100" w:beforeAutospacing="1" w:after="100" w:afterAutospacing="1" w:line="240" w:lineRule="auto"/>
              <w:jc w:val="center"/>
              <w:rPr>
                <w:rFonts w:ascii="Times New Roman" w:eastAsia="Times New Roman" w:hAnsi="Times New Roman" w:cs="Times New Roman"/>
                <w:bCs/>
                <w:sz w:val="24"/>
                <w:szCs w:val="24"/>
              </w:rPr>
            </w:pPr>
            <w:r w:rsidRPr="004B6747">
              <w:rPr>
                <w:rFonts w:ascii="Times New Roman" w:eastAsia="Times New Roman" w:hAnsi="Times New Roman" w:cs="Times New Roman"/>
                <w:bCs/>
                <w:sz w:val="24"/>
                <w:szCs w:val="24"/>
              </w:rPr>
              <w:t>&gt;40</w:t>
            </w:r>
          </w:p>
        </w:tc>
        <w:tc>
          <w:tcPr>
            <w:tcW w:w="0" w:type="auto"/>
          </w:tcPr>
          <w:p w14:paraId="5556DFC5" w14:textId="77777777" w:rsidR="00367F96" w:rsidRPr="004B6747" w:rsidRDefault="00367F96" w:rsidP="00482E0B">
            <w:pPr>
              <w:spacing w:before="100" w:beforeAutospacing="1" w:after="100" w:afterAutospacing="1" w:line="240" w:lineRule="auto"/>
              <w:jc w:val="center"/>
              <w:rPr>
                <w:rFonts w:ascii="Times New Roman" w:eastAsia="Times New Roman" w:hAnsi="Times New Roman" w:cs="Times New Roman"/>
                <w:bCs/>
                <w:sz w:val="24"/>
                <w:szCs w:val="24"/>
              </w:rPr>
            </w:pPr>
            <w:r w:rsidRPr="004B6747">
              <w:rPr>
                <w:rFonts w:ascii="Times New Roman" w:eastAsia="Times New Roman" w:hAnsi="Times New Roman" w:cs="Times New Roman"/>
                <w:bCs/>
                <w:sz w:val="24"/>
                <w:szCs w:val="24"/>
              </w:rPr>
              <w:t>Very poor</w:t>
            </w:r>
          </w:p>
        </w:tc>
      </w:tr>
    </w:tbl>
    <w:p w14:paraId="4BCE7AC9" w14:textId="77777777" w:rsidR="00367F96" w:rsidRPr="00961937" w:rsidRDefault="00367F96" w:rsidP="00367F96">
      <w:pPr>
        <w:numPr>
          <w:ilvl w:val="0"/>
          <w:numId w:val="4"/>
        </w:numPr>
        <w:spacing w:line="360" w:lineRule="auto"/>
        <w:contextualSpacing/>
        <w:rPr>
          <w:rFonts w:ascii="Times New Roman" w:eastAsia="Calibri" w:hAnsi="Times New Roman" w:cs="Times New Roman"/>
          <w:b/>
          <w:bCs/>
          <w:sz w:val="24"/>
          <w:szCs w:val="24"/>
        </w:rPr>
      </w:pPr>
      <w:proofErr w:type="spellStart"/>
      <w:r w:rsidRPr="00961937">
        <w:rPr>
          <w:rFonts w:ascii="Times New Roman" w:eastAsia="Calibri" w:hAnsi="Times New Roman" w:cs="Times New Roman"/>
          <w:b/>
          <w:bCs/>
          <w:sz w:val="24"/>
          <w:szCs w:val="24"/>
        </w:rPr>
        <w:t>Carr’s</w:t>
      </w:r>
      <w:proofErr w:type="spellEnd"/>
      <w:r w:rsidRPr="00961937">
        <w:rPr>
          <w:rFonts w:ascii="Times New Roman" w:eastAsia="Calibri" w:hAnsi="Times New Roman" w:cs="Times New Roman"/>
          <w:b/>
          <w:bCs/>
          <w:sz w:val="24"/>
          <w:szCs w:val="24"/>
        </w:rPr>
        <w:t xml:space="preserve"> consolidation index</w:t>
      </w:r>
    </w:p>
    <w:p w14:paraId="4B4945D7" w14:textId="77777777" w:rsidR="00367F96" w:rsidRPr="004B6747" w:rsidRDefault="00367F96" w:rsidP="00367F96">
      <w:pPr>
        <w:spacing w:line="36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ab/>
        <w:t>It is defined as</w:t>
      </w:r>
    </w:p>
    <w:p w14:paraId="55091FB9" w14:textId="77777777" w:rsidR="00367F96" w:rsidRPr="004B6747" w:rsidRDefault="00367F96" w:rsidP="00367F96">
      <w:pPr>
        <w:spacing w:line="360" w:lineRule="auto"/>
        <w:jc w:val="center"/>
        <w:rPr>
          <w:rFonts w:ascii="Times New Roman" w:eastAsia="Calibri" w:hAnsi="Times New Roman" w:cs="Times New Roman"/>
          <w:bCs/>
          <w:sz w:val="24"/>
          <w:szCs w:val="24"/>
        </w:rPr>
      </w:pPr>
      <m:oMathPara>
        <m:oMath>
          <m:r>
            <m:rPr>
              <m:sty m:val="p"/>
            </m:rPr>
            <w:rPr>
              <w:rFonts w:ascii="Cambria Math" w:hAnsi="Cambria Math" w:cs="Cambria Math"/>
              <w:sz w:val="24"/>
              <w:szCs w:val="24"/>
            </w:rPr>
            <m:t>consolidation index=</m:t>
          </m:r>
          <m:f>
            <m:fPr>
              <m:ctrlPr>
                <w:rPr>
                  <w:rFonts w:ascii="Cambria Math" w:hAnsi="Cambria Math"/>
                  <w:bCs/>
                  <w:sz w:val="24"/>
                  <w:szCs w:val="24"/>
                </w:rPr>
              </m:ctrlPr>
            </m:fPr>
            <m:num>
              <m:r>
                <m:rPr>
                  <m:sty m:val="p"/>
                </m:rPr>
                <w:rPr>
                  <w:rFonts w:ascii="Cambria Math" w:hAnsi="Cambria Math" w:cs="Cambria Math"/>
                  <w:sz w:val="24"/>
                  <w:szCs w:val="24"/>
                </w:rPr>
                <m:t>tapped density-fluff density</m:t>
              </m:r>
            </m:num>
            <m:den>
              <m:r>
                <m:rPr>
                  <m:sty m:val="p"/>
                </m:rPr>
                <w:rPr>
                  <w:rFonts w:ascii="Cambria Math" w:hAnsi="Cambria Math" w:cs="Cambria Math"/>
                  <w:sz w:val="24"/>
                  <w:szCs w:val="24"/>
                </w:rPr>
                <m:t>tapped density</m:t>
              </m:r>
            </m:den>
          </m:f>
          <m:r>
            <m:rPr>
              <m:sty m:val="p"/>
            </m:rPr>
            <w:rPr>
              <w:rFonts w:ascii="Cambria Math" w:hAnsi="Cambria Math"/>
              <w:sz w:val="24"/>
              <w:szCs w:val="24"/>
            </w:rPr>
            <m:t>×100</m:t>
          </m:r>
        </m:oMath>
      </m:oMathPara>
    </w:p>
    <w:p w14:paraId="5A12D525" w14:textId="77777777" w:rsidR="00367F96" w:rsidRPr="004B6747" w:rsidRDefault="00367F96" w:rsidP="00367F96">
      <w:pPr>
        <w:spacing w:line="360" w:lineRule="auto"/>
        <w:ind w:firstLine="720"/>
        <w:jc w:val="both"/>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This property is also known as compressibility. It is indirectly related to the relative flow rate, cohesiveness and particle size. It is simple, fast and popular method of predicting powder flow characteristics.</w:t>
      </w:r>
    </w:p>
    <w:p w14:paraId="1F87DD96" w14:textId="77777777" w:rsidR="00367F96" w:rsidRPr="004B6747" w:rsidRDefault="00367F96" w:rsidP="00367F96">
      <w:pPr>
        <w:spacing w:line="360" w:lineRule="auto"/>
        <w:jc w:val="both"/>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Fluff density is the ratio of mass of powder to the fluff volume. Fluff volume is the volume occupied by a certain mass, when gently poured into a measuring cylinder.</w:t>
      </w:r>
    </w:p>
    <w:p w14:paraId="3A4C819C" w14:textId="77777777" w:rsidR="00367F96" w:rsidRPr="004B6747" w:rsidRDefault="00367F96" w:rsidP="00367F96">
      <w:pPr>
        <w:spacing w:line="360" w:lineRule="auto"/>
        <w:jc w:val="both"/>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Tapped density is the ratio of mass of powder to the tapped volume. Tapped volume is the volume occupied by the same mass of powder after a standard tapping of a measure.</w:t>
      </w:r>
    </w:p>
    <w:p w14:paraId="24150767" w14:textId="77777777" w:rsidR="00367F96" w:rsidRPr="004B6747" w:rsidRDefault="00367F96" w:rsidP="00367F96">
      <w:pPr>
        <w:spacing w:line="360" w:lineRule="auto"/>
        <w:jc w:val="both"/>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Compressibility index can be measure of the potential strength that a powder could build up in its arch in a hopper and also the ease with which such an arch could be broken.</w:t>
      </w:r>
    </w:p>
    <w:p w14:paraId="55C9CA11" w14:textId="77777777" w:rsidR="00367F96" w:rsidRPr="004B6747" w:rsidRDefault="00367F96" w:rsidP="00367F96">
      <w:pPr>
        <w:spacing w:line="360" w:lineRule="auto"/>
        <w:jc w:val="both"/>
        <w:rPr>
          <w:rFonts w:ascii="Times New Roman" w:eastAsia="Calibri" w:hAnsi="Times New Roman" w:cs="Times New Roman"/>
          <w:bCs/>
          <w:sz w:val="24"/>
          <w:szCs w:val="24"/>
          <w:vertAlign w:val="subscript"/>
        </w:rPr>
      </w:pPr>
      <w:r w:rsidRPr="004B6747">
        <w:rPr>
          <w:rFonts w:ascii="Times New Roman" w:eastAsia="Calibri" w:hAnsi="Times New Roman" w:cs="Times New Roman"/>
          <w:b/>
          <w:bCs/>
          <w:sz w:val="24"/>
          <w:szCs w:val="24"/>
        </w:rPr>
        <w:lastRenderedPageBreak/>
        <w:t>Method:</w:t>
      </w:r>
      <w:r w:rsidRPr="004B6747">
        <w:rPr>
          <w:rFonts w:ascii="Times New Roman" w:eastAsia="Calibri" w:hAnsi="Times New Roman" w:cs="Times New Roman"/>
          <w:bCs/>
          <w:sz w:val="24"/>
          <w:szCs w:val="24"/>
        </w:rPr>
        <w:t xml:space="preserve"> Using a suitable adhesive, the base of a 10 ml tarred measuring cylinder is fixed to the standard rubber bung at the top of the 250 ml cylinder. A powder sample (about 5.0 g) is transferred into the tarred 10 ml cylinder with the help of a funnel. The 250 ml measuring cylinder is placed on the tapping apparatus. The initial volume occupied by the powder is denoted as V</w:t>
      </w:r>
      <w:r w:rsidRPr="004B6747">
        <w:rPr>
          <w:rFonts w:ascii="Times New Roman" w:eastAsia="Calibri" w:hAnsi="Times New Roman" w:cs="Times New Roman"/>
          <w:bCs/>
          <w:sz w:val="24"/>
          <w:szCs w:val="24"/>
          <w:vertAlign w:val="subscript"/>
        </w:rPr>
        <w:t>0.</w:t>
      </w:r>
    </w:p>
    <w:p w14:paraId="3959CB3D" w14:textId="77777777" w:rsidR="00367F96" w:rsidRPr="004B6747" w:rsidRDefault="00367F96" w:rsidP="00367F96">
      <w:pPr>
        <w:spacing w:line="360" w:lineRule="auto"/>
        <w:jc w:val="both"/>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 xml:space="preserve">The contents are tapped in the following order, 2, 4, 6, 8, 10, 20, 30 and 50 taps. After completing the </w:t>
      </w:r>
      <w:proofErr w:type="spellStart"/>
      <w:r w:rsidRPr="004B6747">
        <w:rPr>
          <w:rFonts w:ascii="Times New Roman" w:eastAsia="Calibri" w:hAnsi="Times New Roman" w:cs="Times New Roman"/>
          <w:bCs/>
          <w:sz w:val="24"/>
          <w:szCs w:val="24"/>
        </w:rPr>
        <w:t>tappings</w:t>
      </w:r>
      <w:proofErr w:type="spellEnd"/>
      <w:r w:rsidRPr="004B6747">
        <w:rPr>
          <w:rFonts w:ascii="Times New Roman" w:eastAsia="Calibri" w:hAnsi="Times New Roman" w:cs="Times New Roman"/>
          <w:bCs/>
          <w:sz w:val="24"/>
          <w:szCs w:val="24"/>
        </w:rPr>
        <w:t>, the volume is denoted as V</w:t>
      </w:r>
      <w:r w:rsidRPr="004B6747">
        <w:rPr>
          <w:rFonts w:ascii="Times New Roman" w:eastAsia="Calibri" w:hAnsi="Times New Roman" w:cs="Times New Roman"/>
          <w:bCs/>
          <w:sz w:val="24"/>
          <w:szCs w:val="24"/>
          <w:vertAlign w:val="subscript"/>
        </w:rPr>
        <w:t xml:space="preserve">2, </w:t>
      </w:r>
      <w:r w:rsidRPr="004B6747">
        <w:rPr>
          <w:rFonts w:ascii="Times New Roman" w:eastAsia="Calibri" w:hAnsi="Times New Roman" w:cs="Times New Roman"/>
          <w:bCs/>
          <w:sz w:val="24"/>
          <w:szCs w:val="24"/>
        </w:rPr>
        <w:t>V</w:t>
      </w:r>
      <w:r w:rsidRPr="004B6747">
        <w:rPr>
          <w:rFonts w:ascii="Times New Roman" w:eastAsia="Calibri" w:hAnsi="Times New Roman" w:cs="Times New Roman"/>
          <w:bCs/>
          <w:sz w:val="24"/>
          <w:szCs w:val="24"/>
          <w:vertAlign w:val="subscript"/>
        </w:rPr>
        <w:t xml:space="preserve">4 </w:t>
      </w:r>
      <w:r w:rsidRPr="004B6747">
        <w:rPr>
          <w:rFonts w:ascii="Times New Roman" w:eastAsia="Calibri" w:hAnsi="Times New Roman" w:cs="Times New Roman"/>
          <w:bCs/>
          <w:sz w:val="24"/>
          <w:szCs w:val="24"/>
        </w:rPr>
        <w:t>.................V</w:t>
      </w:r>
      <w:r w:rsidRPr="004B6747">
        <w:rPr>
          <w:rFonts w:ascii="Times New Roman" w:eastAsia="Calibri" w:hAnsi="Times New Roman" w:cs="Times New Roman"/>
          <w:bCs/>
          <w:sz w:val="24"/>
          <w:szCs w:val="24"/>
          <w:vertAlign w:val="subscript"/>
        </w:rPr>
        <w:t>50</w:t>
      </w:r>
      <w:r w:rsidRPr="004B6747">
        <w:rPr>
          <w:rFonts w:ascii="Times New Roman" w:eastAsia="Calibri" w:hAnsi="Times New Roman" w:cs="Times New Roman"/>
          <w:bCs/>
          <w:sz w:val="24"/>
          <w:szCs w:val="24"/>
        </w:rPr>
        <w:t>.</w:t>
      </w:r>
    </w:p>
    <w:p w14:paraId="44D6AD90" w14:textId="77777777" w:rsidR="00367F96" w:rsidRPr="004B6747" w:rsidRDefault="00367F96" w:rsidP="00367F96">
      <w:pPr>
        <w:spacing w:line="360" w:lineRule="auto"/>
        <w:jc w:val="both"/>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The powder is carefully collected from the cylinder and weighed (W).</w:t>
      </w:r>
    </w:p>
    <w:p w14:paraId="7ACD554F" w14:textId="77777777" w:rsidR="00367F96" w:rsidRPr="004B6747" w:rsidRDefault="00367F96" w:rsidP="00367F96">
      <w:pPr>
        <w:spacing w:line="36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Fluff density (</w:t>
      </w:r>
      <w:proofErr w:type="spellStart"/>
      <w:r w:rsidRPr="004B6747">
        <w:rPr>
          <w:rFonts w:ascii="Times New Roman" w:eastAsia="Calibri" w:hAnsi="Times New Roman" w:cs="Times New Roman"/>
          <w:bCs/>
          <w:sz w:val="24"/>
          <w:szCs w:val="24"/>
        </w:rPr>
        <w:t>ρ</w:t>
      </w:r>
      <w:r w:rsidRPr="004B6747">
        <w:rPr>
          <w:rFonts w:ascii="Times New Roman" w:eastAsia="Calibri" w:hAnsi="Times New Roman" w:cs="Times New Roman"/>
          <w:bCs/>
          <w:sz w:val="24"/>
          <w:szCs w:val="24"/>
          <w:vertAlign w:val="subscript"/>
        </w:rPr>
        <w:t>b</w:t>
      </w:r>
      <w:proofErr w:type="spellEnd"/>
      <w:r w:rsidRPr="004B6747">
        <w:rPr>
          <w:rFonts w:ascii="Times New Roman" w:eastAsia="Calibri" w:hAnsi="Times New Roman" w:cs="Times New Roman"/>
          <w:bCs/>
          <w:sz w:val="24"/>
          <w:szCs w:val="24"/>
          <w:vertAlign w:val="subscript"/>
        </w:rPr>
        <w:t xml:space="preserve">, </w:t>
      </w:r>
      <w:r w:rsidRPr="004B6747">
        <w:rPr>
          <w:rFonts w:ascii="Times New Roman" w:eastAsia="Calibri" w:hAnsi="Times New Roman" w:cs="Times New Roman"/>
          <w:bCs/>
          <w:sz w:val="24"/>
          <w:szCs w:val="24"/>
        </w:rPr>
        <w:t>minimum) = w/</w:t>
      </w:r>
      <w:proofErr w:type="spellStart"/>
      <w:r w:rsidRPr="004B6747">
        <w:rPr>
          <w:rFonts w:ascii="Times New Roman" w:eastAsia="Calibri" w:hAnsi="Times New Roman" w:cs="Times New Roman"/>
          <w:bCs/>
          <w:sz w:val="24"/>
          <w:szCs w:val="24"/>
        </w:rPr>
        <w:t>v</w:t>
      </w:r>
      <w:r w:rsidRPr="004B6747">
        <w:rPr>
          <w:rFonts w:ascii="Times New Roman" w:eastAsia="Calibri" w:hAnsi="Times New Roman" w:cs="Times New Roman"/>
          <w:bCs/>
          <w:sz w:val="24"/>
          <w:szCs w:val="24"/>
          <w:vertAlign w:val="subscript"/>
        </w:rPr>
        <w:t>o</w:t>
      </w:r>
      <w:r w:rsidRPr="004B6747">
        <w:rPr>
          <w:rFonts w:ascii="Times New Roman" w:eastAsia="Calibri" w:hAnsi="Times New Roman" w:cs="Times New Roman"/>
          <w:bCs/>
          <w:sz w:val="24"/>
          <w:szCs w:val="24"/>
        </w:rPr>
        <w:t>g</w:t>
      </w:r>
      <w:proofErr w:type="spellEnd"/>
      <w:r w:rsidRPr="004B6747">
        <w:rPr>
          <w:rFonts w:ascii="Times New Roman" w:eastAsia="Calibri" w:hAnsi="Times New Roman" w:cs="Times New Roman"/>
          <w:bCs/>
          <w:sz w:val="24"/>
          <w:szCs w:val="24"/>
        </w:rPr>
        <w:t>/cc</w:t>
      </w:r>
    </w:p>
    <w:p w14:paraId="324EBC66" w14:textId="77777777" w:rsidR="00367F96" w:rsidRPr="004B6747" w:rsidRDefault="00367F96" w:rsidP="00367F96">
      <w:pPr>
        <w:spacing w:line="36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 xml:space="preserve">Tapped </w:t>
      </w:r>
      <w:proofErr w:type="spellStart"/>
      <w:r w:rsidRPr="004B6747">
        <w:rPr>
          <w:rFonts w:ascii="Times New Roman" w:eastAsia="Calibri" w:hAnsi="Times New Roman" w:cs="Times New Roman"/>
          <w:bCs/>
          <w:sz w:val="24"/>
          <w:szCs w:val="24"/>
        </w:rPr>
        <w:t>sensity</w:t>
      </w:r>
      <w:proofErr w:type="spellEnd"/>
      <w:r w:rsidRPr="004B6747">
        <w:rPr>
          <w:rFonts w:ascii="Times New Roman" w:eastAsia="Calibri" w:hAnsi="Times New Roman" w:cs="Times New Roman"/>
          <w:bCs/>
          <w:sz w:val="24"/>
          <w:szCs w:val="24"/>
        </w:rPr>
        <w:t xml:space="preserve"> (</w:t>
      </w:r>
      <w:proofErr w:type="spellStart"/>
      <w:r w:rsidRPr="004B6747">
        <w:rPr>
          <w:rFonts w:ascii="Times New Roman" w:eastAsia="Calibri" w:hAnsi="Times New Roman" w:cs="Times New Roman"/>
          <w:bCs/>
          <w:sz w:val="24"/>
          <w:szCs w:val="24"/>
        </w:rPr>
        <w:t>ρ</w:t>
      </w:r>
      <w:r w:rsidRPr="004B6747">
        <w:rPr>
          <w:rFonts w:ascii="Times New Roman" w:eastAsia="Calibri" w:hAnsi="Times New Roman" w:cs="Times New Roman"/>
          <w:bCs/>
          <w:sz w:val="24"/>
          <w:szCs w:val="24"/>
          <w:vertAlign w:val="subscript"/>
        </w:rPr>
        <w:t>b</w:t>
      </w:r>
      <w:proofErr w:type="spellEnd"/>
      <w:r w:rsidRPr="004B6747">
        <w:rPr>
          <w:rFonts w:ascii="Times New Roman" w:eastAsia="Calibri" w:hAnsi="Times New Roman" w:cs="Times New Roman"/>
          <w:bCs/>
          <w:sz w:val="24"/>
          <w:szCs w:val="24"/>
          <w:vertAlign w:val="subscript"/>
        </w:rPr>
        <w:t xml:space="preserve">, </w:t>
      </w:r>
      <w:r w:rsidRPr="004B6747">
        <w:rPr>
          <w:rFonts w:ascii="Times New Roman" w:eastAsia="Calibri" w:hAnsi="Times New Roman" w:cs="Times New Roman"/>
          <w:bCs/>
          <w:sz w:val="24"/>
          <w:szCs w:val="24"/>
        </w:rPr>
        <w:t>maximum) = w/v</w:t>
      </w:r>
      <w:r w:rsidRPr="004B6747">
        <w:rPr>
          <w:rFonts w:ascii="Times New Roman" w:eastAsia="Calibri" w:hAnsi="Times New Roman" w:cs="Times New Roman"/>
          <w:bCs/>
          <w:sz w:val="24"/>
          <w:szCs w:val="24"/>
          <w:vertAlign w:val="subscript"/>
        </w:rPr>
        <w:t>50</w:t>
      </w:r>
      <w:r w:rsidRPr="004B6747">
        <w:rPr>
          <w:rFonts w:ascii="Times New Roman" w:eastAsia="Calibri" w:hAnsi="Times New Roman" w:cs="Times New Roman"/>
          <w:bCs/>
          <w:sz w:val="24"/>
          <w:szCs w:val="24"/>
        </w:rPr>
        <w:t xml:space="preserve"> g/cc</w:t>
      </w:r>
    </w:p>
    <w:p w14:paraId="119E62E9" w14:textId="77777777" w:rsidR="00367F96" w:rsidRPr="004B6747" w:rsidRDefault="00367F96" w:rsidP="00367F96">
      <w:pPr>
        <w:spacing w:line="36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 xml:space="preserve">Consolidation index can be calculated using the equation </w:t>
      </w:r>
    </w:p>
    <w:p w14:paraId="04452D8F" w14:textId="77777777" w:rsidR="00367F96" w:rsidRPr="004B6747" w:rsidRDefault="00367F96" w:rsidP="00367F96">
      <w:pPr>
        <w:spacing w:line="36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The nature of flow is inferred by comparing the data with the index given in the below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1723"/>
      </w:tblGrid>
      <w:tr w:rsidR="00367F96" w:rsidRPr="004B6747" w14:paraId="63E45F9D" w14:textId="77777777" w:rsidTr="00482E0B">
        <w:trPr>
          <w:jc w:val="center"/>
        </w:trPr>
        <w:tc>
          <w:tcPr>
            <w:tcW w:w="0" w:type="auto"/>
          </w:tcPr>
          <w:p w14:paraId="6CF1812B" w14:textId="77777777" w:rsidR="00367F96" w:rsidRPr="00961937" w:rsidRDefault="00367F96" w:rsidP="00482E0B">
            <w:pPr>
              <w:spacing w:line="240" w:lineRule="auto"/>
              <w:rPr>
                <w:rFonts w:ascii="Times New Roman" w:eastAsia="Calibri" w:hAnsi="Times New Roman" w:cs="Times New Roman"/>
                <w:b/>
                <w:bCs/>
                <w:sz w:val="24"/>
                <w:szCs w:val="24"/>
              </w:rPr>
            </w:pPr>
            <w:r w:rsidRPr="00961937">
              <w:rPr>
                <w:rFonts w:ascii="Times New Roman" w:eastAsia="Calibri" w:hAnsi="Times New Roman" w:cs="Times New Roman"/>
                <w:b/>
                <w:bCs/>
                <w:sz w:val="24"/>
                <w:szCs w:val="24"/>
              </w:rPr>
              <w:t>Consolidation index</w:t>
            </w:r>
          </w:p>
        </w:tc>
        <w:tc>
          <w:tcPr>
            <w:tcW w:w="0" w:type="auto"/>
          </w:tcPr>
          <w:p w14:paraId="07F52DA2" w14:textId="77777777" w:rsidR="00367F96" w:rsidRPr="00961937" w:rsidRDefault="00367F96" w:rsidP="00482E0B">
            <w:pPr>
              <w:spacing w:line="240" w:lineRule="auto"/>
              <w:rPr>
                <w:rFonts w:ascii="Times New Roman" w:eastAsia="Calibri" w:hAnsi="Times New Roman" w:cs="Times New Roman"/>
                <w:b/>
                <w:bCs/>
                <w:sz w:val="24"/>
                <w:szCs w:val="24"/>
              </w:rPr>
            </w:pPr>
            <w:r w:rsidRPr="00961937">
              <w:rPr>
                <w:rFonts w:ascii="Times New Roman" w:eastAsia="Calibri" w:hAnsi="Times New Roman" w:cs="Times New Roman"/>
                <w:b/>
                <w:bCs/>
                <w:sz w:val="24"/>
                <w:szCs w:val="24"/>
              </w:rPr>
              <w:t>Flow</w:t>
            </w:r>
          </w:p>
        </w:tc>
      </w:tr>
      <w:tr w:rsidR="00367F96" w:rsidRPr="004B6747" w14:paraId="65DBDD7E" w14:textId="77777777" w:rsidTr="00482E0B">
        <w:trPr>
          <w:jc w:val="center"/>
        </w:trPr>
        <w:tc>
          <w:tcPr>
            <w:tcW w:w="0" w:type="auto"/>
          </w:tcPr>
          <w:p w14:paraId="4B34F9FA"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5-15</w:t>
            </w:r>
          </w:p>
        </w:tc>
        <w:tc>
          <w:tcPr>
            <w:tcW w:w="0" w:type="auto"/>
          </w:tcPr>
          <w:p w14:paraId="4A66D3E5"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Excellent</w:t>
            </w:r>
          </w:p>
        </w:tc>
      </w:tr>
      <w:tr w:rsidR="00367F96" w:rsidRPr="004B6747" w14:paraId="04C284C9" w14:textId="77777777" w:rsidTr="00482E0B">
        <w:trPr>
          <w:jc w:val="center"/>
        </w:trPr>
        <w:tc>
          <w:tcPr>
            <w:tcW w:w="0" w:type="auto"/>
          </w:tcPr>
          <w:p w14:paraId="3ECD1ACB"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12-16</w:t>
            </w:r>
          </w:p>
        </w:tc>
        <w:tc>
          <w:tcPr>
            <w:tcW w:w="0" w:type="auto"/>
          </w:tcPr>
          <w:p w14:paraId="5D89A66D"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Good</w:t>
            </w:r>
          </w:p>
        </w:tc>
      </w:tr>
      <w:tr w:rsidR="00367F96" w:rsidRPr="004B6747" w14:paraId="467FE2A9" w14:textId="77777777" w:rsidTr="00482E0B">
        <w:trPr>
          <w:jc w:val="center"/>
        </w:trPr>
        <w:tc>
          <w:tcPr>
            <w:tcW w:w="0" w:type="auto"/>
          </w:tcPr>
          <w:p w14:paraId="356CB6B0"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18-21</w:t>
            </w:r>
          </w:p>
        </w:tc>
        <w:tc>
          <w:tcPr>
            <w:tcW w:w="0" w:type="auto"/>
          </w:tcPr>
          <w:p w14:paraId="26A94319"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Fair to passable</w:t>
            </w:r>
          </w:p>
        </w:tc>
      </w:tr>
      <w:tr w:rsidR="00367F96" w:rsidRPr="004B6747" w14:paraId="31DDD752" w14:textId="77777777" w:rsidTr="00482E0B">
        <w:trPr>
          <w:jc w:val="center"/>
        </w:trPr>
        <w:tc>
          <w:tcPr>
            <w:tcW w:w="0" w:type="auto"/>
          </w:tcPr>
          <w:p w14:paraId="3327394C"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23-35</w:t>
            </w:r>
          </w:p>
        </w:tc>
        <w:tc>
          <w:tcPr>
            <w:tcW w:w="0" w:type="auto"/>
          </w:tcPr>
          <w:p w14:paraId="02CDF287"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Poor</w:t>
            </w:r>
          </w:p>
        </w:tc>
      </w:tr>
      <w:tr w:rsidR="00367F96" w:rsidRPr="004B6747" w14:paraId="20F6D341" w14:textId="77777777" w:rsidTr="00482E0B">
        <w:trPr>
          <w:jc w:val="center"/>
        </w:trPr>
        <w:tc>
          <w:tcPr>
            <w:tcW w:w="0" w:type="auto"/>
          </w:tcPr>
          <w:p w14:paraId="269A3A10"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33-38</w:t>
            </w:r>
          </w:p>
        </w:tc>
        <w:tc>
          <w:tcPr>
            <w:tcW w:w="0" w:type="auto"/>
          </w:tcPr>
          <w:p w14:paraId="05B2370E"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Very poor</w:t>
            </w:r>
          </w:p>
        </w:tc>
      </w:tr>
      <w:tr w:rsidR="00367F96" w:rsidRPr="004B6747" w14:paraId="0518810C" w14:textId="77777777" w:rsidTr="00482E0B">
        <w:trPr>
          <w:jc w:val="center"/>
        </w:trPr>
        <w:tc>
          <w:tcPr>
            <w:tcW w:w="0" w:type="auto"/>
          </w:tcPr>
          <w:p w14:paraId="38131CCF"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&gt;40</w:t>
            </w:r>
          </w:p>
        </w:tc>
        <w:tc>
          <w:tcPr>
            <w:tcW w:w="0" w:type="auto"/>
          </w:tcPr>
          <w:p w14:paraId="504513E1" w14:textId="77777777" w:rsidR="00367F96" w:rsidRPr="004B6747" w:rsidRDefault="00367F96" w:rsidP="00482E0B">
            <w:pPr>
              <w:spacing w:line="24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 xml:space="preserve">Very </w:t>
            </w:r>
            <w:proofErr w:type="spellStart"/>
            <w:r w:rsidRPr="004B6747">
              <w:rPr>
                <w:rFonts w:ascii="Times New Roman" w:eastAsia="Calibri" w:hAnsi="Times New Roman" w:cs="Times New Roman"/>
                <w:bCs/>
                <w:sz w:val="24"/>
                <w:szCs w:val="24"/>
              </w:rPr>
              <w:t>very</w:t>
            </w:r>
            <w:proofErr w:type="spellEnd"/>
            <w:r w:rsidRPr="004B6747">
              <w:rPr>
                <w:rFonts w:ascii="Times New Roman" w:eastAsia="Calibri" w:hAnsi="Times New Roman" w:cs="Times New Roman"/>
                <w:bCs/>
                <w:sz w:val="24"/>
                <w:szCs w:val="24"/>
              </w:rPr>
              <w:t xml:space="preserve"> poor</w:t>
            </w:r>
          </w:p>
        </w:tc>
      </w:tr>
    </w:tbl>
    <w:p w14:paraId="181B68D4" w14:textId="77777777" w:rsidR="00367F96" w:rsidRPr="004B6747" w:rsidRDefault="00367F96" w:rsidP="00367F96">
      <w:pPr>
        <w:spacing w:line="360" w:lineRule="auto"/>
        <w:ind w:left="720"/>
        <w:contextualSpacing/>
        <w:rPr>
          <w:rFonts w:ascii="Times New Roman" w:eastAsia="Calibri" w:hAnsi="Times New Roman" w:cs="Times New Roman"/>
          <w:bCs/>
          <w:sz w:val="24"/>
          <w:szCs w:val="24"/>
        </w:rPr>
      </w:pPr>
    </w:p>
    <w:p w14:paraId="6E913AB8" w14:textId="77777777" w:rsidR="00367F96" w:rsidRPr="00961937" w:rsidRDefault="00367F96" w:rsidP="00367F96">
      <w:pPr>
        <w:numPr>
          <w:ilvl w:val="0"/>
          <w:numId w:val="4"/>
        </w:numPr>
        <w:spacing w:line="360" w:lineRule="auto"/>
        <w:contextualSpacing/>
        <w:rPr>
          <w:rFonts w:ascii="Times New Roman" w:eastAsia="Calibri" w:hAnsi="Times New Roman" w:cs="Times New Roman"/>
          <w:b/>
          <w:bCs/>
          <w:sz w:val="24"/>
          <w:szCs w:val="24"/>
        </w:rPr>
      </w:pPr>
      <w:proofErr w:type="spellStart"/>
      <w:r w:rsidRPr="00961937">
        <w:rPr>
          <w:rFonts w:ascii="Times New Roman" w:eastAsia="Calibri" w:hAnsi="Times New Roman" w:cs="Times New Roman"/>
          <w:b/>
          <w:bCs/>
          <w:sz w:val="24"/>
          <w:szCs w:val="24"/>
        </w:rPr>
        <w:t>Hausner</w:t>
      </w:r>
      <w:proofErr w:type="spellEnd"/>
      <w:r w:rsidRPr="00961937">
        <w:rPr>
          <w:rFonts w:ascii="Times New Roman" w:eastAsia="Calibri" w:hAnsi="Times New Roman" w:cs="Times New Roman"/>
          <w:b/>
          <w:bCs/>
          <w:sz w:val="24"/>
          <w:szCs w:val="24"/>
        </w:rPr>
        <w:t xml:space="preserve"> ratio</w:t>
      </w:r>
    </w:p>
    <w:p w14:paraId="54869D67" w14:textId="77777777" w:rsidR="00367F96" w:rsidRPr="004B6747" w:rsidRDefault="00367F96" w:rsidP="00367F96">
      <w:pPr>
        <w:spacing w:line="360" w:lineRule="auto"/>
        <w:ind w:firstLine="720"/>
        <w:jc w:val="both"/>
        <w:rPr>
          <w:rFonts w:ascii="Times New Roman" w:eastAsia="Calibri" w:hAnsi="Times New Roman" w:cs="Times New Roman"/>
          <w:bCs/>
          <w:sz w:val="24"/>
          <w:szCs w:val="24"/>
          <w:vertAlign w:val="subscript"/>
        </w:rPr>
      </w:pPr>
      <w:r w:rsidRPr="004B6747">
        <w:rPr>
          <w:rFonts w:ascii="Times New Roman" w:eastAsia="Calibri" w:hAnsi="Times New Roman" w:cs="Times New Roman"/>
          <w:bCs/>
          <w:sz w:val="24"/>
          <w:szCs w:val="24"/>
        </w:rPr>
        <w:t xml:space="preserve">It is defined as the ratio of the tapped density to bulk density it can also be calculated by using the formula by using </w:t>
      </w:r>
      <w:proofErr w:type="spellStart"/>
      <w:proofErr w:type="gramStart"/>
      <w:r w:rsidRPr="004B6747">
        <w:rPr>
          <w:rFonts w:ascii="Times New Roman" w:eastAsia="Calibri" w:hAnsi="Times New Roman" w:cs="Times New Roman"/>
          <w:bCs/>
          <w:sz w:val="24"/>
          <w:szCs w:val="24"/>
        </w:rPr>
        <w:t>carr’s</w:t>
      </w:r>
      <w:proofErr w:type="spellEnd"/>
      <w:proofErr w:type="gramEnd"/>
      <w:r w:rsidRPr="004B6747">
        <w:rPr>
          <w:rFonts w:ascii="Times New Roman" w:eastAsia="Calibri" w:hAnsi="Times New Roman" w:cs="Times New Roman"/>
          <w:bCs/>
          <w:sz w:val="24"/>
          <w:szCs w:val="24"/>
        </w:rPr>
        <w:t xml:space="preserve"> consolidation index  </w:t>
      </w:r>
    </w:p>
    <w:p w14:paraId="4B515C4C" w14:textId="77777777" w:rsidR="00367F96" w:rsidRPr="004B6747" w:rsidRDefault="00367F96" w:rsidP="00367F96">
      <w:pPr>
        <w:spacing w:line="360" w:lineRule="auto"/>
        <w:jc w:val="center"/>
        <w:rPr>
          <w:rFonts w:ascii="Times New Roman" w:eastAsia="Calibri" w:hAnsi="Times New Roman" w:cs="Times New Roman"/>
          <w:bCs/>
          <w:sz w:val="24"/>
          <w:szCs w:val="24"/>
        </w:rPr>
      </w:pPr>
      <m:oMathPara>
        <m:oMath>
          <m:r>
            <m:rPr>
              <m:sty m:val="p"/>
            </m:rPr>
            <w:rPr>
              <w:rFonts w:ascii="Cambria Math" w:hAnsi="Cambria Math" w:cs="Cambria Math"/>
              <w:sz w:val="24"/>
              <w:szCs w:val="24"/>
            </w:rPr>
            <m:t>Hausner ratio=</m:t>
          </m:r>
          <m:f>
            <m:fPr>
              <m:ctrlPr>
                <w:rPr>
                  <w:rFonts w:ascii="Cambria Math" w:hAnsi="Cambria Math"/>
                  <w:bCs/>
                  <w:sz w:val="24"/>
                  <w:szCs w:val="24"/>
                </w:rPr>
              </m:ctrlPr>
            </m:fPr>
            <m:num>
              <m:r>
                <m:rPr>
                  <m:sty m:val="p"/>
                </m:rPr>
                <w:rPr>
                  <w:rFonts w:ascii="Cambria Math" w:hAnsi="Cambria Math"/>
                  <w:sz w:val="24"/>
                  <w:szCs w:val="24"/>
                </w:rPr>
                <m:t xml:space="preserve"> ρ</m:t>
              </m:r>
              <m:r>
                <m:rPr>
                  <m:sty m:val="p"/>
                </m:rPr>
                <w:rPr>
                  <w:rFonts w:ascii="Cambria Math" w:hAnsi="Cambria Math"/>
                  <w:sz w:val="24"/>
                  <w:szCs w:val="24"/>
                  <w:vertAlign w:val="subscript"/>
                </w:rPr>
                <m:t>tapped</m:t>
              </m:r>
            </m:num>
            <m:den>
              <m:r>
                <m:rPr>
                  <m:sty m:val="p"/>
                </m:rPr>
                <w:rPr>
                  <w:rFonts w:ascii="Cambria Math" w:hAnsi="Cambria Math"/>
                  <w:sz w:val="24"/>
                  <w:szCs w:val="24"/>
                </w:rPr>
                <m:t>ρbulk</m:t>
              </m:r>
            </m:den>
          </m:f>
        </m:oMath>
      </m:oMathPara>
    </w:p>
    <w:p w14:paraId="0B4EAE53" w14:textId="77777777" w:rsidR="00367F96" w:rsidRPr="004B6747" w:rsidRDefault="00367F96" w:rsidP="00367F96">
      <w:pPr>
        <w:spacing w:line="360" w:lineRule="auto"/>
        <w:jc w:val="center"/>
        <w:rPr>
          <w:rFonts w:ascii="Times New Roman" w:eastAsia="Calibri" w:hAnsi="Times New Roman" w:cs="Times New Roman"/>
          <w:bCs/>
          <w:sz w:val="24"/>
          <w:szCs w:val="24"/>
        </w:rPr>
      </w:pPr>
      <m:oMathPara>
        <m:oMath>
          <m:r>
            <m:rPr>
              <m:sty m:val="p"/>
            </m:rPr>
            <w:rPr>
              <w:rFonts w:ascii="Cambria Math" w:hAnsi="Cambria Math" w:cs="Cambria Math"/>
              <w:sz w:val="24"/>
              <w:szCs w:val="24"/>
            </w:rPr>
            <w:lastRenderedPageBreak/>
            <m:t>Hausner ratio =</m:t>
          </m:r>
          <m:f>
            <m:fPr>
              <m:ctrlPr>
                <w:rPr>
                  <w:rFonts w:ascii="Cambria Math" w:hAnsi="Cambria Math"/>
                  <w:bCs/>
                  <w:sz w:val="24"/>
                  <w:szCs w:val="24"/>
                </w:rPr>
              </m:ctrlPr>
            </m:fPr>
            <m:num>
              <m:r>
                <m:rPr>
                  <m:sty m:val="p"/>
                </m:rPr>
                <w:rPr>
                  <w:rFonts w:ascii="Cambria Math" w:hAnsi="Cambria Math"/>
                  <w:sz w:val="24"/>
                  <w:szCs w:val="24"/>
                </w:rPr>
                <m:t>100</m:t>
              </m:r>
            </m:num>
            <m:den>
              <m:r>
                <m:rPr>
                  <m:sty m:val="p"/>
                </m:rPr>
                <w:rPr>
                  <w:rFonts w:ascii="Cambria Math" w:hAnsi="Cambria Math" w:cs="Cambria Math"/>
                  <w:sz w:val="24"/>
                  <w:szCs w:val="24"/>
                </w:rPr>
                <m:t>100-C</m:t>
              </m:r>
            </m:den>
          </m:f>
        </m:oMath>
      </m:oMathPara>
    </w:p>
    <w:p w14:paraId="64824A0B" w14:textId="77777777" w:rsidR="00367F96" w:rsidRPr="004B6747" w:rsidRDefault="00367F96" w:rsidP="00367F96">
      <w:pPr>
        <w:spacing w:line="36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 xml:space="preserve">Where C is </w:t>
      </w:r>
      <w:proofErr w:type="spellStart"/>
      <w:r w:rsidR="00455EB7" w:rsidRPr="004B6747">
        <w:rPr>
          <w:rFonts w:ascii="Times New Roman" w:eastAsia="Calibri" w:hAnsi="Times New Roman" w:cs="Times New Roman"/>
          <w:bCs/>
          <w:sz w:val="24"/>
          <w:szCs w:val="24"/>
        </w:rPr>
        <w:t>Carr’s</w:t>
      </w:r>
      <w:proofErr w:type="spellEnd"/>
      <w:r w:rsidRPr="004B6747">
        <w:rPr>
          <w:rFonts w:ascii="Times New Roman" w:eastAsia="Calibri" w:hAnsi="Times New Roman" w:cs="Times New Roman"/>
          <w:bCs/>
          <w:sz w:val="24"/>
          <w:szCs w:val="24"/>
        </w:rPr>
        <w:t xml:space="preserve"> consolidation index value</w:t>
      </w:r>
    </w:p>
    <w:p w14:paraId="755F620F" w14:textId="77777777" w:rsidR="00367F96" w:rsidRPr="004B6747" w:rsidRDefault="00367F96" w:rsidP="00367F96">
      <w:pPr>
        <w:spacing w:line="360" w:lineRule="auto"/>
        <w:rPr>
          <w:rFonts w:ascii="Times New Roman" w:eastAsia="Calibri" w:hAnsi="Times New Roman" w:cs="Times New Roman"/>
          <w:bCs/>
          <w:sz w:val="24"/>
          <w:szCs w:val="24"/>
        </w:rPr>
      </w:pPr>
      <w:r w:rsidRPr="004B6747">
        <w:rPr>
          <w:rFonts w:ascii="Times New Roman" w:eastAsia="Calibri" w:hAnsi="Times New Roman" w:cs="Times New Roman"/>
          <w:bCs/>
          <w:sz w:val="24"/>
          <w:szCs w:val="24"/>
        </w:rPr>
        <w:t xml:space="preserve">The relationship of </w:t>
      </w:r>
      <w:proofErr w:type="spellStart"/>
      <w:r w:rsidR="00DE12BC" w:rsidRPr="004B6747">
        <w:rPr>
          <w:rFonts w:ascii="Times New Roman" w:eastAsia="Calibri" w:hAnsi="Times New Roman" w:cs="Times New Roman"/>
          <w:bCs/>
          <w:sz w:val="24"/>
          <w:szCs w:val="24"/>
        </w:rPr>
        <w:t>Hausner</w:t>
      </w:r>
      <w:proofErr w:type="spellEnd"/>
      <w:r w:rsidRPr="004B6747">
        <w:rPr>
          <w:rFonts w:ascii="Times New Roman" w:eastAsia="Calibri" w:hAnsi="Times New Roman" w:cs="Times New Roman"/>
          <w:bCs/>
          <w:sz w:val="24"/>
          <w:szCs w:val="24"/>
        </w:rPr>
        <w:t xml:space="preserve"> ratio to that of flow property is as follows</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700"/>
        <w:gridCol w:w="1754"/>
      </w:tblGrid>
      <w:tr w:rsidR="00367F96" w:rsidRPr="004B6747" w14:paraId="5AC32542" w14:textId="77777777" w:rsidTr="00482E0B">
        <w:trPr>
          <w:tblHeader/>
          <w:tblCellSpacing w:w="0" w:type="dxa"/>
          <w:jc w:val="center"/>
        </w:trPr>
        <w:tc>
          <w:tcPr>
            <w:tcW w:w="0" w:type="auto"/>
            <w:vAlign w:val="bottom"/>
          </w:tcPr>
          <w:p w14:paraId="6741C006" w14:textId="77777777" w:rsidR="00367F96" w:rsidRPr="004B6747" w:rsidRDefault="00367F96" w:rsidP="00482E0B">
            <w:pPr>
              <w:spacing w:after="0" w:line="360" w:lineRule="auto"/>
              <w:jc w:val="center"/>
              <w:rPr>
                <w:rFonts w:ascii="Times New Roman" w:eastAsia="Calibri" w:hAnsi="Times New Roman" w:cs="Times New Roman"/>
                <w:b/>
                <w:sz w:val="24"/>
                <w:szCs w:val="24"/>
              </w:rPr>
            </w:pPr>
            <w:r w:rsidRPr="004B6747">
              <w:rPr>
                <w:rFonts w:ascii="Times New Roman" w:eastAsia="Calibri" w:hAnsi="Times New Roman" w:cs="Times New Roman"/>
                <w:b/>
                <w:sz w:val="24"/>
                <w:szCs w:val="24"/>
              </w:rPr>
              <w:t>Flow Character</w:t>
            </w:r>
          </w:p>
        </w:tc>
        <w:tc>
          <w:tcPr>
            <w:tcW w:w="0" w:type="auto"/>
            <w:vAlign w:val="bottom"/>
          </w:tcPr>
          <w:p w14:paraId="607099A4" w14:textId="77777777" w:rsidR="00367F96" w:rsidRPr="004B6747" w:rsidRDefault="00367F96" w:rsidP="00482E0B">
            <w:pPr>
              <w:spacing w:after="0" w:line="360" w:lineRule="auto"/>
              <w:jc w:val="center"/>
              <w:rPr>
                <w:rFonts w:ascii="Times New Roman" w:eastAsia="Calibri" w:hAnsi="Times New Roman" w:cs="Times New Roman"/>
                <w:b/>
                <w:sz w:val="24"/>
                <w:szCs w:val="24"/>
              </w:rPr>
            </w:pPr>
            <w:proofErr w:type="spellStart"/>
            <w:r w:rsidRPr="004B6747">
              <w:rPr>
                <w:rFonts w:ascii="Times New Roman" w:eastAsia="Calibri" w:hAnsi="Times New Roman" w:cs="Times New Roman"/>
                <w:b/>
                <w:sz w:val="24"/>
                <w:szCs w:val="24"/>
              </w:rPr>
              <w:t>Hausner</w:t>
            </w:r>
            <w:r w:rsidR="007C6A86">
              <w:rPr>
                <w:rFonts w:ascii="Times New Roman" w:eastAsia="Calibri" w:hAnsi="Times New Roman" w:cs="Times New Roman"/>
                <w:b/>
                <w:sz w:val="24"/>
                <w:szCs w:val="24"/>
              </w:rPr>
              <w:t>’s</w:t>
            </w:r>
            <w:proofErr w:type="spellEnd"/>
            <w:r w:rsidRPr="004B6747">
              <w:rPr>
                <w:rFonts w:ascii="Times New Roman" w:eastAsia="Calibri" w:hAnsi="Times New Roman" w:cs="Times New Roman"/>
                <w:b/>
                <w:sz w:val="24"/>
                <w:szCs w:val="24"/>
              </w:rPr>
              <w:t xml:space="preserve"> Ratio</w:t>
            </w:r>
          </w:p>
        </w:tc>
      </w:tr>
      <w:tr w:rsidR="00367F96" w:rsidRPr="004B6747" w14:paraId="75AE8DF9" w14:textId="77777777" w:rsidTr="00482E0B">
        <w:trPr>
          <w:tblCellSpacing w:w="0" w:type="dxa"/>
          <w:jc w:val="center"/>
        </w:trPr>
        <w:tc>
          <w:tcPr>
            <w:tcW w:w="0" w:type="auto"/>
          </w:tcPr>
          <w:p w14:paraId="0B793869" w14:textId="77777777" w:rsidR="00367F96" w:rsidRPr="004B6747" w:rsidRDefault="00367F96" w:rsidP="00482E0B">
            <w:pPr>
              <w:spacing w:after="0"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Excellent</w:t>
            </w:r>
          </w:p>
        </w:tc>
        <w:tc>
          <w:tcPr>
            <w:tcW w:w="0" w:type="auto"/>
          </w:tcPr>
          <w:p w14:paraId="4475C90B" w14:textId="70101E2A" w:rsidR="00367F96" w:rsidRPr="004B6747" w:rsidRDefault="00AA70D3" w:rsidP="00482E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 – 1.11</w:t>
            </w:r>
          </w:p>
        </w:tc>
      </w:tr>
      <w:tr w:rsidR="00367F96" w:rsidRPr="004B6747" w14:paraId="111D3C85" w14:textId="77777777" w:rsidTr="00482E0B">
        <w:trPr>
          <w:tblCellSpacing w:w="0" w:type="dxa"/>
          <w:jc w:val="center"/>
        </w:trPr>
        <w:tc>
          <w:tcPr>
            <w:tcW w:w="0" w:type="auto"/>
          </w:tcPr>
          <w:p w14:paraId="448987A3" w14:textId="77777777" w:rsidR="00367F96" w:rsidRPr="004B6747" w:rsidRDefault="00367F96" w:rsidP="00482E0B">
            <w:pPr>
              <w:spacing w:after="0"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Good</w:t>
            </w:r>
          </w:p>
        </w:tc>
        <w:tc>
          <w:tcPr>
            <w:tcW w:w="0" w:type="auto"/>
          </w:tcPr>
          <w:p w14:paraId="6B254D8E" w14:textId="7F2CCEA8" w:rsidR="00367F96" w:rsidRPr="004B6747" w:rsidRDefault="00AA70D3" w:rsidP="00482E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1.12 – 1.18</w:t>
            </w:r>
          </w:p>
        </w:tc>
      </w:tr>
      <w:tr w:rsidR="00367F96" w:rsidRPr="004B6747" w14:paraId="056A47C6" w14:textId="77777777" w:rsidTr="00482E0B">
        <w:trPr>
          <w:tblCellSpacing w:w="0" w:type="dxa"/>
          <w:jc w:val="center"/>
        </w:trPr>
        <w:tc>
          <w:tcPr>
            <w:tcW w:w="0" w:type="auto"/>
          </w:tcPr>
          <w:p w14:paraId="29A77E94" w14:textId="77777777" w:rsidR="00367F96" w:rsidRPr="004B6747" w:rsidRDefault="00367F96" w:rsidP="00482E0B">
            <w:pPr>
              <w:spacing w:after="0"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Fair</w:t>
            </w:r>
          </w:p>
        </w:tc>
        <w:tc>
          <w:tcPr>
            <w:tcW w:w="0" w:type="auto"/>
          </w:tcPr>
          <w:p w14:paraId="19AFB974" w14:textId="38072EAA" w:rsidR="00367F96" w:rsidRPr="004B6747" w:rsidRDefault="00AA70D3" w:rsidP="00482E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1.19 – 1.25</w:t>
            </w:r>
          </w:p>
        </w:tc>
      </w:tr>
      <w:tr w:rsidR="00367F96" w:rsidRPr="004B6747" w14:paraId="667238FB" w14:textId="77777777" w:rsidTr="00482E0B">
        <w:trPr>
          <w:tblCellSpacing w:w="0" w:type="dxa"/>
          <w:jc w:val="center"/>
        </w:trPr>
        <w:tc>
          <w:tcPr>
            <w:tcW w:w="0" w:type="auto"/>
          </w:tcPr>
          <w:p w14:paraId="595025FC" w14:textId="77777777" w:rsidR="00367F96" w:rsidRPr="004B6747" w:rsidRDefault="00367F96" w:rsidP="00482E0B">
            <w:pPr>
              <w:spacing w:after="0"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Passable</w:t>
            </w:r>
          </w:p>
        </w:tc>
        <w:tc>
          <w:tcPr>
            <w:tcW w:w="0" w:type="auto"/>
          </w:tcPr>
          <w:p w14:paraId="72CE1115" w14:textId="0DA03C83" w:rsidR="00367F96" w:rsidRPr="004B6747" w:rsidRDefault="00AA70D3" w:rsidP="00482E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1.26 – 1.34</w:t>
            </w:r>
          </w:p>
        </w:tc>
      </w:tr>
      <w:tr w:rsidR="00367F96" w:rsidRPr="004B6747" w14:paraId="5362FF96" w14:textId="77777777" w:rsidTr="00482E0B">
        <w:trPr>
          <w:tblCellSpacing w:w="0" w:type="dxa"/>
          <w:jc w:val="center"/>
        </w:trPr>
        <w:tc>
          <w:tcPr>
            <w:tcW w:w="0" w:type="auto"/>
          </w:tcPr>
          <w:p w14:paraId="4700D3D1" w14:textId="77777777" w:rsidR="00367F96" w:rsidRPr="004B6747" w:rsidRDefault="00367F96" w:rsidP="00482E0B">
            <w:pPr>
              <w:spacing w:after="0"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Poor</w:t>
            </w:r>
          </w:p>
        </w:tc>
        <w:tc>
          <w:tcPr>
            <w:tcW w:w="0" w:type="auto"/>
          </w:tcPr>
          <w:p w14:paraId="05CAE294" w14:textId="21C1FD75" w:rsidR="00367F96" w:rsidRPr="004B6747" w:rsidRDefault="00AA70D3" w:rsidP="00482E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1.35 – 1.45</w:t>
            </w:r>
          </w:p>
        </w:tc>
      </w:tr>
      <w:tr w:rsidR="00367F96" w:rsidRPr="004B6747" w14:paraId="06C8BF93" w14:textId="77777777" w:rsidTr="00482E0B">
        <w:trPr>
          <w:tblCellSpacing w:w="0" w:type="dxa"/>
          <w:jc w:val="center"/>
        </w:trPr>
        <w:tc>
          <w:tcPr>
            <w:tcW w:w="0" w:type="auto"/>
          </w:tcPr>
          <w:p w14:paraId="17F403B2" w14:textId="77777777" w:rsidR="00367F96" w:rsidRPr="004B6747" w:rsidRDefault="00367F96" w:rsidP="00482E0B">
            <w:pPr>
              <w:spacing w:after="0"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Very poor</w:t>
            </w:r>
          </w:p>
        </w:tc>
        <w:tc>
          <w:tcPr>
            <w:tcW w:w="0" w:type="auto"/>
          </w:tcPr>
          <w:p w14:paraId="073E9437" w14:textId="62B9D5F6" w:rsidR="00367F96" w:rsidRPr="004B6747" w:rsidRDefault="00AA70D3" w:rsidP="00482E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1.46 – 1.59</w:t>
            </w:r>
          </w:p>
        </w:tc>
      </w:tr>
      <w:tr w:rsidR="00367F96" w:rsidRPr="004B6747" w14:paraId="0E897A43" w14:textId="77777777" w:rsidTr="00482E0B">
        <w:trPr>
          <w:tblCellSpacing w:w="0" w:type="dxa"/>
          <w:jc w:val="center"/>
        </w:trPr>
        <w:tc>
          <w:tcPr>
            <w:tcW w:w="0" w:type="auto"/>
          </w:tcPr>
          <w:p w14:paraId="5E6A29B7" w14:textId="77777777" w:rsidR="00367F96" w:rsidRPr="004B6747" w:rsidRDefault="00367F96" w:rsidP="00482E0B">
            <w:pPr>
              <w:spacing w:after="0" w:line="360" w:lineRule="auto"/>
              <w:rPr>
                <w:rFonts w:ascii="Times New Roman" w:eastAsia="Calibri" w:hAnsi="Times New Roman" w:cs="Times New Roman"/>
                <w:sz w:val="24"/>
                <w:szCs w:val="24"/>
              </w:rPr>
            </w:pPr>
            <w:r w:rsidRPr="004B6747">
              <w:rPr>
                <w:rFonts w:ascii="Times New Roman" w:eastAsia="Calibri" w:hAnsi="Times New Roman" w:cs="Times New Roman"/>
                <w:sz w:val="24"/>
                <w:szCs w:val="24"/>
              </w:rPr>
              <w:t>Very, very poor</w:t>
            </w:r>
          </w:p>
        </w:tc>
        <w:tc>
          <w:tcPr>
            <w:tcW w:w="0" w:type="auto"/>
          </w:tcPr>
          <w:p w14:paraId="29CF3DFA" w14:textId="4A52FBFA" w:rsidR="00367F96" w:rsidRPr="00AA70D3" w:rsidRDefault="00AA70D3" w:rsidP="00AA70D3">
            <w:pPr>
              <w:spacing w:after="0" w:line="360" w:lineRule="auto"/>
              <w:ind w:left="360"/>
              <w:jc w:val="center"/>
              <w:rPr>
                <w:rFonts w:ascii="Times New Roman" w:eastAsia="Calibri" w:hAnsi="Times New Roman" w:cs="Times New Roman"/>
                <w:sz w:val="24"/>
                <w:szCs w:val="24"/>
              </w:rPr>
            </w:pPr>
            <w:r>
              <w:rPr>
                <w:rFonts w:ascii="Times New Roman" w:eastAsia="Calibri" w:hAnsi="Times New Roman" w:cs="Times New Roman"/>
                <w:sz w:val="24"/>
                <w:szCs w:val="24"/>
              </w:rPr>
              <w:t>&gt;</w:t>
            </w:r>
            <w:r w:rsidRPr="00AA70D3">
              <w:rPr>
                <w:rFonts w:ascii="Times New Roman" w:eastAsia="Calibri" w:hAnsi="Times New Roman" w:cs="Times New Roman"/>
                <w:sz w:val="24"/>
                <w:szCs w:val="24"/>
              </w:rPr>
              <w:t>1.60</w:t>
            </w:r>
          </w:p>
        </w:tc>
      </w:tr>
    </w:tbl>
    <w:p w14:paraId="4B241908" w14:textId="77777777" w:rsidR="00367F96" w:rsidRPr="004B6747" w:rsidRDefault="00367F96" w:rsidP="00367F96">
      <w:pPr>
        <w:spacing w:line="360" w:lineRule="auto"/>
        <w:rPr>
          <w:rFonts w:ascii="Times New Roman" w:eastAsia="Calibri" w:hAnsi="Times New Roman" w:cs="Times New Roman"/>
          <w:sz w:val="24"/>
          <w:szCs w:val="24"/>
        </w:rPr>
      </w:pPr>
    </w:p>
    <w:p w14:paraId="42E126B1" w14:textId="77777777" w:rsidR="00367F96" w:rsidRPr="00961937" w:rsidRDefault="00367F96" w:rsidP="00367F96">
      <w:pPr>
        <w:numPr>
          <w:ilvl w:val="0"/>
          <w:numId w:val="4"/>
        </w:numPr>
        <w:spacing w:line="360" w:lineRule="auto"/>
        <w:contextualSpacing/>
        <w:rPr>
          <w:rFonts w:ascii="Times New Roman" w:eastAsia="Calibri" w:hAnsi="Times New Roman" w:cs="Times New Roman"/>
          <w:b/>
          <w:sz w:val="24"/>
          <w:szCs w:val="24"/>
        </w:rPr>
      </w:pPr>
      <w:r w:rsidRPr="00961937">
        <w:rPr>
          <w:rFonts w:ascii="Times New Roman" w:eastAsia="Calibri" w:hAnsi="Times New Roman" w:cs="Times New Roman"/>
          <w:b/>
          <w:sz w:val="24"/>
          <w:szCs w:val="24"/>
        </w:rPr>
        <w:t>Bulk density</w:t>
      </w:r>
    </w:p>
    <w:p w14:paraId="52962586" w14:textId="77777777" w:rsidR="00367F96" w:rsidRPr="004B6747" w:rsidRDefault="00367F96" w:rsidP="00367F96">
      <w:pPr>
        <w:spacing w:before="100" w:beforeAutospacing="1" w:after="100" w:afterAutospacing="1" w:line="360" w:lineRule="auto"/>
        <w:ind w:firstLine="720"/>
        <w:jc w:val="both"/>
        <w:rPr>
          <w:rFonts w:ascii="Times New Roman" w:eastAsia="Times New Roman" w:hAnsi="Times New Roman" w:cs="Times New Roman"/>
          <w:sz w:val="24"/>
          <w:szCs w:val="24"/>
        </w:rPr>
      </w:pPr>
      <w:r w:rsidRPr="004B6747">
        <w:rPr>
          <w:rFonts w:ascii="Times New Roman" w:eastAsia="Times New Roman" w:hAnsi="Times New Roman" w:cs="Times New Roman"/>
          <w:sz w:val="24"/>
          <w:szCs w:val="24"/>
        </w:rPr>
        <w:t xml:space="preserve">   Bulk density of a compound varies substantially with the method of crystallization, milling or formulation. Bulk density is of great importance when considers the size of high dose capsule product or </w:t>
      </w:r>
      <w:r w:rsidR="00784D5B" w:rsidRPr="004B6747">
        <w:rPr>
          <w:rFonts w:ascii="Times New Roman" w:eastAsia="Times New Roman" w:hAnsi="Times New Roman" w:cs="Times New Roman"/>
          <w:sz w:val="24"/>
          <w:szCs w:val="24"/>
        </w:rPr>
        <w:t>homogeneity</w:t>
      </w:r>
      <w:r w:rsidRPr="004B6747">
        <w:rPr>
          <w:rFonts w:ascii="Times New Roman" w:eastAsia="Times New Roman" w:hAnsi="Times New Roman" w:cs="Times New Roman"/>
          <w:sz w:val="24"/>
          <w:szCs w:val="24"/>
        </w:rPr>
        <w:t xml:space="preserve"> of allow dose formulation in which these are large differences in drug and </w:t>
      </w:r>
      <w:r w:rsidR="00784D5B" w:rsidRPr="004B6747">
        <w:rPr>
          <w:rFonts w:ascii="Times New Roman" w:eastAsia="Times New Roman" w:hAnsi="Times New Roman" w:cs="Times New Roman"/>
          <w:sz w:val="24"/>
          <w:szCs w:val="24"/>
        </w:rPr>
        <w:t>excipient</w:t>
      </w:r>
      <w:r w:rsidRPr="004B6747">
        <w:rPr>
          <w:rFonts w:ascii="Times New Roman" w:eastAsia="Times New Roman" w:hAnsi="Times New Roman" w:cs="Times New Roman"/>
          <w:sz w:val="24"/>
          <w:szCs w:val="24"/>
        </w:rPr>
        <w:t xml:space="preserve"> densities </w:t>
      </w:r>
    </w:p>
    <w:p w14:paraId="652A5B9F" w14:textId="77777777" w:rsidR="00367F96" w:rsidRPr="004B6747" w:rsidRDefault="00367F96" w:rsidP="00367F96">
      <w:pPr>
        <w:spacing w:before="100" w:beforeAutospacing="1" w:after="100" w:afterAutospacing="1" w:line="360" w:lineRule="auto"/>
        <w:ind w:firstLine="720"/>
        <w:jc w:val="both"/>
        <w:rPr>
          <w:rFonts w:ascii="Times New Roman" w:eastAsia="Times New Roman" w:hAnsi="Times New Roman" w:cs="Times New Roman"/>
          <w:sz w:val="24"/>
          <w:szCs w:val="24"/>
        </w:rPr>
      </w:pPr>
      <w:r w:rsidRPr="004B6747">
        <w:rPr>
          <w:rFonts w:ascii="Times New Roman" w:eastAsia="Times New Roman" w:hAnsi="Times New Roman" w:cs="Times New Roman"/>
          <w:sz w:val="24"/>
          <w:szCs w:val="24"/>
        </w:rPr>
        <w:t>Bulk density is determined by graduated cylinder containing a known mass of powder whose initial volume is noted. Cylinder is fixed on the mechanical tapper apparatus. Then the final volume is noted, and this bulk volume. Then bulk density is calculated is using</w:t>
      </w:r>
    </w:p>
    <w:p w14:paraId="2509C9B7" w14:textId="77777777" w:rsidR="00367F96" w:rsidRPr="00534D23" w:rsidRDefault="00367F96" w:rsidP="00367F96">
      <w:pPr>
        <w:spacing w:line="360" w:lineRule="auto"/>
        <w:ind w:left="720"/>
        <w:rPr>
          <w:rFonts w:ascii="Times New Roman" w:eastAsia="Times New Roman" w:hAnsi="Times New Roman" w:cs="Times New Roman"/>
          <w:sz w:val="28"/>
          <w:szCs w:val="28"/>
        </w:rPr>
      </w:pPr>
      <m:oMathPara>
        <m:oMathParaPr>
          <m:jc m:val="center"/>
        </m:oMathParaPr>
        <m:oMath>
          <m:r>
            <w:rPr>
              <w:rFonts w:ascii="Cambria Math" w:hAnsi="Cambria Math"/>
              <w:sz w:val="28"/>
              <w:szCs w:val="28"/>
            </w:rPr>
            <m:t>bulk density (ρ)=</m:t>
          </m:r>
          <m:f>
            <m:fPr>
              <m:ctrlPr>
                <w:rPr>
                  <w:rFonts w:ascii="Cambria Math" w:hAnsi="Cambria Math"/>
                  <w:i/>
                  <w:sz w:val="28"/>
                  <w:szCs w:val="28"/>
                </w:rPr>
              </m:ctrlPr>
            </m:fPr>
            <m:num>
              <m:r>
                <w:rPr>
                  <w:rFonts w:ascii="Cambria Math" w:hAnsi="Cambria Math"/>
                  <w:sz w:val="28"/>
                  <w:szCs w:val="28"/>
                </w:rPr>
                <m:t>mass of the powder (w)</m:t>
              </m:r>
            </m:num>
            <m:den>
              <m:r>
                <w:rPr>
                  <w:rFonts w:ascii="Cambria Math" w:hAnsi="Cambria Math"/>
                  <w:sz w:val="28"/>
                  <w:szCs w:val="28"/>
                </w:rPr>
                <m:t>bulk volume</m:t>
              </m:r>
            </m:den>
          </m:f>
        </m:oMath>
      </m:oMathPara>
    </w:p>
    <w:p w14:paraId="12ACDEDE" w14:textId="77777777" w:rsidR="00534D23" w:rsidRDefault="00534D23" w:rsidP="00367F96">
      <w:pPr>
        <w:spacing w:line="360" w:lineRule="auto"/>
        <w:ind w:left="720"/>
        <w:rPr>
          <w:rFonts w:ascii="Times New Roman" w:eastAsia="Times New Roman" w:hAnsi="Times New Roman" w:cs="Times New Roman"/>
          <w:sz w:val="28"/>
          <w:szCs w:val="28"/>
        </w:rPr>
      </w:pPr>
    </w:p>
    <w:p w14:paraId="1BC0D92B" w14:textId="77777777" w:rsidR="00534D23" w:rsidRPr="005A21B4" w:rsidRDefault="00534D23" w:rsidP="00367F96">
      <w:pPr>
        <w:spacing w:line="360" w:lineRule="auto"/>
        <w:ind w:left="720"/>
        <w:rPr>
          <w:rFonts w:ascii="Times New Roman" w:eastAsia="Times New Roman" w:hAnsi="Times New Roman" w:cs="Times New Roman"/>
          <w:sz w:val="28"/>
          <w:szCs w:val="28"/>
        </w:rPr>
      </w:pPr>
    </w:p>
    <w:p w14:paraId="038C3AFD" w14:textId="77777777" w:rsidR="00367F96" w:rsidRPr="00961937" w:rsidRDefault="00367F96" w:rsidP="00367F96">
      <w:pPr>
        <w:numPr>
          <w:ilvl w:val="0"/>
          <w:numId w:val="4"/>
        </w:numPr>
        <w:spacing w:line="360" w:lineRule="auto"/>
        <w:contextualSpacing/>
        <w:rPr>
          <w:rFonts w:ascii="Times New Roman" w:eastAsia="Calibri" w:hAnsi="Times New Roman" w:cs="Times New Roman"/>
          <w:b/>
          <w:sz w:val="24"/>
          <w:szCs w:val="24"/>
        </w:rPr>
      </w:pPr>
      <w:r w:rsidRPr="00961937">
        <w:rPr>
          <w:rFonts w:ascii="Times New Roman" w:eastAsia="Calibri" w:hAnsi="Times New Roman" w:cs="Times New Roman"/>
          <w:b/>
          <w:sz w:val="24"/>
          <w:szCs w:val="24"/>
        </w:rPr>
        <w:lastRenderedPageBreak/>
        <w:t>Tapped density</w:t>
      </w:r>
    </w:p>
    <w:p w14:paraId="35BFB6A8" w14:textId="77777777" w:rsidR="00367F96" w:rsidRPr="004B6747" w:rsidRDefault="00367F96" w:rsidP="00367F96">
      <w:pPr>
        <w:spacing w:line="360" w:lineRule="auto"/>
        <w:ind w:left="142"/>
        <w:jc w:val="both"/>
        <w:rPr>
          <w:rFonts w:ascii="Times New Roman" w:eastAsia="Calibri" w:hAnsi="Times New Roman" w:cs="Times New Roman"/>
          <w:sz w:val="24"/>
          <w:szCs w:val="24"/>
        </w:rPr>
      </w:pPr>
      <w:r w:rsidRPr="004B6747">
        <w:rPr>
          <w:rFonts w:ascii="Times New Roman" w:eastAsia="Calibri" w:hAnsi="Times New Roman" w:cs="Times New Roman"/>
          <w:sz w:val="24"/>
          <w:szCs w:val="24"/>
        </w:rPr>
        <w:t xml:space="preserve">     It was determined by placing a graduated cylinder, containing known mass of drug excipients blend. The cylinder was allowed to fall under its own weight on to a hard surface from the height of 10cm at 2 second intervals. The tapping is continued until no further change in volume was noted.</w:t>
      </w:r>
    </w:p>
    <w:p w14:paraId="16CF0E18" w14:textId="77777777" w:rsidR="00367F96" w:rsidRPr="004B6747" w:rsidRDefault="00367F96" w:rsidP="00367F96">
      <w:pPr>
        <w:spacing w:line="360" w:lineRule="auto"/>
        <w:rPr>
          <w:rFonts w:ascii="Times New Roman" w:eastAsia="Calibri" w:hAnsi="Times New Roman" w:cs="Times New Roman"/>
          <w:b/>
          <w:sz w:val="24"/>
          <w:szCs w:val="24"/>
        </w:rPr>
      </w:pPr>
      <w:r w:rsidRPr="004B6747">
        <w:rPr>
          <w:rFonts w:ascii="Times New Roman" w:eastAsia="Calibri" w:hAnsi="Times New Roman" w:cs="Times New Roman"/>
          <w:b/>
          <w:sz w:val="24"/>
          <w:szCs w:val="24"/>
        </w:rPr>
        <w:t xml:space="preserve">REPORT </w:t>
      </w:r>
    </w:p>
    <w:p w14:paraId="205C7800" w14:textId="77777777" w:rsidR="00367F96" w:rsidRDefault="00367F96" w:rsidP="00367F96">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different </w:t>
      </w:r>
      <w:proofErr w:type="spellStart"/>
      <w:r>
        <w:rPr>
          <w:rFonts w:ascii="Times New Roman" w:eastAsia="Calibri" w:hAnsi="Times New Roman" w:cs="Times New Roman"/>
          <w:sz w:val="24"/>
          <w:szCs w:val="24"/>
        </w:rPr>
        <w:t>preformulation</w:t>
      </w:r>
      <w:proofErr w:type="spellEnd"/>
      <w:r>
        <w:rPr>
          <w:rFonts w:ascii="Times New Roman" w:eastAsia="Calibri" w:hAnsi="Times New Roman" w:cs="Times New Roman"/>
          <w:sz w:val="24"/>
          <w:szCs w:val="24"/>
        </w:rPr>
        <w:t xml:space="preserve"> parameters of the </w:t>
      </w:r>
      <w:r w:rsidR="002C2CD8">
        <w:rPr>
          <w:rFonts w:ascii="Times New Roman" w:eastAsia="Calibri" w:hAnsi="Times New Roman" w:cs="Times New Roman"/>
          <w:sz w:val="24"/>
          <w:szCs w:val="24"/>
        </w:rPr>
        <w:t>granules</w:t>
      </w:r>
      <w:r>
        <w:rPr>
          <w:rFonts w:ascii="Times New Roman" w:eastAsia="Calibri" w:hAnsi="Times New Roman" w:cs="Times New Roman"/>
          <w:sz w:val="24"/>
          <w:szCs w:val="24"/>
        </w:rPr>
        <w:t xml:space="preserve"> </w:t>
      </w:r>
      <w:r w:rsidR="00D8146F">
        <w:rPr>
          <w:rFonts w:ascii="Times New Roman" w:eastAsia="Calibri" w:hAnsi="Times New Roman" w:cs="Times New Roman"/>
          <w:sz w:val="24"/>
          <w:szCs w:val="24"/>
        </w:rPr>
        <w:t>were</w:t>
      </w:r>
      <w:r>
        <w:rPr>
          <w:rFonts w:ascii="Times New Roman" w:eastAsia="Calibri" w:hAnsi="Times New Roman" w:cs="Times New Roman"/>
          <w:sz w:val="24"/>
          <w:szCs w:val="24"/>
        </w:rPr>
        <w:t xml:space="preserve"> found to be as follows: </w:t>
      </w:r>
    </w:p>
    <w:p w14:paraId="16746434" w14:textId="77777777" w:rsidR="00367F96" w:rsidRDefault="00367F96" w:rsidP="00367F96">
      <w:pPr>
        <w:spacing w:line="360" w:lineRule="auto"/>
        <w:rPr>
          <w:rFonts w:ascii="Times New Roman" w:eastAsia="Calibri"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816"/>
        <w:gridCol w:w="1189"/>
      </w:tblGrid>
      <w:tr w:rsidR="00D1568F" w:rsidRPr="004B6747" w14:paraId="4F5767E5" w14:textId="2F30CD67" w:rsidTr="00D1568F">
        <w:trPr>
          <w:jc w:val="center"/>
        </w:trPr>
        <w:tc>
          <w:tcPr>
            <w:tcW w:w="0" w:type="auto"/>
          </w:tcPr>
          <w:p w14:paraId="0A34EE51" w14:textId="33A122C6" w:rsidR="00D1568F" w:rsidRPr="00961937" w:rsidRDefault="009C79AB" w:rsidP="00482E0B">
            <w:pPr>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w:t>
            </w:r>
            <w:r w:rsidR="00D1568F" w:rsidRPr="00961937">
              <w:rPr>
                <w:rFonts w:ascii="Times New Roman" w:eastAsia="Calibri" w:hAnsi="Times New Roman" w:cs="Times New Roman"/>
                <w:b/>
                <w:sz w:val="24"/>
                <w:szCs w:val="24"/>
              </w:rPr>
              <w:t>arameter</w:t>
            </w:r>
          </w:p>
        </w:tc>
        <w:tc>
          <w:tcPr>
            <w:tcW w:w="0" w:type="auto"/>
          </w:tcPr>
          <w:p w14:paraId="2BA76195" w14:textId="5A064EC0" w:rsidR="00D1568F" w:rsidRPr="00961937" w:rsidRDefault="009C79AB" w:rsidP="00482E0B">
            <w:pPr>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V</w:t>
            </w:r>
            <w:r w:rsidR="00D1568F" w:rsidRPr="00961937">
              <w:rPr>
                <w:rFonts w:ascii="Times New Roman" w:eastAsia="Calibri" w:hAnsi="Times New Roman" w:cs="Times New Roman"/>
                <w:b/>
                <w:sz w:val="24"/>
                <w:szCs w:val="24"/>
              </w:rPr>
              <w:t>alue</w:t>
            </w:r>
          </w:p>
        </w:tc>
        <w:tc>
          <w:tcPr>
            <w:tcW w:w="236" w:type="dxa"/>
          </w:tcPr>
          <w:p w14:paraId="7E44A794" w14:textId="25FB6145" w:rsidR="00D1568F" w:rsidRPr="00961937" w:rsidRDefault="00D1568F" w:rsidP="00482E0B">
            <w:pPr>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Inference</w:t>
            </w:r>
          </w:p>
        </w:tc>
      </w:tr>
      <w:tr w:rsidR="00D1568F" w:rsidRPr="004B6747" w14:paraId="71A33A21" w14:textId="2ADDDDB1" w:rsidTr="00D1568F">
        <w:trPr>
          <w:jc w:val="center"/>
        </w:trPr>
        <w:tc>
          <w:tcPr>
            <w:tcW w:w="0" w:type="auto"/>
          </w:tcPr>
          <w:p w14:paraId="6739A311" w14:textId="77777777" w:rsidR="00D1568F" w:rsidRPr="004B6747" w:rsidRDefault="00D1568F" w:rsidP="00482E0B">
            <w:pPr>
              <w:spacing w:after="0" w:line="360" w:lineRule="auto"/>
              <w:jc w:val="both"/>
              <w:rPr>
                <w:rFonts w:ascii="Times New Roman" w:eastAsia="Calibri" w:hAnsi="Times New Roman" w:cs="Times New Roman"/>
                <w:sz w:val="24"/>
                <w:szCs w:val="24"/>
              </w:rPr>
            </w:pPr>
            <w:r w:rsidRPr="004B6747">
              <w:rPr>
                <w:rFonts w:ascii="Times New Roman" w:eastAsia="Calibri" w:hAnsi="Times New Roman" w:cs="Times New Roman"/>
                <w:sz w:val="24"/>
                <w:szCs w:val="24"/>
              </w:rPr>
              <w:t>Angle of repose</w:t>
            </w:r>
          </w:p>
        </w:tc>
        <w:tc>
          <w:tcPr>
            <w:tcW w:w="0" w:type="auto"/>
          </w:tcPr>
          <w:p w14:paraId="2931AC14" w14:textId="08CBCD62" w:rsidR="00D1568F" w:rsidRPr="004B6747" w:rsidRDefault="00D1568F" w:rsidP="00482E0B">
            <w:pPr>
              <w:spacing w:after="0" w:line="360" w:lineRule="auto"/>
              <w:jc w:val="both"/>
              <w:rPr>
                <w:rFonts w:ascii="Times New Roman" w:eastAsia="Calibri" w:hAnsi="Times New Roman" w:cs="Times New Roman"/>
                <w:sz w:val="24"/>
                <w:szCs w:val="24"/>
              </w:rPr>
            </w:pPr>
          </w:p>
        </w:tc>
        <w:tc>
          <w:tcPr>
            <w:tcW w:w="236" w:type="dxa"/>
          </w:tcPr>
          <w:p w14:paraId="1C8E8BC5" w14:textId="1ABABC05" w:rsidR="00D1568F" w:rsidRDefault="00D1568F" w:rsidP="00482E0B">
            <w:pPr>
              <w:spacing w:after="0" w:line="360" w:lineRule="auto"/>
              <w:jc w:val="both"/>
              <w:rPr>
                <w:rFonts w:ascii="Times New Roman" w:eastAsia="Calibri" w:hAnsi="Times New Roman" w:cs="Times New Roman"/>
                <w:sz w:val="24"/>
                <w:szCs w:val="24"/>
              </w:rPr>
            </w:pPr>
          </w:p>
        </w:tc>
      </w:tr>
      <w:tr w:rsidR="00D1568F" w:rsidRPr="004B6747" w14:paraId="6ED0F3DF" w14:textId="2394CE73" w:rsidTr="00D1568F">
        <w:trPr>
          <w:jc w:val="center"/>
        </w:trPr>
        <w:tc>
          <w:tcPr>
            <w:tcW w:w="0" w:type="auto"/>
          </w:tcPr>
          <w:p w14:paraId="1DF9ED0A" w14:textId="77777777" w:rsidR="00D1568F" w:rsidRPr="004B6747" w:rsidRDefault="00D1568F" w:rsidP="00482E0B">
            <w:pPr>
              <w:spacing w:after="0" w:line="360" w:lineRule="auto"/>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Carr’s</w:t>
            </w:r>
            <w:proofErr w:type="spellEnd"/>
            <w:r w:rsidRPr="004B6747">
              <w:rPr>
                <w:rFonts w:ascii="Times New Roman" w:eastAsia="Calibri" w:hAnsi="Times New Roman" w:cs="Times New Roman"/>
                <w:sz w:val="24"/>
                <w:szCs w:val="24"/>
              </w:rPr>
              <w:t xml:space="preserve"> consolidation index</w:t>
            </w:r>
          </w:p>
        </w:tc>
        <w:tc>
          <w:tcPr>
            <w:tcW w:w="0" w:type="auto"/>
          </w:tcPr>
          <w:p w14:paraId="18076596" w14:textId="55B2E134" w:rsidR="00D1568F" w:rsidRPr="004B6747" w:rsidRDefault="00D1568F" w:rsidP="00482E0B">
            <w:pPr>
              <w:spacing w:after="0" w:line="360" w:lineRule="auto"/>
              <w:jc w:val="both"/>
              <w:rPr>
                <w:rFonts w:ascii="Times New Roman" w:eastAsia="Calibri" w:hAnsi="Times New Roman" w:cs="Times New Roman"/>
                <w:sz w:val="24"/>
                <w:szCs w:val="24"/>
              </w:rPr>
            </w:pPr>
          </w:p>
        </w:tc>
        <w:tc>
          <w:tcPr>
            <w:tcW w:w="236" w:type="dxa"/>
          </w:tcPr>
          <w:p w14:paraId="1EC0C900" w14:textId="0D92D99C" w:rsidR="00D1568F" w:rsidRDefault="00D1568F" w:rsidP="00482E0B">
            <w:pPr>
              <w:spacing w:after="0" w:line="360" w:lineRule="auto"/>
              <w:jc w:val="both"/>
              <w:rPr>
                <w:rFonts w:ascii="Times New Roman" w:eastAsia="Calibri" w:hAnsi="Times New Roman" w:cs="Times New Roman"/>
                <w:sz w:val="24"/>
                <w:szCs w:val="24"/>
              </w:rPr>
            </w:pPr>
          </w:p>
        </w:tc>
      </w:tr>
      <w:tr w:rsidR="00D1568F" w:rsidRPr="004B6747" w14:paraId="2D099EE3" w14:textId="64EBD9D1" w:rsidTr="00D1568F">
        <w:trPr>
          <w:jc w:val="center"/>
        </w:trPr>
        <w:tc>
          <w:tcPr>
            <w:tcW w:w="0" w:type="auto"/>
          </w:tcPr>
          <w:p w14:paraId="61289DAF" w14:textId="77777777" w:rsidR="00D1568F" w:rsidRPr="004B6747" w:rsidRDefault="00D1568F" w:rsidP="00482E0B">
            <w:pPr>
              <w:spacing w:after="0" w:line="360" w:lineRule="auto"/>
              <w:jc w:val="both"/>
              <w:rPr>
                <w:rFonts w:ascii="Times New Roman" w:eastAsia="Calibri" w:hAnsi="Times New Roman" w:cs="Times New Roman"/>
                <w:sz w:val="24"/>
                <w:szCs w:val="24"/>
              </w:rPr>
            </w:pPr>
            <w:proofErr w:type="spellStart"/>
            <w:r w:rsidRPr="004B6747">
              <w:rPr>
                <w:rFonts w:ascii="Times New Roman" w:eastAsia="Calibri" w:hAnsi="Times New Roman" w:cs="Times New Roman"/>
                <w:sz w:val="24"/>
                <w:szCs w:val="24"/>
              </w:rPr>
              <w:t>Hausner</w:t>
            </w:r>
            <w:proofErr w:type="spellEnd"/>
            <w:r w:rsidRPr="004B6747">
              <w:rPr>
                <w:rFonts w:ascii="Times New Roman" w:eastAsia="Calibri" w:hAnsi="Times New Roman" w:cs="Times New Roman"/>
                <w:sz w:val="24"/>
                <w:szCs w:val="24"/>
              </w:rPr>
              <w:t xml:space="preserve"> ratio</w:t>
            </w:r>
          </w:p>
        </w:tc>
        <w:tc>
          <w:tcPr>
            <w:tcW w:w="0" w:type="auto"/>
          </w:tcPr>
          <w:p w14:paraId="6E361D29" w14:textId="3DA0D14D" w:rsidR="00D1568F" w:rsidRPr="004B6747" w:rsidRDefault="00D1568F" w:rsidP="00482E0B">
            <w:pPr>
              <w:spacing w:after="0" w:line="360" w:lineRule="auto"/>
              <w:jc w:val="both"/>
              <w:rPr>
                <w:rFonts w:ascii="Times New Roman" w:eastAsia="Calibri" w:hAnsi="Times New Roman" w:cs="Times New Roman"/>
                <w:sz w:val="24"/>
                <w:szCs w:val="24"/>
              </w:rPr>
            </w:pPr>
          </w:p>
        </w:tc>
        <w:tc>
          <w:tcPr>
            <w:tcW w:w="236" w:type="dxa"/>
          </w:tcPr>
          <w:p w14:paraId="47101871" w14:textId="4A76762F" w:rsidR="00D1568F" w:rsidRDefault="00D1568F" w:rsidP="00482E0B">
            <w:pPr>
              <w:spacing w:after="0" w:line="360" w:lineRule="auto"/>
              <w:jc w:val="both"/>
              <w:rPr>
                <w:rFonts w:ascii="Times New Roman" w:eastAsia="Calibri" w:hAnsi="Times New Roman" w:cs="Times New Roman"/>
                <w:sz w:val="24"/>
                <w:szCs w:val="24"/>
              </w:rPr>
            </w:pPr>
          </w:p>
        </w:tc>
      </w:tr>
      <w:tr w:rsidR="00D1568F" w:rsidRPr="004B6747" w14:paraId="547890ED" w14:textId="4F868802" w:rsidTr="00D1568F">
        <w:trPr>
          <w:jc w:val="center"/>
        </w:trPr>
        <w:tc>
          <w:tcPr>
            <w:tcW w:w="0" w:type="auto"/>
          </w:tcPr>
          <w:p w14:paraId="65214101" w14:textId="77777777" w:rsidR="00D1568F" w:rsidRPr="004B6747" w:rsidRDefault="00D1568F" w:rsidP="00482E0B">
            <w:pPr>
              <w:spacing w:after="0" w:line="360" w:lineRule="auto"/>
              <w:jc w:val="both"/>
              <w:rPr>
                <w:rFonts w:ascii="Times New Roman" w:eastAsia="Calibri" w:hAnsi="Times New Roman" w:cs="Times New Roman"/>
                <w:sz w:val="24"/>
                <w:szCs w:val="24"/>
              </w:rPr>
            </w:pPr>
            <w:r w:rsidRPr="004B6747">
              <w:rPr>
                <w:rFonts w:ascii="Times New Roman" w:eastAsia="Calibri" w:hAnsi="Times New Roman" w:cs="Times New Roman"/>
                <w:sz w:val="24"/>
                <w:szCs w:val="24"/>
              </w:rPr>
              <w:t>Bulk density (gm/cc)</w:t>
            </w:r>
          </w:p>
        </w:tc>
        <w:tc>
          <w:tcPr>
            <w:tcW w:w="0" w:type="auto"/>
          </w:tcPr>
          <w:p w14:paraId="47C7BBB3" w14:textId="1C59C39C" w:rsidR="00D1568F" w:rsidRPr="004B6747" w:rsidRDefault="00D1568F" w:rsidP="00482E0B">
            <w:pPr>
              <w:spacing w:after="0" w:line="360" w:lineRule="auto"/>
              <w:jc w:val="both"/>
              <w:rPr>
                <w:rFonts w:ascii="Times New Roman" w:eastAsia="Calibri" w:hAnsi="Times New Roman" w:cs="Times New Roman"/>
                <w:sz w:val="24"/>
                <w:szCs w:val="24"/>
              </w:rPr>
            </w:pPr>
          </w:p>
        </w:tc>
        <w:tc>
          <w:tcPr>
            <w:tcW w:w="236" w:type="dxa"/>
          </w:tcPr>
          <w:p w14:paraId="771C9036" w14:textId="5D8A43D9" w:rsidR="00D1568F" w:rsidRPr="004B6747" w:rsidRDefault="00D1568F" w:rsidP="00482E0B">
            <w:pPr>
              <w:spacing w:after="0" w:line="360" w:lineRule="auto"/>
              <w:jc w:val="both"/>
              <w:rPr>
                <w:rFonts w:ascii="Times New Roman" w:eastAsia="Calibri" w:hAnsi="Times New Roman" w:cs="Times New Roman"/>
                <w:sz w:val="24"/>
                <w:szCs w:val="24"/>
              </w:rPr>
            </w:pPr>
          </w:p>
        </w:tc>
      </w:tr>
      <w:tr w:rsidR="00D1568F" w:rsidRPr="004B6747" w14:paraId="34C1F955" w14:textId="1DD55F81" w:rsidTr="00D1568F">
        <w:trPr>
          <w:jc w:val="center"/>
        </w:trPr>
        <w:tc>
          <w:tcPr>
            <w:tcW w:w="0" w:type="auto"/>
          </w:tcPr>
          <w:p w14:paraId="305CB834" w14:textId="77777777" w:rsidR="00D1568F" w:rsidRPr="004B6747" w:rsidRDefault="00D1568F" w:rsidP="00482E0B">
            <w:pPr>
              <w:spacing w:after="0" w:line="360" w:lineRule="auto"/>
              <w:jc w:val="both"/>
              <w:rPr>
                <w:rFonts w:ascii="Times New Roman" w:eastAsia="Calibri" w:hAnsi="Times New Roman" w:cs="Times New Roman"/>
                <w:sz w:val="24"/>
                <w:szCs w:val="24"/>
              </w:rPr>
            </w:pPr>
            <w:r w:rsidRPr="004B6747">
              <w:rPr>
                <w:rFonts w:ascii="Times New Roman" w:eastAsia="Calibri" w:hAnsi="Times New Roman" w:cs="Times New Roman"/>
                <w:sz w:val="24"/>
                <w:szCs w:val="24"/>
              </w:rPr>
              <w:t>Tapped density (gm/cc)</w:t>
            </w:r>
          </w:p>
        </w:tc>
        <w:tc>
          <w:tcPr>
            <w:tcW w:w="0" w:type="auto"/>
          </w:tcPr>
          <w:p w14:paraId="70137024" w14:textId="59E11C95" w:rsidR="00D1568F" w:rsidRPr="004B6747" w:rsidRDefault="00D1568F" w:rsidP="00482E0B">
            <w:pPr>
              <w:spacing w:after="0" w:line="360" w:lineRule="auto"/>
              <w:jc w:val="both"/>
              <w:rPr>
                <w:rFonts w:ascii="Times New Roman" w:eastAsia="Calibri" w:hAnsi="Times New Roman" w:cs="Times New Roman"/>
                <w:sz w:val="24"/>
                <w:szCs w:val="24"/>
              </w:rPr>
            </w:pPr>
          </w:p>
        </w:tc>
        <w:tc>
          <w:tcPr>
            <w:tcW w:w="236" w:type="dxa"/>
          </w:tcPr>
          <w:p w14:paraId="1DBDA352" w14:textId="3AB2011A" w:rsidR="00D1568F" w:rsidRPr="004B6747" w:rsidRDefault="00D1568F" w:rsidP="00482E0B">
            <w:pPr>
              <w:spacing w:after="0" w:line="360" w:lineRule="auto"/>
              <w:jc w:val="both"/>
              <w:rPr>
                <w:rFonts w:ascii="Times New Roman" w:eastAsia="Calibri" w:hAnsi="Times New Roman" w:cs="Times New Roman"/>
                <w:sz w:val="24"/>
                <w:szCs w:val="24"/>
              </w:rPr>
            </w:pPr>
          </w:p>
        </w:tc>
      </w:tr>
    </w:tbl>
    <w:p w14:paraId="10870D38" w14:textId="77777777" w:rsidR="00020BDC" w:rsidRDefault="00020BDC"/>
    <w:sectPr w:rsidR="00020BDC" w:rsidSect="00A775CA">
      <w:headerReference w:type="even" r:id="rId7"/>
      <w:headerReference w:type="default" r:id="rId8"/>
      <w:footerReference w:type="even" r:id="rId9"/>
      <w:footerReference w:type="default" r:id="rId10"/>
      <w:headerReference w:type="first" r:id="rId11"/>
      <w:footerReference w:type="first" r:id="rId12"/>
      <w:pgSz w:w="12240" w:h="15840"/>
      <w:pgMar w:top="1418" w:right="1418" w:bottom="1418"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C604D" w14:textId="77777777" w:rsidR="00FA43A6" w:rsidRDefault="00FA43A6" w:rsidP="00086B25">
      <w:pPr>
        <w:spacing w:after="0" w:line="240" w:lineRule="auto"/>
      </w:pPr>
      <w:r>
        <w:separator/>
      </w:r>
    </w:p>
  </w:endnote>
  <w:endnote w:type="continuationSeparator" w:id="0">
    <w:p w14:paraId="1EDD8A56" w14:textId="77777777" w:rsidR="00FA43A6" w:rsidRDefault="00FA43A6" w:rsidP="0008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914D4" w14:textId="77777777" w:rsidR="00C90A28" w:rsidRDefault="00C90A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C3273" w14:textId="0DA93075" w:rsidR="00086B25" w:rsidRPr="00155B76" w:rsidRDefault="00086B25" w:rsidP="00D204FD">
    <w:pPr>
      <w:pStyle w:val="Footer"/>
      <w:jc w:val="right"/>
      <w:rPr>
        <w:rFonts w:ascii="Times New Roman" w:hAnsi="Times New Roman" w:cs="Times New Roman"/>
        <w:sz w:val="24"/>
        <w:szCs w:val="24"/>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4F434" w14:textId="77777777" w:rsidR="00C90A28" w:rsidRDefault="00C90A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A8006" w14:textId="77777777" w:rsidR="00FA43A6" w:rsidRDefault="00FA43A6" w:rsidP="00086B25">
      <w:pPr>
        <w:spacing w:after="0" w:line="240" w:lineRule="auto"/>
      </w:pPr>
      <w:r>
        <w:separator/>
      </w:r>
    </w:p>
  </w:footnote>
  <w:footnote w:type="continuationSeparator" w:id="0">
    <w:p w14:paraId="2234254B" w14:textId="77777777" w:rsidR="00FA43A6" w:rsidRDefault="00FA43A6" w:rsidP="00086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B3323" w14:textId="77777777" w:rsidR="00C90A28" w:rsidRDefault="00C90A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A326F" w14:textId="77777777" w:rsidR="00C90A28" w:rsidRDefault="00C90A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C8B9" w14:textId="77777777" w:rsidR="00C90A28" w:rsidRDefault="00C90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AF8"/>
    <w:multiLevelType w:val="hybridMultilevel"/>
    <w:tmpl w:val="F3E0A314"/>
    <w:lvl w:ilvl="0" w:tplc="6E146E82">
      <w:start w:val="1"/>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45104"/>
    <w:multiLevelType w:val="hybridMultilevel"/>
    <w:tmpl w:val="BE262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522D0"/>
    <w:multiLevelType w:val="hybridMultilevel"/>
    <w:tmpl w:val="DBC80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F3704A"/>
    <w:multiLevelType w:val="hybridMultilevel"/>
    <w:tmpl w:val="A6628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6C6C59"/>
    <w:multiLevelType w:val="hybridMultilevel"/>
    <w:tmpl w:val="00064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B9336B"/>
    <w:multiLevelType w:val="hybridMultilevel"/>
    <w:tmpl w:val="06EAB2AE"/>
    <w:lvl w:ilvl="0" w:tplc="F9480762">
      <w:numFmt w:val="decimal"/>
      <w:lvlText w:val="%1"/>
      <w:lvlJc w:val="left"/>
      <w:pPr>
        <w:ind w:left="1965" w:hanging="360"/>
      </w:pPr>
      <w:rPr>
        <w:rFonts w:hint="default"/>
      </w:rPr>
    </w:lvl>
    <w:lvl w:ilvl="1" w:tplc="40090019" w:tentative="1">
      <w:start w:val="1"/>
      <w:numFmt w:val="lowerLetter"/>
      <w:lvlText w:val="%2."/>
      <w:lvlJc w:val="left"/>
      <w:pPr>
        <w:ind w:left="2685" w:hanging="360"/>
      </w:pPr>
    </w:lvl>
    <w:lvl w:ilvl="2" w:tplc="4009001B" w:tentative="1">
      <w:start w:val="1"/>
      <w:numFmt w:val="lowerRoman"/>
      <w:lvlText w:val="%3."/>
      <w:lvlJc w:val="right"/>
      <w:pPr>
        <w:ind w:left="3405" w:hanging="180"/>
      </w:pPr>
    </w:lvl>
    <w:lvl w:ilvl="3" w:tplc="4009000F" w:tentative="1">
      <w:start w:val="1"/>
      <w:numFmt w:val="decimal"/>
      <w:lvlText w:val="%4."/>
      <w:lvlJc w:val="left"/>
      <w:pPr>
        <w:ind w:left="4125" w:hanging="360"/>
      </w:pPr>
    </w:lvl>
    <w:lvl w:ilvl="4" w:tplc="40090019" w:tentative="1">
      <w:start w:val="1"/>
      <w:numFmt w:val="lowerLetter"/>
      <w:lvlText w:val="%5."/>
      <w:lvlJc w:val="left"/>
      <w:pPr>
        <w:ind w:left="4845" w:hanging="360"/>
      </w:pPr>
    </w:lvl>
    <w:lvl w:ilvl="5" w:tplc="4009001B" w:tentative="1">
      <w:start w:val="1"/>
      <w:numFmt w:val="lowerRoman"/>
      <w:lvlText w:val="%6."/>
      <w:lvlJc w:val="right"/>
      <w:pPr>
        <w:ind w:left="5565" w:hanging="180"/>
      </w:pPr>
    </w:lvl>
    <w:lvl w:ilvl="6" w:tplc="4009000F" w:tentative="1">
      <w:start w:val="1"/>
      <w:numFmt w:val="decimal"/>
      <w:lvlText w:val="%7."/>
      <w:lvlJc w:val="left"/>
      <w:pPr>
        <w:ind w:left="6285" w:hanging="360"/>
      </w:pPr>
    </w:lvl>
    <w:lvl w:ilvl="7" w:tplc="40090019" w:tentative="1">
      <w:start w:val="1"/>
      <w:numFmt w:val="lowerLetter"/>
      <w:lvlText w:val="%8."/>
      <w:lvlJc w:val="left"/>
      <w:pPr>
        <w:ind w:left="7005" w:hanging="360"/>
      </w:pPr>
    </w:lvl>
    <w:lvl w:ilvl="8" w:tplc="4009001B" w:tentative="1">
      <w:start w:val="1"/>
      <w:numFmt w:val="lowerRoman"/>
      <w:lvlText w:val="%9."/>
      <w:lvlJc w:val="right"/>
      <w:pPr>
        <w:ind w:left="7725" w:hanging="180"/>
      </w:pPr>
    </w:lvl>
  </w:abstractNum>
  <w:abstractNum w:abstractNumId="6" w15:restartNumberingAfterBreak="0">
    <w:nsid w:val="59BE1BAB"/>
    <w:multiLevelType w:val="hybridMultilevel"/>
    <w:tmpl w:val="48487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D75408"/>
    <w:multiLevelType w:val="hybridMultilevel"/>
    <w:tmpl w:val="6916D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E05969"/>
    <w:multiLevelType w:val="hybridMultilevel"/>
    <w:tmpl w:val="E2F0B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7A3CA8"/>
    <w:multiLevelType w:val="hybridMultilevel"/>
    <w:tmpl w:val="818091B0"/>
    <w:lvl w:ilvl="0" w:tplc="E1307E36">
      <w:start w:val="1"/>
      <w:numFmt w:val="lowerLetter"/>
      <w:lvlText w:val="%1)"/>
      <w:lvlJc w:val="left"/>
      <w:pPr>
        <w:ind w:left="2685" w:hanging="360"/>
      </w:pPr>
      <w:rPr>
        <w:rFonts w:hint="default"/>
      </w:rPr>
    </w:lvl>
    <w:lvl w:ilvl="1" w:tplc="40090019" w:tentative="1">
      <w:start w:val="1"/>
      <w:numFmt w:val="lowerLetter"/>
      <w:lvlText w:val="%2."/>
      <w:lvlJc w:val="left"/>
      <w:pPr>
        <w:ind w:left="3405" w:hanging="360"/>
      </w:pPr>
    </w:lvl>
    <w:lvl w:ilvl="2" w:tplc="4009001B" w:tentative="1">
      <w:start w:val="1"/>
      <w:numFmt w:val="lowerRoman"/>
      <w:lvlText w:val="%3."/>
      <w:lvlJc w:val="right"/>
      <w:pPr>
        <w:ind w:left="4125" w:hanging="180"/>
      </w:pPr>
    </w:lvl>
    <w:lvl w:ilvl="3" w:tplc="4009000F" w:tentative="1">
      <w:start w:val="1"/>
      <w:numFmt w:val="decimal"/>
      <w:lvlText w:val="%4."/>
      <w:lvlJc w:val="left"/>
      <w:pPr>
        <w:ind w:left="4845" w:hanging="360"/>
      </w:pPr>
    </w:lvl>
    <w:lvl w:ilvl="4" w:tplc="40090019" w:tentative="1">
      <w:start w:val="1"/>
      <w:numFmt w:val="lowerLetter"/>
      <w:lvlText w:val="%5."/>
      <w:lvlJc w:val="left"/>
      <w:pPr>
        <w:ind w:left="5565" w:hanging="360"/>
      </w:pPr>
    </w:lvl>
    <w:lvl w:ilvl="5" w:tplc="4009001B" w:tentative="1">
      <w:start w:val="1"/>
      <w:numFmt w:val="lowerRoman"/>
      <w:lvlText w:val="%6."/>
      <w:lvlJc w:val="right"/>
      <w:pPr>
        <w:ind w:left="6285" w:hanging="180"/>
      </w:pPr>
    </w:lvl>
    <w:lvl w:ilvl="6" w:tplc="4009000F" w:tentative="1">
      <w:start w:val="1"/>
      <w:numFmt w:val="decimal"/>
      <w:lvlText w:val="%7."/>
      <w:lvlJc w:val="left"/>
      <w:pPr>
        <w:ind w:left="7005" w:hanging="360"/>
      </w:pPr>
    </w:lvl>
    <w:lvl w:ilvl="7" w:tplc="40090019" w:tentative="1">
      <w:start w:val="1"/>
      <w:numFmt w:val="lowerLetter"/>
      <w:lvlText w:val="%8."/>
      <w:lvlJc w:val="left"/>
      <w:pPr>
        <w:ind w:left="7725" w:hanging="360"/>
      </w:pPr>
    </w:lvl>
    <w:lvl w:ilvl="8" w:tplc="4009001B" w:tentative="1">
      <w:start w:val="1"/>
      <w:numFmt w:val="lowerRoman"/>
      <w:lvlText w:val="%9."/>
      <w:lvlJc w:val="right"/>
      <w:pPr>
        <w:ind w:left="8445" w:hanging="180"/>
      </w:pPr>
    </w:lvl>
  </w:abstractNum>
  <w:num w:numId="1">
    <w:abstractNumId w:val="8"/>
  </w:num>
  <w:num w:numId="2">
    <w:abstractNumId w:val="6"/>
  </w:num>
  <w:num w:numId="3">
    <w:abstractNumId w:val="7"/>
  </w:num>
  <w:num w:numId="4">
    <w:abstractNumId w:val="4"/>
  </w:num>
  <w:num w:numId="5">
    <w:abstractNumId w:val="9"/>
  </w:num>
  <w:num w:numId="6">
    <w:abstractNumId w:val="5"/>
  </w:num>
  <w:num w:numId="7">
    <w:abstractNumId w:val="3"/>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67F96"/>
    <w:rsid w:val="000150F2"/>
    <w:rsid w:val="00020BDC"/>
    <w:rsid w:val="00025789"/>
    <w:rsid w:val="00086B25"/>
    <w:rsid w:val="001402EB"/>
    <w:rsid w:val="00155B76"/>
    <w:rsid w:val="001C389D"/>
    <w:rsid w:val="002C2CD8"/>
    <w:rsid w:val="002F5982"/>
    <w:rsid w:val="00367F96"/>
    <w:rsid w:val="003722A7"/>
    <w:rsid w:val="004279E1"/>
    <w:rsid w:val="00455EB7"/>
    <w:rsid w:val="004663D5"/>
    <w:rsid w:val="00514E42"/>
    <w:rsid w:val="00534D23"/>
    <w:rsid w:val="00565104"/>
    <w:rsid w:val="005A21B4"/>
    <w:rsid w:val="005F1042"/>
    <w:rsid w:val="00665056"/>
    <w:rsid w:val="006D25C5"/>
    <w:rsid w:val="006E6A29"/>
    <w:rsid w:val="00784D5B"/>
    <w:rsid w:val="007C6A86"/>
    <w:rsid w:val="00807DB6"/>
    <w:rsid w:val="00816D3A"/>
    <w:rsid w:val="00872305"/>
    <w:rsid w:val="008E49BB"/>
    <w:rsid w:val="008F4B17"/>
    <w:rsid w:val="009362EF"/>
    <w:rsid w:val="00950237"/>
    <w:rsid w:val="009606D5"/>
    <w:rsid w:val="009B0622"/>
    <w:rsid w:val="009C79AB"/>
    <w:rsid w:val="009E6F52"/>
    <w:rsid w:val="009E7B53"/>
    <w:rsid w:val="00A618F5"/>
    <w:rsid w:val="00A775CA"/>
    <w:rsid w:val="00AA70D3"/>
    <w:rsid w:val="00B4598C"/>
    <w:rsid w:val="00BA6A73"/>
    <w:rsid w:val="00C20F1C"/>
    <w:rsid w:val="00C53CDF"/>
    <w:rsid w:val="00C90A28"/>
    <w:rsid w:val="00CD0DB8"/>
    <w:rsid w:val="00CD75C9"/>
    <w:rsid w:val="00CF671A"/>
    <w:rsid w:val="00D1568F"/>
    <w:rsid w:val="00D204FD"/>
    <w:rsid w:val="00D77ADA"/>
    <w:rsid w:val="00D8146F"/>
    <w:rsid w:val="00DE12BC"/>
    <w:rsid w:val="00ED5D47"/>
    <w:rsid w:val="00EF1D70"/>
    <w:rsid w:val="00EF758B"/>
    <w:rsid w:val="00F928A8"/>
    <w:rsid w:val="00FA252E"/>
    <w:rsid w:val="00FA43A6"/>
    <w:rsid w:val="00FC2B8C"/>
    <w:rsid w:val="00FD1DDC"/>
    <w:rsid w:val="00FF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38F9A"/>
  <w15:docId w15:val="{46748A45-B4E8-4E59-A250-3BB2404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F96"/>
    <w:rPr>
      <w:rFonts w:ascii="Tahoma" w:hAnsi="Tahoma" w:cs="Tahoma"/>
      <w:sz w:val="16"/>
      <w:szCs w:val="16"/>
    </w:rPr>
  </w:style>
  <w:style w:type="paragraph" w:styleId="Header">
    <w:name w:val="header"/>
    <w:basedOn w:val="Normal"/>
    <w:link w:val="HeaderChar"/>
    <w:uiPriority w:val="99"/>
    <w:unhideWhenUsed/>
    <w:rsid w:val="00086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B25"/>
  </w:style>
  <w:style w:type="paragraph" w:styleId="Footer">
    <w:name w:val="footer"/>
    <w:basedOn w:val="Normal"/>
    <w:link w:val="FooterChar"/>
    <w:uiPriority w:val="99"/>
    <w:unhideWhenUsed/>
    <w:rsid w:val="00086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B25"/>
  </w:style>
  <w:style w:type="paragraph" w:styleId="ListParagraph">
    <w:name w:val="List Paragraph"/>
    <w:basedOn w:val="Normal"/>
    <w:uiPriority w:val="34"/>
    <w:qFormat/>
    <w:rsid w:val="00AA70D3"/>
    <w:pPr>
      <w:ind w:left="720"/>
      <w:contextualSpacing/>
    </w:pPr>
  </w:style>
  <w:style w:type="paragraph" w:styleId="Subtitle">
    <w:name w:val="Subtitle"/>
    <w:basedOn w:val="Normal"/>
    <w:next w:val="Normal"/>
    <w:link w:val="SubtitleChar"/>
    <w:uiPriority w:val="11"/>
    <w:qFormat/>
    <w:rsid w:val="00534D2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534D2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Drug Delivery Systems</vt:lpstr>
    </vt:vector>
  </TitlesOfParts>
  <Company>home</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Delivery Systems</dc:title>
  <dc:creator>Admin 2</dc:creator>
  <cp:lastModifiedBy>Gorantla.Rajesh</cp:lastModifiedBy>
  <cp:revision>45</cp:revision>
  <cp:lastPrinted>2019-01-18T07:44:00Z</cp:lastPrinted>
  <dcterms:created xsi:type="dcterms:W3CDTF">2019-01-09T08:51:00Z</dcterms:created>
  <dcterms:modified xsi:type="dcterms:W3CDTF">2024-01-29T19:08:00Z</dcterms:modified>
</cp:coreProperties>
</file>