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65967" w14:textId="77777777" w:rsidR="00BF5214" w:rsidRPr="00546926" w:rsidRDefault="00BF5214" w:rsidP="00BF521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EFFECT OF V</w:t>
      </w:r>
      <w:r w:rsidR="001A3545">
        <w:rPr>
          <w:rFonts w:ascii="Times New Roman" w:hAnsi="Times New Roman"/>
          <w:b/>
          <w:sz w:val="28"/>
          <w:szCs w:val="28"/>
        </w:rPr>
        <w:t>ARIOUS BLENDS OF GLIDANTS ON F</w:t>
      </w:r>
      <w:r>
        <w:rPr>
          <w:rFonts w:ascii="Times New Roman" w:hAnsi="Times New Roman"/>
          <w:b/>
          <w:sz w:val="28"/>
          <w:szCs w:val="28"/>
        </w:rPr>
        <w:t>LOW PROPERTIES OF POWDER, GRANULES</w:t>
      </w:r>
    </w:p>
    <w:p w14:paraId="31309EB5" w14:textId="77777777" w:rsidR="00BF5214" w:rsidRPr="00546926" w:rsidRDefault="00BF5214" w:rsidP="00BF521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46926">
        <w:rPr>
          <w:rFonts w:ascii="Times New Roman" w:hAnsi="Times New Roman"/>
          <w:b/>
          <w:sz w:val="24"/>
          <w:szCs w:val="24"/>
        </w:rPr>
        <w:t xml:space="preserve">AIM </w:t>
      </w:r>
    </w:p>
    <w:p w14:paraId="31455AE0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  <w:r w:rsidRPr="00546926">
        <w:rPr>
          <w:rFonts w:ascii="Times New Roman" w:hAnsi="Times New Roman"/>
          <w:b/>
          <w:sz w:val="24"/>
          <w:szCs w:val="24"/>
        </w:rPr>
        <w:tab/>
      </w:r>
      <w:r w:rsidRPr="00AF1810">
        <w:rPr>
          <w:rFonts w:ascii="Times New Roman" w:hAnsi="Times New Roman"/>
          <w:sz w:val="24"/>
          <w:szCs w:val="24"/>
        </w:rPr>
        <w:t xml:space="preserve">To evaluate the effect of </w:t>
      </w:r>
      <w:proofErr w:type="spellStart"/>
      <w:r w:rsidRPr="00AF1810">
        <w:rPr>
          <w:rFonts w:ascii="Times New Roman" w:hAnsi="Times New Roman"/>
          <w:sz w:val="24"/>
          <w:szCs w:val="24"/>
        </w:rPr>
        <w:t>Glidants</w:t>
      </w:r>
      <w:proofErr w:type="spellEnd"/>
      <w:r w:rsidRPr="00AF1810">
        <w:rPr>
          <w:rFonts w:ascii="Times New Roman" w:hAnsi="Times New Roman"/>
          <w:sz w:val="24"/>
          <w:szCs w:val="24"/>
        </w:rPr>
        <w:t xml:space="preserve"> on flow properties </w:t>
      </w:r>
    </w:p>
    <w:p w14:paraId="20D8818C" w14:textId="77777777" w:rsidR="00BF5214" w:rsidRPr="00546926" w:rsidRDefault="00BF5214" w:rsidP="00BF521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46926">
        <w:rPr>
          <w:rFonts w:ascii="Times New Roman" w:hAnsi="Times New Roman"/>
          <w:b/>
          <w:sz w:val="24"/>
          <w:szCs w:val="24"/>
        </w:rPr>
        <w:t>PRINCIPLE</w:t>
      </w:r>
    </w:p>
    <w:p w14:paraId="2CEE9D9E" w14:textId="77777777" w:rsidR="00BF5214" w:rsidRDefault="00BF5214" w:rsidP="00BF521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Flow properties of substances generally powders, granules play an important role in deciding the weight variation, content uniformity etc. The </w:t>
      </w:r>
      <w:proofErr w:type="spellStart"/>
      <w:r>
        <w:rPr>
          <w:rFonts w:ascii="Times New Roman" w:hAnsi="Times New Roman"/>
          <w:sz w:val="24"/>
          <w:szCs w:val="24"/>
        </w:rPr>
        <w:t>Glidants</w:t>
      </w:r>
      <w:proofErr w:type="spellEnd"/>
      <w:r>
        <w:rPr>
          <w:rFonts w:ascii="Times New Roman" w:hAnsi="Times New Roman"/>
          <w:sz w:val="24"/>
          <w:szCs w:val="24"/>
        </w:rPr>
        <w:t xml:space="preserve"> are the substances which are intended to reduce the frictional forces between the particles. The flow properties that are usually measured are Angle of repose, compressibility index, </w:t>
      </w:r>
      <w:proofErr w:type="spellStart"/>
      <w:r>
        <w:rPr>
          <w:rFonts w:ascii="Times New Roman" w:hAnsi="Times New Roman"/>
          <w:sz w:val="24"/>
          <w:szCs w:val="24"/>
        </w:rPr>
        <w:t>Hausner’s</w:t>
      </w:r>
      <w:proofErr w:type="spellEnd"/>
      <w:r>
        <w:rPr>
          <w:rFonts w:ascii="Times New Roman" w:hAnsi="Times New Roman"/>
          <w:sz w:val="24"/>
          <w:szCs w:val="24"/>
        </w:rPr>
        <w:t xml:space="preserve"> ratio, Tapped density and Bulk density.</w:t>
      </w:r>
    </w:p>
    <w:p w14:paraId="5921945B" w14:textId="77777777" w:rsidR="00BF5214" w:rsidRPr="00436CD9" w:rsidRDefault="00BF5214" w:rsidP="00BF5214">
      <w:pPr>
        <w:pStyle w:val="NormalWeb"/>
        <w:spacing w:line="360" w:lineRule="auto"/>
        <w:rPr>
          <w:b/>
        </w:rPr>
      </w:pPr>
      <w:r>
        <w:rPr>
          <w:b/>
        </w:rPr>
        <w:t>A</w:t>
      </w:r>
      <w:r w:rsidRPr="00436CD9">
        <w:rPr>
          <w:b/>
        </w:rPr>
        <w:t>ngle of repose (θ)</w:t>
      </w:r>
    </w:p>
    <w:p w14:paraId="78455EB7" w14:textId="77777777" w:rsidR="00BF5214" w:rsidRPr="00436CD9" w:rsidRDefault="00BF5214" w:rsidP="00BF5214">
      <w:pPr>
        <w:pStyle w:val="NormalWeb"/>
        <w:spacing w:line="360" w:lineRule="auto"/>
        <w:ind w:firstLine="720"/>
        <w:jc w:val="both"/>
      </w:pPr>
      <w:r w:rsidRPr="00436CD9">
        <w:t>These are the simple and related techniques for measuring the resistance to particle moment. Angle of repose is defined as the maximum angle possible between the surface of a pile</w:t>
      </w:r>
      <w:r>
        <w:t xml:space="preserve"> of powder and horizontal plane.</w:t>
      </w:r>
    </w:p>
    <w:p w14:paraId="184F95C2" w14:textId="77777777" w:rsidR="00BF5214" w:rsidRPr="00436CD9" w:rsidRDefault="00BF5214" w:rsidP="00BF5214">
      <w:pPr>
        <w:pStyle w:val="NormalWeb"/>
        <w:spacing w:line="360" w:lineRule="auto"/>
        <w:jc w:val="center"/>
      </w:pPr>
      <w:r w:rsidRPr="00436CD9">
        <w:t>Tan θ = h/r</w:t>
      </w:r>
    </w:p>
    <w:p w14:paraId="4030EFF2" w14:textId="77777777" w:rsidR="00BF5214" w:rsidRPr="00436CD9" w:rsidRDefault="00BF5214" w:rsidP="00BF5214">
      <w:pPr>
        <w:pStyle w:val="NormalWeb"/>
        <w:spacing w:line="360" w:lineRule="auto"/>
        <w:jc w:val="center"/>
      </w:pPr>
      <w:r w:rsidRPr="00436CD9">
        <w:t>θ = tan</w:t>
      </w:r>
      <w:r w:rsidRPr="00436CD9">
        <w:rPr>
          <w:vertAlign w:val="superscript"/>
        </w:rPr>
        <w:t xml:space="preserve">-1 </w:t>
      </w:r>
      <w:r w:rsidRPr="00436CD9">
        <w:t>h/r</w:t>
      </w:r>
    </w:p>
    <w:p w14:paraId="3071E0CB" w14:textId="77777777" w:rsidR="00BF5214" w:rsidRPr="00436CD9" w:rsidRDefault="00BF5214" w:rsidP="00BF5214">
      <w:pPr>
        <w:pStyle w:val="NormalWeb"/>
        <w:spacing w:line="360" w:lineRule="auto"/>
        <w:jc w:val="center"/>
      </w:pPr>
      <w:r w:rsidRPr="00436CD9">
        <w:t>Where h =height of pile</w:t>
      </w:r>
    </w:p>
    <w:p w14:paraId="1BC9A956" w14:textId="77777777" w:rsidR="00BF5214" w:rsidRPr="00436CD9" w:rsidRDefault="00BF5214" w:rsidP="00BF5214">
      <w:pPr>
        <w:pStyle w:val="NormalWeb"/>
        <w:spacing w:line="360" w:lineRule="auto"/>
        <w:jc w:val="center"/>
      </w:pPr>
      <w:r w:rsidRPr="00436CD9">
        <w:t>r =radius of base of pile</w:t>
      </w:r>
    </w:p>
    <w:p w14:paraId="2271F6B3" w14:textId="77777777" w:rsidR="00BF5214" w:rsidRPr="00436CD9" w:rsidRDefault="00BF5214" w:rsidP="00BF5214">
      <w:pPr>
        <w:pStyle w:val="NormalWeb"/>
        <w:spacing w:line="360" w:lineRule="auto"/>
        <w:jc w:val="center"/>
      </w:pPr>
      <w:r w:rsidRPr="00436CD9">
        <w:t>θ =angle of repose</w:t>
      </w:r>
    </w:p>
    <w:p w14:paraId="0911FC2F" w14:textId="77777777" w:rsidR="00BF5214" w:rsidRPr="00436CD9" w:rsidRDefault="00BF5214" w:rsidP="00BF5214">
      <w:pPr>
        <w:pStyle w:val="NormalWeb"/>
        <w:spacing w:line="360" w:lineRule="auto"/>
        <w:jc w:val="both"/>
      </w:pPr>
      <w:r w:rsidRPr="00436CD9">
        <w:rPr>
          <w:b/>
        </w:rPr>
        <w:t xml:space="preserve"> Method: </w:t>
      </w:r>
      <w:r w:rsidRPr="00436CD9">
        <w:t>A glass funnel is held in place with a clamp on a ring support over a tile. Approximately 100gms of powder is transferred into funnel through a mesh size number 20 keeping the orifice of the funnel blocked by the thumb.</w:t>
      </w:r>
    </w:p>
    <w:p w14:paraId="120451AC" w14:textId="77777777" w:rsidR="00BF5214" w:rsidRDefault="00BF5214" w:rsidP="00BF5214">
      <w:pPr>
        <w:pStyle w:val="NormalWeb"/>
        <w:spacing w:line="360" w:lineRule="auto"/>
        <w:ind w:firstLine="720"/>
        <w:jc w:val="both"/>
      </w:pPr>
      <w:r w:rsidRPr="00436CD9">
        <w:lastRenderedPageBreak/>
        <w:t>When the powder is emptied from the funnel, the angle of the heap to the horizontal plane is measured with a scale. The height of the pile (h) and the radius at the base is measured with a ruler. The angle of repose is thus estimated</w:t>
      </w:r>
    </w:p>
    <w:p w14:paraId="4ABDE89C" w14:textId="77777777" w:rsidR="00BF5214" w:rsidRDefault="00BF5214" w:rsidP="00BF5214">
      <w:pPr>
        <w:pStyle w:val="NormalWeb"/>
        <w:spacing w:line="360" w:lineRule="auto"/>
        <w:ind w:firstLine="720"/>
        <w:jc w:val="both"/>
      </w:pPr>
    </w:p>
    <w:p w14:paraId="72917A31" w14:textId="77777777" w:rsidR="00BF5214" w:rsidRPr="00436CD9" w:rsidRDefault="00BF5214" w:rsidP="00BF5214">
      <w:pPr>
        <w:pStyle w:val="NormalWeb"/>
        <w:spacing w:line="360" w:lineRule="auto"/>
        <w:ind w:firstLine="720"/>
        <w:jc w:val="both"/>
      </w:pPr>
    </w:p>
    <w:p w14:paraId="52099B9E" w14:textId="77777777" w:rsidR="00BF5214" w:rsidRPr="00436CD9" w:rsidRDefault="00BF5214" w:rsidP="00BF5214">
      <w:pPr>
        <w:pStyle w:val="NormalWeb"/>
        <w:spacing w:line="360" w:lineRule="auto"/>
        <w:jc w:val="center"/>
        <w:rPr>
          <w:b/>
          <w:u w:val="single"/>
        </w:rPr>
      </w:pPr>
      <w:r w:rsidRPr="00436CD9">
        <w:rPr>
          <w:b/>
          <w:u w:val="single"/>
        </w:rPr>
        <w:t>RELATIONSHIP BETWEEN ANGLE OF REPOSE (θ) AND POWDER FLOW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5"/>
        <w:gridCol w:w="1196"/>
      </w:tblGrid>
      <w:tr w:rsidR="00BF5214" w:rsidRPr="00436CD9" w14:paraId="1D0B9895" w14:textId="77777777" w:rsidTr="002D592E">
        <w:trPr>
          <w:trHeight w:val="395"/>
          <w:jc w:val="center"/>
        </w:trPr>
        <w:tc>
          <w:tcPr>
            <w:tcW w:w="0" w:type="auto"/>
          </w:tcPr>
          <w:p w14:paraId="55A3D2F1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ANGLE OF REPOSE(θ) DEGREES</w:t>
            </w:r>
          </w:p>
        </w:tc>
        <w:tc>
          <w:tcPr>
            <w:tcW w:w="0" w:type="auto"/>
          </w:tcPr>
          <w:p w14:paraId="08E03987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FLOW</w:t>
            </w:r>
          </w:p>
        </w:tc>
      </w:tr>
      <w:tr w:rsidR="00BF5214" w:rsidRPr="00436CD9" w14:paraId="20409799" w14:textId="77777777" w:rsidTr="002D592E">
        <w:trPr>
          <w:trHeight w:val="395"/>
          <w:jc w:val="center"/>
        </w:trPr>
        <w:tc>
          <w:tcPr>
            <w:tcW w:w="0" w:type="auto"/>
          </w:tcPr>
          <w:p w14:paraId="60E949DE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&lt;25</w:t>
            </w:r>
          </w:p>
        </w:tc>
        <w:tc>
          <w:tcPr>
            <w:tcW w:w="0" w:type="auto"/>
          </w:tcPr>
          <w:p w14:paraId="70C3BD43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Excellent</w:t>
            </w:r>
          </w:p>
        </w:tc>
      </w:tr>
      <w:tr w:rsidR="00BF5214" w:rsidRPr="00436CD9" w14:paraId="11A24D78" w14:textId="77777777" w:rsidTr="002D592E">
        <w:trPr>
          <w:trHeight w:val="395"/>
          <w:jc w:val="center"/>
        </w:trPr>
        <w:tc>
          <w:tcPr>
            <w:tcW w:w="0" w:type="auto"/>
          </w:tcPr>
          <w:p w14:paraId="69047D8E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25-30</w:t>
            </w:r>
          </w:p>
        </w:tc>
        <w:tc>
          <w:tcPr>
            <w:tcW w:w="0" w:type="auto"/>
          </w:tcPr>
          <w:p w14:paraId="6C519A88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Good</w:t>
            </w:r>
          </w:p>
        </w:tc>
      </w:tr>
      <w:tr w:rsidR="00BF5214" w:rsidRPr="00436CD9" w14:paraId="191376EA" w14:textId="77777777" w:rsidTr="002D592E">
        <w:trPr>
          <w:trHeight w:val="384"/>
          <w:jc w:val="center"/>
        </w:trPr>
        <w:tc>
          <w:tcPr>
            <w:tcW w:w="0" w:type="auto"/>
          </w:tcPr>
          <w:p w14:paraId="1A82A407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30-40</w:t>
            </w:r>
          </w:p>
        </w:tc>
        <w:tc>
          <w:tcPr>
            <w:tcW w:w="0" w:type="auto"/>
          </w:tcPr>
          <w:p w14:paraId="20DB5332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Passable</w:t>
            </w:r>
          </w:p>
        </w:tc>
      </w:tr>
      <w:tr w:rsidR="00BF5214" w:rsidRPr="00436CD9" w14:paraId="6468A8B8" w14:textId="77777777" w:rsidTr="002D592E">
        <w:trPr>
          <w:trHeight w:val="406"/>
          <w:jc w:val="center"/>
        </w:trPr>
        <w:tc>
          <w:tcPr>
            <w:tcW w:w="0" w:type="auto"/>
          </w:tcPr>
          <w:p w14:paraId="1AC5A901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&gt;40</w:t>
            </w:r>
          </w:p>
        </w:tc>
        <w:tc>
          <w:tcPr>
            <w:tcW w:w="0" w:type="auto"/>
          </w:tcPr>
          <w:p w14:paraId="2BF15578" w14:textId="77777777" w:rsidR="00BF5214" w:rsidRPr="00436CD9" w:rsidRDefault="00BF5214" w:rsidP="002D592E">
            <w:pPr>
              <w:pStyle w:val="NormalWeb"/>
              <w:spacing w:line="360" w:lineRule="auto"/>
              <w:jc w:val="center"/>
              <w:rPr>
                <w:bCs/>
              </w:rPr>
            </w:pPr>
            <w:r w:rsidRPr="00436CD9">
              <w:rPr>
                <w:bCs/>
              </w:rPr>
              <w:t>Very poor</w:t>
            </w:r>
          </w:p>
        </w:tc>
      </w:tr>
    </w:tbl>
    <w:p w14:paraId="1E1D89AA" w14:textId="77777777" w:rsidR="00BF5214" w:rsidRDefault="00BF5214" w:rsidP="00BF521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E370B08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</w:t>
      </w:r>
      <w:r w:rsidRPr="00436CD9">
        <w:rPr>
          <w:rFonts w:ascii="Times New Roman" w:hAnsi="Times New Roman"/>
          <w:b/>
          <w:bCs/>
          <w:sz w:val="24"/>
          <w:szCs w:val="24"/>
        </w:rPr>
        <w:t>arr’s</w:t>
      </w:r>
      <w:proofErr w:type="spellEnd"/>
      <w:r w:rsidRPr="00436CD9">
        <w:rPr>
          <w:rFonts w:ascii="Times New Roman" w:hAnsi="Times New Roman"/>
          <w:b/>
          <w:bCs/>
          <w:sz w:val="24"/>
          <w:szCs w:val="24"/>
        </w:rPr>
        <w:t xml:space="preserve"> consolidation index</w:t>
      </w:r>
    </w:p>
    <w:p w14:paraId="50AF2EA9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>It is defined as</w:t>
      </w:r>
    </w:p>
    <w:p w14:paraId="6B9DF3DE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t xml:space="preserve">      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consolidation index=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tapped density-fluff density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tapped density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×100</m:t>
        </m:r>
      </m:oMath>
    </w:p>
    <w:p w14:paraId="25A169C3" w14:textId="77777777" w:rsidR="00BF5214" w:rsidRPr="00436CD9" w:rsidRDefault="00BF5214" w:rsidP="00BF5214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 xml:space="preserve">This property is </w:t>
      </w:r>
      <w:r>
        <w:rPr>
          <w:rFonts w:ascii="Times New Roman" w:hAnsi="Times New Roman"/>
          <w:bCs/>
          <w:sz w:val="24"/>
          <w:szCs w:val="24"/>
        </w:rPr>
        <w:t>also known as compressibility. I</w:t>
      </w:r>
      <w:r w:rsidRPr="00436CD9">
        <w:rPr>
          <w:rFonts w:ascii="Times New Roman" w:hAnsi="Times New Roman"/>
          <w:bCs/>
          <w:sz w:val="24"/>
          <w:szCs w:val="24"/>
        </w:rPr>
        <w:t>t is indirectly related to the relative flow rate, cohesiveness and particle size. It is simple, fast and popular method</w:t>
      </w:r>
      <w:r>
        <w:rPr>
          <w:rFonts w:ascii="Times New Roman" w:hAnsi="Times New Roman"/>
          <w:bCs/>
          <w:sz w:val="24"/>
          <w:szCs w:val="24"/>
        </w:rPr>
        <w:t xml:space="preserve"> of predicting powder flow chara</w:t>
      </w:r>
      <w:r w:rsidRPr="00436CD9">
        <w:rPr>
          <w:rFonts w:ascii="Times New Roman" w:hAnsi="Times New Roman"/>
          <w:bCs/>
          <w:sz w:val="24"/>
          <w:szCs w:val="24"/>
        </w:rPr>
        <w:t>cteristics.</w:t>
      </w:r>
    </w:p>
    <w:p w14:paraId="3C6316B6" w14:textId="77777777" w:rsidR="00BF5214" w:rsidRPr="00436CD9" w:rsidRDefault="00BF5214" w:rsidP="00BF5214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>Fluff density is the ratio of mass of powder to the fluff volume. Fluff volume is the volume occupied by a certain mass, when gently poured into a measuring cylinder.</w:t>
      </w:r>
    </w:p>
    <w:p w14:paraId="406B18C9" w14:textId="77777777" w:rsidR="00BF5214" w:rsidRPr="00436CD9" w:rsidRDefault="00BF5214" w:rsidP="00BF5214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>Tapped density is the ratio of mass of powder to the tapped volume. Tapped volume is the volume occupied by the same mass of powder after a standard tapping of a measure.</w:t>
      </w:r>
    </w:p>
    <w:p w14:paraId="67A2BA99" w14:textId="77777777" w:rsidR="00BF5214" w:rsidRPr="00436CD9" w:rsidRDefault="00BF5214" w:rsidP="00BF5214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>Compressibility index can be measure of the potential strength that a powder could build up in its arch in a hopper and also the ease with which such an arch could be broken.</w:t>
      </w:r>
    </w:p>
    <w:p w14:paraId="68DD68C7" w14:textId="77777777" w:rsidR="00BF5214" w:rsidRPr="00436CD9" w:rsidRDefault="00BF5214" w:rsidP="00BF5214">
      <w:pPr>
        <w:spacing w:line="360" w:lineRule="auto"/>
        <w:jc w:val="both"/>
        <w:rPr>
          <w:rFonts w:ascii="Times New Roman" w:hAnsi="Times New Roman"/>
          <w:bCs/>
          <w:sz w:val="24"/>
          <w:szCs w:val="24"/>
          <w:vertAlign w:val="subscript"/>
        </w:rPr>
      </w:pPr>
      <w:r w:rsidRPr="00E36E0C">
        <w:rPr>
          <w:rFonts w:ascii="Times New Roman" w:hAnsi="Times New Roman"/>
          <w:b/>
          <w:bCs/>
          <w:sz w:val="24"/>
          <w:szCs w:val="24"/>
        </w:rPr>
        <w:lastRenderedPageBreak/>
        <w:t>Method:</w:t>
      </w:r>
      <w:r w:rsidRPr="00436CD9">
        <w:rPr>
          <w:rFonts w:ascii="Times New Roman" w:hAnsi="Times New Roman"/>
          <w:bCs/>
          <w:sz w:val="24"/>
          <w:szCs w:val="24"/>
        </w:rPr>
        <w:t xml:space="preserve"> Using a suitable adhesive, the base of a 10 ml tarred measuring cylinder is fixed to the standard rubber bung at the top of the 250 ml cylinder. A powder sample (about 5.0 g) is transferred into the tarred 10 ml cylinder with the help of a funnel. The 250 ml measuring cylinder is placed on the tapping apparatus. The initial volume occupied by the powder is denoted as V</w:t>
      </w:r>
      <w:r w:rsidRPr="00436CD9">
        <w:rPr>
          <w:rFonts w:ascii="Times New Roman" w:hAnsi="Times New Roman"/>
          <w:bCs/>
          <w:sz w:val="24"/>
          <w:szCs w:val="24"/>
          <w:vertAlign w:val="subscript"/>
        </w:rPr>
        <w:t>0.</w:t>
      </w:r>
    </w:p>
    <w:p w14:paraId="11099B66" w14:textId="77777777" w:rsidR="00BF5214" w:rsidRPr="00436CD9" w:rsidRDefault="00BF5214" w:rsidP="00BF5214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 xml:space="preserve">The contents are tapped in the following order, 2, 4, 6, 8, 10, 20, 30 and 50 taps. After completing the </w:t>
      </w:r>
      <w:proofErr w:type="spellStart"/>
      <w:r w:rsidRPr="00436CD9">
        <w:rPr>
          <w:rFonts w:ascii="Times New Roman" w:hAnsi="Times New Roman"/>
          <w:bCs/>
          <w:sz w:val="24"/>
          <w:szCs w:val="24"/>
        </w:rPr>
        <w:t>tappings</w:t>
      </w:r>
      <w:proofErr w:type="spellEnd"/>
      <w:r w:rsidRPr="00436CD9">
        <w:rPr>
          <w:rFonts w:ascii="Times New Roman" w:hAnsi="Times New Roman"/>
          <w:bCs/>
          <w:sz w:val="24"/>
          <w:szCs w:val="24"/>
        </w:rPr>
        <w:t>, the volume is denoted as V</w:t>
      </w:r>
      <w:r w:rsidRPr="00436CD9">
        <w:rPr>
          <w:rFonts w:ascii="Times New Roman" w:hAnsi="Times New Roman"/>
          <w:bCs/>
          <w:sz w:val="24"/>
          <w:szCs w:val="24"/>
          <w:vertAlign w:val="subscript"/>
        </w:rPr>
        <w:t xml:space="preserve">2, </w:t>
      </w:r>
      <w:r w:rsidRPr="00436CD9">
        <w:rPr>
          <w:rFonts w:ascii="Times New Roman" w:hAnsi="Times New Roman"/>
          <w:bCs/>
          <w:sz w:val="24"/>
          <w:szCs w:val="24"/>
        </w:rPr>
        <w:t>V</w:t>
      </w:r>
      <w:r w:rsidRPr="00436CD9">
        <w:rPr>
          <w:rFonts w:ascii="Times New Roman" w:hAnsi="Times New Roman"/>
          <w:bCs/>
          <w:sz w:val="24"/>
          <w:szCs w:val="24"/>
          <w:vertAlign w:val="subscript"/>
        </w:rPr>
        <w:t xml:space="preserve">4 </w:t>
      </w:r>
      <w:r w:rsidRPr="00436CD9">
        <w:rPr>
          <w:rFonts w:ascii="Times New Roman" w:hAnsi="Times New Roman"/>
          <w:bCs/>
          <w:sz w:val="24"/>
          <w:szCs w:val="24"/>
        </w:rPr>
        <w:t>.................V</w:t>
      </w:r>
      <w:r w:rsidRPr="00436CD9">
        <w:rPr>
          <w:rFonts w:ascii="Times New Roman" w:hAnsi="Times New Roman"/>
          <w:bCs/>
          <w:sz w:val="24"/>
          <w:szCs w:val="24"/>
          <w:vertAlign w:val="subscript"/>
        </w:rPr>
        <w:t>50</w:t>
      </w:r>
      <w:r w:rsidRPr="00436CD9">
        <w:rPr>
          <w:rFonts w:ascii="Times New Roman" w:hAnsi="Times New Roman"/>
          <w:bCs/>
          <w:sz w:val="24"/>
          <w:szCs w:val="24"/>
        </w:rPr>
        <w:t>.</w:t>
      </w:r>
    </w:p>
    <w:p w14:paraId="389B4A42" w14:textId="77777777" w:rsidR="00BF5214" w:rsidRPr="00436CD9" w:rsidRDefault="00BF5214" w:rsidP="00BF5214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>The powder is carefully collected from the cylinder and weighed (W).</w:t>
      </w:r>
    </w:p>
    <w:p w14:paraId="387C9447" w14:textId="77777777" w:rsidR="00BF5214" w:rsidRPr="004518A4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518A4">
        <w:rPr>
          <w:rFonts w:ascii="Times New Roman" w:hAnsi="Times New Roman"/>
          <w:bCs/>
          <w:sz w:val="24"/>
          <w:szCs w:val="24"/>
        </w:rPr>
        <w:t>Fluff density (</w:t>
      </w:r>
      <w:proofErr w:type="spellStart"/>
      <w:r w:rsidRPr="004518A4">
        <w:rPr>
          <w:rFonts w:ascii="Times New Roman" w:hAnsi="Times New Roman"/>
          <w:bCs/>
          <w:sz w:val="24"/>
          <w:szCs w:val="24"/>
        </w:rPr>
        <w:t>ρ</w:t>
      </w:r>
      <w:r w:rsidRPr="004518A4">
        <w:rPr>
          <w:rFonts w:ascii="Times New Roman" w:hAnsi="Times New Roman"/>
          <w:bCs/>
          <w:sz w:val="24"/>
          <w:szCs w:val="24"/>
          <w:vertAlign w:val="subscript"/>
        </w:rPr>
        <w:t>b</w:t>
      </w:r>
      <w:proofErr w:type="spellEnd"/>
      <w:r w:rsidRPr="004518A4">
        <w:rPr>
          <w:rFonts w:ascii="Times New Roman" w:hAnsi="Times New Roman"/>
          <w:bCs/>
          <w:sz w:val="24"/>
          <w:szCs w:val="24"/>
          <w:vertAlign w:val="subscript"/>
        </w:rPr>
        <w:t xml:space="preserve">, </w:t>
      </w:r>
      <w:r w:rsidRPr="004518A4">
        <w:rPr>
          <w:rFonts w:ascii="Times New Roman" w:hAnsi="Times New Roman"/>
          <w:bCs/>
          <w:sz w:val="24"/>
          <w:szCs w:val="24"/>
        </w:rPr>
        <w:t>minimum) = w/</w:t>
      </w:r>
      <w:proofErr w:type="spellStart"/>
      <w:r w:rsidRPr="004518A4">
        <w:rPr>
          <w:rFonts w:ascii="Times New Roman" w:hAnsi="Times New Roman"/>
          <w:bCs/>
          <w:sz w:val="24"/>
          <w:szCs w:val="24"/>
        </w:rPr>
        <w:t>v</w:t>
      </w:r>
      <w:r w:rsidRPr="004518A4">
        <w:rPr>
          <w:rFonts w:ascii="Times New Roman" w:hAnsi="Times New Roman"/>
          <w:bCs/>
          <w:sz w:val="24"/>
          <w:szCs w:val="24"/>
          <w:vertAlign w:val="subscript"/>
        </w:rPr>
        <w:t>o</w:t>
      </w:r>
      <w:proofErr w:type="spellEnd"/>
      <w:r w:rsidRPr="004518A4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4518A4">
        <w:rPr>
          <w:rFonts w:ascii="Times New Roman" w:hAnsi="Times New Roman"/>
          <w:bCs/>
          <w:sz w:val="24"/>
          <w:szCs w:val="24"/>
        </w:rPr>
        <w:t>g/cc</w:t>
      </w:r>
    </w:p>
    <w:p w14:paraId="1E513A84" w14:textId="77777777" w:rsidR="00BF5214" w:rsidRPr="004518A4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518A4">
        <w:rPr>
          <w:rFonts w:ascii="Times New Roman" w:hAnsi="Times New Roman"/>
          <w:bCs/>
          <w:sz w:val="24"/>
          <w:szCs w:val="24"/>
        </w:rPr>
        <w:t xml:space="preserve">Tapped </w:t>
      </w:r>
      <w:proofErr w:type="spellStart"/>
      <w:r w:rsidRPr="004518A4">
        <w:rPr>
          <w:rFonts w:ascii="Times New Roman" w:hAnsi="Times New Roman"/>
          <w:bCs/>
          <w:sz w:val="24"/>
          <w:szCs w:val="24"/>
        </w:rPr>
        <w:t>sensity</w:t>
      </w:r>
      <w:proofErr w:type="spellEnd"/>
      <w:r w:rsidRPr="004518A4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4518A4">
        <w:rPr>
          <w:rFonts w:ascii="Times New Roman" w:hAnsi="Times New Roman"/>
          <w:bCs/>
          <w:sz w:val="24"/>
          <w:szCs w:val="24"/>
        </w:rPr>
        <w:t>ρ</w:t>
      </w:r>
      <w:r w:rsidRPr="004518A4">
        <w:rPr>
          <w:rFonts w:ascii="Times New Roman" w:hAnsi="Times New Roman"/>
          <w:bCs/>
          <w:sz w:val="24"/>
          <w:szCs w:val="24"/>
          <w:vertAlign w:val="subscript"/>
        </w:rPr>
        <w:t>b</w:t>
      </w:r>
      <w:proofErr w:type="spellEnd"/>
      <w:r w:rsidRPr="004518A4">
        <w:rPr>
          <w:rFonts w:ascii="Times New Roman" w:hAnsi="Times New Roman"/>
          <w:bCs/>
          <w:sz w:val="24"/>
          <w:szCs w:val="24"/>
          <w:vertAlign w:val="subscript"/>
        </w:rPr>
        <w:t xml:space="preserve">, </w:t>
      </w:r>
      <w:r w:rsidRPr="004518A4">
        <w:rPr>
          <w:rFonts w:ascii="Times New Roman" w:hAnsi="Times New Roman"/>
          <w:bCs/>
          <w:sz w:val="24"/>
          <w:szCs w:val="24"/>
        </w:rPr>
        <w:t>maximum) = w/v</w:t>
      </w:r>
      <w:r w:rsidRPr="004518A4">
        <w:rPr>
          <w:rFonts w:ascii="Times New Roman" w:hAnsi="Times New Roman"/>
          <w:bCs/>
          <w:sz w:val="24"/>
          <w:szCs w:val="24"/>
          <w:vertAlign w:val="subscript"/>
        </w:rPr>
        <w:t>50</w:t>
      </w:r>
      <w:r w:rsidRPr="004518A4">
        <w:rPr>
          <w:rFonts w:ascii="Times New Roman" w:hAnsi="Times New Roman"/>
          <w:bCs/>
          <w:sz w:val="24"/>
          <w:szCs w:val="24"/>
        </w:rPr>
        <w:t xml:space="preserve"> g/cc</w:t>
      </w:r>
    </w:p>
    <w:p w14:paraId="2D3EA1D0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 xml:space="preserve">Consolidation index can be calculated using the equation </w:t>
      </w:r>
    </w:p>
    <w:p w14:paraId="56D26374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>The nature of flow is inferred by comparing the data with the index given in the below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1723"/>
      </w:tblGrid>
      <w:tr w:rsidR="00BF5214" w:rsidRPr="00436CD9" w14:paraId="7AF1DBDE" w14:textId="77777777" w:rsidTr="002D592E">
        <w:trPr>
          <w:jc w:val="center"/>
        </w:trPr>
        <w:tc>
          <w:tcPr>
            <w:tcW w:w="0" w:type="auto"/>
          </w:tcPr>
          <w:p w14:paraId="603E5080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Consolidation index</w:t>
            </w:r>
          </w:p>
        </w:tc>
        <w:tc>
          <w:tcPr>
            <w:tcW w:w="0" w:type="auto"/>
          </w:tcPr>
          <w:p w14:paraId="51A325E6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Flow</w:t>
            </w:r>
          </w:p>
        </w:tc>
      </w:tr>
      <w:tr w:rsidR="00BF5214" w:rsidRPr="00436CD9" w14:paraId="73643440" w14:textId="77777777" w:rsidTr="002D592E">
        <w:trPr>
          <w:jc w:val="center"/>
        </w:trPr>
        <w:tc>
          <w:tcPr>
            <w:tcW w:w="0" w:type="auto"/>
          </w:tcPr>
          <w:p w14:paraId="2B8CC265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5-15</w:t>
            </w:r>
          </w:p>
        </w:tc>
        <w:tc>
          <w:tcPr>
            <w:tcW w:w="0" w:type="auto"/>
          </w:tcPr>
          <w:p w14:paraId="520A6226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Excellent</w:t>
            </w:r>
          </w:p>
        </w:tc>
      </w:tr>
      <w:tr w:rsidR="00BF5214" w:rsidRPr="00436CD9" w14:paraId="1AADD73C" w14:textId="77777777" w:rsidTr="002D592E">
        <w:trPr>
          <w:jc w:val="center"/>
        </w:trPr>
        <w:tc>
          <w:tcPr>
            <w:tcW w:w="0" w:type="auto"/>
          </w:tcPr>
          <w:p w14:paraId="66358365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12-16</w:t>
            </w:r>
          </w:p>
        </w:tc>
        <w:tc>
          <w:tcPr>
            <w:tcW w:w="0" w:type="auto"/>
          </w:tcPr>
          <w:p w14:paraId="2DFE952E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Good</w:t>
            </w:r>
          </w:p>
        </w:tc>
      </w:tr>
      <w:tr w:rsidR="00BF5214" w:rsidRPr="00436CD9" w14:paraId="2158FAD9" w14:textId="77777777" w:rsidTr="002D592E">
        <w:trPr>
          <w:jc w:val="center"/>
        </w:trPr>
        <w:tc>
          <w:tcPr>
            <w:tcW w:w="0" w:type="auto"/>
          </w:tcPr>
          <w:p w14:paraId="1A26E441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18-21</w:t>
            </w:r>
          </w:p>
        </w:tc>
        <w:tc>
          <w:tcPr>
            <w:tcW w:w="0" w:type="auto"/>
          </w:tcPr>
          <w:p w14:paraId="610F41B7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Fair to passable</w:t>
            </w:r>
          </w:p>
        </w:tc>
      </w:tr>
      <w:tr w:rsidR="00BF5214" w:rsidRPr="00436CD9" w14:paraId="2EB21BF2" w14:textId="77777777" w:rsidTr="002D592E">
        <w:trPr>
          <w:jc w:val="center"/>
        </w:trPr>
        <w:tc>
          <w:tcPr>
            <w:tcW w:w="0" w:type="auto"/>
          </w:tcPr>
          <w:p w14:paraId="6D9C29DA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23-35</w:t>
            </w:r>
          </w:p>
        </w:tc>
        <w:tc>
          <w:tcPr>
            <w:tcW w:w="0" w:type="auto"/>
          </w:tcPr>
          <w:p w14:paraId="1AFE73ED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Poor</w:t>
            </w:r>
          </w:p>
        </w:tc>
      </w:tr>
      <w:tr w:rsidR="00BF5214" w:rsidRPr="00436CD9" w14:paraId="128DDBF6" w14:textId="77777777" w:rsidTr="002D592E">
        <w:trPr>
          <w:jc w:val="center"/>
        </w:trPr>
        <w:tc>
          <w:tcPr>
            <w:tcW w:w="0" w:type="auto"/>
          </w:tcPr>
          <w:p w14:paraId="01E6EC62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33-38</w:t>
            </w:r>
          </w:p>
        </w:tc>
        <w:tc>
          <w:tcPr>
            <w:tcW w:w="0" w:type="auto"/>
          </w:tcPr>
          <w:p w14:paraId="13071A6F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Very poor</w:t>
            </w:r>
          </w:p>
        </w:tc>
      </w:tr>
      <w:tr w:rsidR="00BF5214" w:rsidRPr="00436CD9" w14:paraId="76A28D94" w14:textId="77777777" w:rsidTr="002D592E">
        <w:trPr>
          <w:jc w:val="center"/>
        </w:trPr>
        <w:tc>
          <w:tcPr>
            <w:tcW w:w="0" w:type="auto"/>
          </w:tcPr>
          <w:p w14:paraId="673C295B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&gt;40</w:t>
            </w:r>
          </w:p>
        </w:tc>
        <w:tc>
          <w:tcPr>
            <w:tcW w:w="0" w:type="auto"/>
          </w:tcPr>
          <w:p w14:paraId="0A0B82B8" w14:textId="77777777" w:rsidR="00BF5214" w:rsidRPr="00436CD9" w:rsidRDefault="00BF5214" w:rsidP="002D592E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 xml:space="preserve">Very </w:t>
            </w:r>
            <w:proofErr w:type="spellStart"/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>very</w:t>
            </w:r>
            <w:proofErr w:type="spellEnd"/>
            <w:r w:rsidRPr="00436CD9">
              <w:rPr>
                <w:rFonts w:ascii="Times New Roman" w:hAnsi="Times New Roman"/>
                <w:bCs/>
                <w:sz w:val="24"/>
                <w:szCs w:val="24"/>
              </w:rPr>
              <w:t xml:space="preserve"> poor</w:t>
            </w:r>
          </w:p>
        </w:tc>
      </w:tr>
    </w:tbl>
    <w:p w14:paraId="435B61D9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H</w:t>
      </w:r>
      <w:r w:rsidRPr="00436CD9">
        <w:rPr>
          <w:rFonts w:ascii="Times New Roman" w:hAnsi="Times New Roman"/>
          <w:b/>
          <w:bCs/>
          <w:sz w:val="24"/>
          <w:szCs w:val="24"/>
        </w:rPr>
        <w:t>ausner</w:t>
      </w:r>
      <w:proofErr w:type="spellEnd"/>
      <w:r w:rsidRPr="00436CD9">
        <w:rPr>
          <w:rFonts w:ascii="Times New Roman" w:hAnsi="Times New Roman"/>
          <w:b/>
          <w:bCs/>
          <w:sz w:val="24"/>
          <w:szCs w:val="24"/>
        </w:rPr>
        <w:t xml:space="preserve"> ratio</w:t>
      </w:r>
    </w:p>
    <w:p w14:paraId="23C58BA3" w14:textId="77777777" w:rsidR="00BF5214" w:rsidRPr="00436CD9" w:rsidRDefault="00BF5214" w:rsidP="00BF5214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  <w:vertAlign w:val="subscript"/>
        </w:rPr>
      </w:pPr>
      <w:r w:rsidRPr="00436CD9">
        <w:rPr>
          <w:rFonts w:ascii="Times New Roman" w:hAnsi="Times New Roman"/>
          <w:bCs/>
          <w:sz w:val="24"/>
          <w:szCs w:val="24"/>
        </w:rPr>
        <w:t xml:space="preserve">It is defined as the ratio of the tapped density to bulk density it can also be calculated by using the formula by using </w:t>
      </w:r>
      <w:proofErr w:type="spellStart"/>
      <w:proofErr w:type="gramStart"/>
      <w:r w:rsidRPr="00436CD9">
        <w:rPr>
          <w:rFonts w:ascii="Times New Roman" w:hAnsi="Times New Roman"/>
          <w:bCs/>
          <w:sz w:val="24"/>
          <w:szCs w:val="24"/>
        </w:rPr>
        <w:t>carr’s</w:t>
      </w:r>
      <w:proofErr w:type="spellEnd"/>
      <w:proofErr w:type="gramEnd"/>
      <w:r w:rsidRPr="00436CD9">
        <w:rPr>
          <w:rFonts w:ascii="Times New Roman" w:hAnsi="Times New Roman"/>
          <w:bCs/>
          <w:sz w:val="24"/>
          <w:szCs w:val="24"/>
        </w:rPr>
        <w:t xml:space="preserve"> consolidation index  </w:t>
      </w:r>
    </w:p>
    <w:p w14:paraId="6C8AC2D4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t xml:space="preserve">      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Hausner ratio=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ρ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tapped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ρbulk</m:t>
            </m:r>
          </m:den>
        </m:f>
      </m:oMath>
    </w:p>
    <w:p w14:paraId="22613E52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lastRenderedPageBreak/>
        <w:t xml:space="preserve">     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Hausner ratio =</m:t>
        </m:r>
        <m:f>
          <m:f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100-C</m:t>
            </m:r>
          </m:den>
        </m:f>
      </m:oMath>
    </w:p>
    <w:p w14:paraId="07A09AA5" w14:textId="77777777" w:rsidR="00BF5214" w:rsidRPr="00436CD9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 xml:space="preserve">Where C is </w:t>
      </w:r>
      <w:proofErr w:type="spellStart"/>
      <w:proofErr w:type="gramStart"/>
      <w:r w:rsidRPr="00436CD9">
        <w:rPr>
          <w:rFonts w:ascii="Times New Roman" w:hAnsi="Times New Roman"/>
          <w:bCs/>
          <w:sz w:val="24"/>
          <w:szCs w:val="24"/>
        </w:rPr>
        <w:t>carr’s</w:t>
      </w:r>
      <w:proofErr w:type="spellEnd"/>
      <w:proofErr w:type="gramEnd"/>
      <w:r w:rsidRPr="00436CD9">
        <w:rPr>
          <w:rFonts w:ascii="Times New Roman" w:hAnsi="Times New Roman"/>
          <w:bCs/>
          <w:sz w:val="24"/>
          <w:szCs w:val="24"/>
        </w:rPr>
        <w:t xml:space="preserve"> consolidation index value</w:t>
      </w:r>
    </w:p>
    <w:p w14:paraId="37597107" w14:textId="77777777" w:rsidR="00BF5214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36CD9">
        <w:rPr>
          <w:rFonts w:ascii="Times New Roman" w:hAnsi="Times New Roman"/>
          <w:bCs/>
          <w:sz w:val="24"/>
          <w:szCs w:val="24"/>
        </w:rPr>
        <w:t xml:space="preserve">The </w:t>
      </w:r>
      <w:r w:rsidRPr="00A524A2">
        <w:rPr>
          <w:rFonts w:ascii="Times New Roman" w:hAnsi="Times New Roman"/>
          <w:bCs/>
          <w:sz w:val="24"/>
          <w:szCs w:val="24"/>
        </w:rPr>
        <w:t>relationship</w:t>
      </w:r>
      <w:r w:rsidRPr="00436CD9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436CD9">
        <w:rPr>
          <w:rFonts w:ascii="Times New Roman" w:hAnsi="Times New Roman"/>
          <w:bCs/>
          <w:sz w:val="24"/>
          <w:szCs w:val="24"/>
        </w:rPr>
        <w:t>hausner</w:t>
      </w:r>
      <w:proofErr w:type="spellEnd"/>
      <w:r w:rsidRPr="00436CD9">
        <w:rPr>
          <w:rFonts w:ascii="Times New Roman" w:hAnsi="Times New Roman"/>
          <w:bCs/>
          <w:sz w:val="24"/>
          <w:szCs w:val="24"/>
        </w:rPr>
        <w:t xml:space="preserve"> ratio to that of flow property is as follows</w:t>
      </w:r>
    </w:p>
    <w:p w14:paraId="7D51DF26" w14:textId="77777777" w:rsidR="00BF5214" w:rsidRDefault="00BF5214" w:rsidP="00BF5214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0"/>
        <w:gridCol w:w="1820"/>
      </w:tblGrid>
      <w:tr w:rsidR="00BF5214" w:rsidRPr="00436CD9" w14:paraId="0634F5C5" w14:textId="77777777" w:rsidTr="002D592E">
        <w:trPr>
          <w:tblHeader/>
          <w:tblCellSpacing w:w="0" w:type="dxa"/>
          <w:jc w:val="center"/>
        </w:trPr>
        <w:tc>
          <w:tcPr>
            <w:tcW w:w="0" w:type="auto"/>
            <w:vAlign w:val="bottom"/>
          </w:tcPr>
          <w:p w14:paraId="48EAAB31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/>
                <w:sz w:val="24"/>
                <w:szCs w:val="24"/>
              </w:rPr>
              <w:t>Flow Character</w:t>
            </w:r>
          </w:p>
        </w:tc>
        <w:tc>
          <w:tcPr>
            <w:tcW w:w="0" w:type="auto"/>
            <w:vAlign w:val="bottom"/>
          </w:tcPr>
          <w:p w14:paraId="6DB65056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CD9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436CD9">
              <w:rPr>
                <w:rFonts w:ascii="Times New Roman" w:hAnsi="Times New Roman"/>
                <w:b/>
                <w:sz w:val="24"/>
                <w:szCs w:val="24"/>
              </w:rPr>
              <w:t>Hausner</w:t>
            </w:r>
            <w:proofErr w:type="spellEnd"/>
            <w:r w:rsidRPr="00436CD9">
              <w:rPr>
                <w:rFonts w:ascii="Times New Roman" w:hAnsi="Times New Roman"/>
                <w:b/>
                <w:sz w:val="24"/>
                <w:szCs w:val="24"/>
              </w:rPr>
              <w:t xml:space="preserve"> Ratio</w:t>
            </w:r>
          </w:p>
        </w:tc>
      </w:tr>
      <w:tr w:rsidR="00BF5214" w:rsidRPr="00436CD9" w14:paraId="152796E6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38C54A3A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0" w:type="auto"/>
          </w:tcPr>
          <w:p w14:paraId="03BD6DBD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1.00–1.11</w:t>
            </w:r>
          </w:p>
        </w:tc>
      </w:tr>
      <w:tr w:rsidR="00BF5214" w:rsidRPr="00436CD9" w14:paraId="175538FB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2AD4A19D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14:paraId="3A48D662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1.12–1.18</w:t>
            </w:r>
          </w:p>
        </w:tc>
      </w:tr>
      <w:tr w:rsidR="00BF5214" w:rsidRPr="00436CD9" w14:paraId="1C4271AD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3B77C4AF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0" w:type="auto"/>
          </w:tcPr>
          <w:p w14:paraId="7CC13CB2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1.19–1.25</w:t>
            </w:r>
          </w:p>
        </w:tc>
      </w:tr>
      <w:tr w:rsidR="00BF5214" w:rsidRPr="00436CD9" w14:paraId="0A895E5D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3C0FBAD0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Passable</w:t>
            </w:r>
          </w:p>
        </w:tc>
        <w:tc>
          <w:tcPr>
            <w:tcW w:w="0" w:type="auto"/>
          </w:tcPr>
          <w:p w14:paraId="427E838C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1.26–1.34</w:t>
            </w:r>
          </w:p>
        </w:tc>
      </w:tr>
      <w:tr w:rsidR="00BF5214" w:rsidRPr="00436CD9" w14:paraId="44796A01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52F5DAB8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</w:tcPr>
          <w:p w14:paraId="3CD4A2E1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1.35–1.45</w:t>
            </w:r>
          </w:p>
        </w:tc>
      </w:tr>
      <w:tr w:rsidR="00BF5214" w:rsidRPr="00436CD9" w14:paraId="5E51613B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00E48128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Very poor</w:t>
            </w:r>
          </w:p>
        </w:tc>
        <w:tc>
          <w:tcPr>
            <w:tcW w:w="0" w:type="auto"/>
          </w:tcPr>
          <w:p w14:paraId="593B985F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1.46–1.59</w:t>
            </w:r>
          </w:p>
        </w:tc>
      </w:tr>
      <w:tr w:rsidR="00BF5214" w:rsidRPr="00436CD9" w14:paraId="265C4FE1" w14:textId="77777777" w:rsidTr="002D592E">
        <w:trPr>
          <w:tblCellSpacing w:w="0" w:type="dxa"/>
          <w:jc w:val="center"/>
        </w:trPr>
        <w:tc>
          <w:tcPr>
            <w:tcW w:w="0" w:type="auto"/>
          </w:tcPr>
          <w:p w14:paraId="730C0F3D" w14:textId="77777777" w:rsidR="00BF5214" w:rsidRPr="00436CD9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Very, very poor</w:t>
            </w:r>
          </w:p>
        </w:tc>
        <w:tc>
          <w:tcPr>
            <w:tcW w:w="0" w:type="auto"/>
          </w:tcPr>
          <w:p w14:paraId="30B18C33" w14:textId="77777777" w:rsidR="00BF5214" w:rsidRPr="00436CD9" w:rsidRDefault="00BF5214" w:rsidP="002D59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6CD9">
              <w:rPr>
                <w:rFonts w:ascii="Times New Roman" w:hAnsi="Times New Roman"/>
                <w:sz w:val="24"/>
                <w:szCs w:val="24"/>
              </w:rPr>
              <w:t>&gt;1.60</w:t>
            </w:r>
          </w:p>
        </w:tc>
      </w:tr>
    </w:tbl>
    <w:p w14:paraId="3E712BED" w14:textId="77777777" w:rsidR="00BF5214" w:rsidRPr="004E4108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6AEFDFD" w14:textId="77777777" w:rsidR="00BF5214" w:rsidRPr="00546926" w:rsidRDefault="00BF5214" w:rsidP="00BF521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46926">
        <w:rPr>
          <w:rFonts w:ascii="Times New Roman" w:hAnsi="Times New Roman"/>
          <w:b/>
          <w:sz w:val="24"/>
          <w:szCs w:val="24"/>
        </w:rPr>
        <w:t>PROCEDURE</w:t>
      </w:r>
    </w:p>
    <w:p w14:paraId="5252930C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powder 100gm was weighed and to that talc was added by passing through sieve # 120.</w:t>
      </w:r>
    </w:p>
    <w:p w14:paraId="44E01FC8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talc was added in increasing proportions like 0.5%, 1%, 1.5%.</w:t>
      </w:r>
    </w:p>
    <w:p w14:paraId="65300F20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flow properties like Angle of repose, Bulk density, Tapped density, Compressibility index, and </w:t>
      </w:r>
      <w:proofErr w:type="spellStart"/>
      <w:r>
        <w:rPr>
          <w:rFonts w:ascii="Times New Roman" w:hAnsi="Times New Roman"/>
          <w:sz w:val="24"/>
          <w:szCs w:val="24"/>
        </w:rPr>
        <w:t>Hausner’s</w:t>
      </w:r>
      <w:proofErr w:type="spellEnd"/>
      <w:r>
        <w:rPr>
          <w:rFonts w:ascii="Times New Roman" w:hAnsi="Times New Roman"/>
          <w:sz w:val="24"/>
          <w:szCs w:val="24"/>
        </w:rPr>
        <w:t xml:space="preserve"> ratio were calculated and it was compared to that of pure sample.</w:t>
      </w:r>
    </w:p>
    <w:p w14:paraId="7FC125CC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same procedure was adopted for colloidal silica also</w:t>
      </w:r>
    </w:p>
    <w:p w14:paraId="2890EB53" w14:textId="77777777" w:rsidR="00552583" w:rsidRDefault="00552583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AA0A698" w14:textId="77777777" w:rsidR="00552583" w:rsidRDefault="00552583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23EE15" w14:textId="77777777" w:rsidR="00552583" w:rsidRDefault="00552583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7185CD" w14:textId="77777777" w:rsidR="00552583" w:rsidRDefault="00552583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FD407E2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flow properties were tabulated as follows.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3"/>
        <w:gridCol w:w="830"/>
        <w:gridCol w:w="1403"/>
        <w:gridCol w:w="1223"/>
        <w:gridCol w:w="1463"/>
      </w:tblGrid>
      <w:tr w:rsidR="00BF5214" w:rsidRPr="004F3E92" w14:paraId="6D52C4E2" w14:textId="77777777" w:rsidTr="002D592E">
        <w:trPr>
          <w:jc w:val="center"/>
        </w:trPr>
        <w:tc>
          <w:tcPr>
            <w:tcW w:w="0" w:type="auto"/>
          </w:tcPr>
          <w:p w14:paraId="743F3DD8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0" w:type="auto"/>
          </w:tcPr>
          <w:p w14:paraId="39347204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PURE</w:t>
            </w:r>
          </w:p>
        </w:tc>
        <w:tc>
          <w:tcPr>
            <w:tcW w:w="0" w:type="auto"/>
          </w:tcPr>
          <w:p w14:paraId="2C06E8AF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0.5% TALC</w:t>
            </w:r>
          </w:p>
        </w:tc>
        <w:tc>
          <w:tcPr>
            <w:tcW w:w="0" w:type="auto"/>
          </w:tcPr>
          <w:p w14:paraId="20194443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1% TALC</w:t>
            </w:r>
          </w:p>
        </w:tc>
        <w:tc>
          <w:tcPr>
            <w:tcW w:w="0" w:type="auto"/>
          </w:tcPr>
          <w:p w14:paraId="045C8B25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1.5%  TALC</w:t>
            </w:r>
          </w:p>
        </w:tc>
      </w:tr>
      <w:tr w:rsidR="00BF5214" w:rsidRPr="004F3E92" w14:paraId="3F7829EE" w14:textId="77777777" w:rsidTr="002D592E">
        <w:trPr>
          <w:jc w:val="center"/>
        </w:trPr>
        <w:tc>
          <w:tcPr>
            <w:tcW w:w="0" w:type="auto"/>
          </w:tcPr>
          <w:p w14:paraId="1B580605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ngle of repose</w:t>
            </w:r>
          </w:p>
        </w:tc>
        <w:tc>
          <w:tcPr>
            <w:tcW w:w="0" w:type="auto"/>
          </w:tcPr>
          <w:p w14:paraId="1AEBA14B" w14:textId="6EA26DF6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978BEB" w14:textId="65EDCB70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DF8FC3" w14:textId="125F1D25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9AFA10" w14:textId="410FB352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7636F3CC" w14:textId="77777777" w:rsidTr="002D592E">
        <w:trPr>
          <w:jc w:val="center"/>
        </w:trPr>
        <w:tc>
          <w:tcPr>
            <w:tcW w:w="0" w:type="auto"/>
          </w:tcPr>
          <w:p w14:paraId="7FED5B6F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apped density</w:t>
            </w:r>
          </w:p>
        </w:tc>
        <w:tc>
          <w:tcPr>
            <w:tcW w:w="0" w:type="auto"/>
          </w:tcPr>
          <w:p w14:paraId="4FD9B892" w14:textId="30CEE651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8A8DA1" w14:textId="354B9CE6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685C76" w14:textId="7DB574B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B00830" w14:textId="6861743F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38EFA9A2" w14:textId="77777777" w:rsidTr="002D592E">
        <w:trPr>
          <w:jc w:val="center"/>
        </w:trPr>
        <w:tc>
          <w:tcPr>
            <w:tcW w:w="0" w:type="auto"/>
          </w:tcPr>
          <w:p w14:paraId="3533DB8F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ulk density</w:t>
            </w:r>
          </w:p>
        </w:tc>
        <w:tc>
          <w:tcPr>
            <w:tcW w:w="0" w:type="auto"/>
          </w:tcPr>
          <w:p w14:paraId="217ADFEF" w14:textId="1EE1B382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ED8548" w14:textId="1E9D9820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1ECA24" w14:textId="5410ABD9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3D764A" w14:textId="0C668533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6831FBDB" w14:textId="77777777" w:rsidTr="002D592E">
        <w:trPr>
          <w:jc w:val="center"/>
        </w:trPr>
        <w:tc>
          <w:tcPr>
            <w:tcW w:w="0" w:type="auto"/>
          </w:tcPr>
          <w:p w14:paraId="5D4B80E5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ompressibility index</w:t>
            </w:r>
          </w:p>
        </w:tc>
        <w:tc>
          <w:tcPr>
            <w:tcW w:w="0" w:type="auto"/>
          </w:tcPr>
          <w:p w14:paraId="349CB140" w14:textId="495DDF36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48B8D7" w14:textId="4BC11560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E81314" w14:textId="2A6DA78A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C30D396" w14:textId="53B03853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21A3E4A1" w14:textId="77777777" w:rsidTr="002D592E">
        <w:trPr>
          <w:jc w:val="center"/>
        </w:trPr>
        <w:tc>
          <w:tcPr>
            <w:tcW w:w="0" w:type="auto"/>
          </w:tcPr>
          <w:p w14:paraId="6097DCA5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ausner’s</w:t>
            </w:r>
            <w:proofErr w:type="spellEnd"/>
            <w:r w:rsidRPr="004F3E92">
              <w:rPr>
                <w:rFonts w:ascii="Times New Roman" w:hAnsi="Times New Roman"/>
                <w:sz w:val="24"/>
                <w:szCs w:val="24"/>
              </w:rPr>
              <w:t xml:space="preserve"> ratio</w:t>
            </w:r>
          </w:p>
        </w:tc>
        <w:tc>
          <w:tcPr>
            <w:tcW w:w="0" w:type="auto"/>
          </w:tcPr>
          <w:p w14:paraId="3CF888D9" w14:textId="091BC57C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A6BDAE" w14:textId="2E04CC3B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795AE" w14:textId="5941025F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C5E30A" w14:textId="31490491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86C0D8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7A0D577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02A1C81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3"/>
        <w:gridCol w:w="830"/>
        <w:gridCol w:w="1130"/>
        <w:gridCol w:w="890"/>
        <w:gridCol w:w="1130"/>
      </w:tblGrid>
      <w:tr w:rsidR="00BF5214" w:rsidRPr="004F3E92" w14:paraId="1CD2EDEC" w14:textId="77777777" w:rsidTr="002D592E">
        <w:trPr>
          <w:jc w:val="center"/>
        </w:trPr>
        <w:tc>
          <w:tcPr>
            <w:tcW w:w="0" w:type="auto"/>
          </w:tcPr>
          <w:p w14:paraId="1A947ED2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0" w:type="auto"/>
          </w:tcPr>
          <w:p w14:paraId="4DD1FECD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PURE</w:t>
            </w:r>
          </w:p>
        </w:tc>
        <w:tc>
          <w:tcPr>
            <w:tcW w:w="0" w:type="auto"/>
          </w:tcPr>
          <w:p w14:paraId="0C28E760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0.5%  CS</w:t>
            </w:r>
          </w:p>
        </w:tc>
        <w:tc>
          <w:tcPr>
            <w:tcW w:w="0" w:type="auto"/>
          </w:tcPr>
          <w:p w14:paraId="18410CBE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1% CS</w:t>
            </w:r>
          </w:p>
        </w:tc>
        <w:tc>
          <w:tcPr>
            <w:tcW w:w="0" w:type="auto"/>
          </w:tcPr>
          <w:p w14:paraId="129297B6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3E92">
              <w:rPr>
                <w:rFonts w:ascii="Times New Roman" w:hAnsi="Times New Roman"/>
                <w:sz w:val="24"/>
                <w:szCs w:val="24"/>
              </w:rPr>
              <w:t>1.5%  CS</w:t>
            </w:r>
          </w:p>
        </w:tc>
      </w:tr>
      <w:tr w:rsidR="00BF5214" w:rsidRPr="004F3E92" w14:paraId="5D82FF4B" w14:textId="77777777" w:rsidTr="002D592E">
        <w:trPr>
          <w:jc w:val="center"/>
        </w:trPr>
        <w:tc>
          <w:tcPr>
            <w:tcW w:w="0" w:type="auto"/>
          </w:tcPr>
          <w:p w14:paraId="62FE312D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ngle of repose</w:t>
            </w:r>
          </w:p>
        </w:tc>
        <w:tc>
          <w:tcPr>
            <w:tcW w:w="0" w:type="auto"/>
          </w:tcPr>
          <w:p w14:paraId="4CB17F43" w14:textId="6A069078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6C071A" w14:textId="5DC858E1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596183" w14:textId="3BD46235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FEBC1B" w14:textId="0973D58E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62BF59CF" w14:textId="77777777" w:rsidTr="002D592E">
        <w:trPr>
          <w:jc w:val="center"/>
        </w:trPr>
        <w:tc>
          <w:tcPr>
            <w:tcW w:w="0" w:type="auto"/>
          </w:tcPr>
          <w:p w14:paraId="0588D5E3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apped density</w:t>
            </w:r>
          </w:p>
        </w:tc>
        <w:tc>
          <w:tcPr>
            <w:tcW w:w="0" w:type="auto"/>
          </w:tcPr>
          <w:p w14:paraId="6D821FAF" w14:textId="0F52927A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065B96" w14:textId="08325E26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F44941" w14:textId="1342E405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AB328F" w14:textId="18E1388B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18FDF36B" w14:textId="77777777" w:rsidTr="002D592E">
        <w:trPr>
          <w:jc w:val="center"/>
        </w:trPr>
        <w:tc>
          <w:tcPr>
            <w:tcW w:w="0" w:type="auto"/>
          </w:tcPr>
          <w:p w14:paraId="61E54D70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ulk density</w:t>
            </w:r>
          </w:p>
        </w:tc>
        <w:tc>
          <w:tcPr>
            <w:tcW w:w="0" w:type="auto"/>
          </w:tcPr>
          <w:p w14:paraId="34D8A977" w14:textId="22159FDA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EA03A8" w14:textId="0890478D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9B4489" w14:textId="7B97C5E8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A10308" w14:textId="6DCA0E69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7C706D41" w14:textId="77777777" w:rsidTr="002D592E">
        <w:trPr>
          <w:jc w:val="center"/>
        </w:trPr>
        <w:tc>
          <w:tcPr>
            <w:tcW w:w="0" w:type="auto"/>
          </w:tcPr>
          <w:p w14:paraId="61701B79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ompressibility index</w:t>
            </w:r>
          </w:p>
        </w:tc>
        <w:tc>
          <w:tcPr>
            <w:tcW w:w="0" w:type="auto"/>
          </w:tcPr>
          <w:p w14:paraId="24DAE0DD" w14:textId="4C5E6392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F14FA7" w14:textId="707ED280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89C3E8" w14:textId="11CFEB34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2DA06F" w14:textId="32A22771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214" w:rsidRPr="004F3E92" w14:paraId="2797F2AB" w14:textId="77777777" w:rsidTr="002D592E">
        <w:trPr>
          <w:jc w:val="center"/>
        </w:trPr>
        <w:tc>
          <w:tcPr>
            <w:tcW w:w="0" w:type="auto"/>
          </w:tcPr>
          <w:p w14:paraId="001C59E4" w14:textId="77777777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4F3E92">
              <w:rPr>
                <w:rFonts w:ascii="Times New Roman" w:hAnsi="Times New Roman"/>
                <w:sz w:val="24"/>
                <w:szCs w:val="24"/>
              </w:rPr>
              <w:t>ausner’s</w:t>
            </w:r>
            <w:proofErr w:type="spellEnd"/>
            <w:r w:rsidRPr="004F3E92">
              <w:rPr>
                <w:rFonts w:ascii="Times New Roman" w:hAnsi="Times New Roman"/>
                <w:sz w:val="24"/>
                <w:szCs w:val="24"/>
              </w:rPr>
              <w:t xml:space="preserve"> ratio</w:t>
            </w:r>
          </w:p>
        </w:tc>
        <w:tc>
          <w:tcPr>
            <w:tcW w:w="0" w:type="auto"/>
          </w:tcPr>
          <w:p w14:paraId="5AB13C4B" w14:textId="02A457CD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62F97D" w14:textId="5AE447D3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0A1C61" w14:textId="23DC70E8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EFABA1" w14:textId="5C1EC79B" w:rsidR="00BF5214" w:rsidRPr="004F3E92" w:rsidRDefault="00BF5214" w:rsidP="002D592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453FEC" w14:textId="77777777" w:rsidR="00BF5214" w:rsidRDefault="00BF5214" w:rsidP="00BF521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AB2043E" w14:textId="75C90765" w:rsidR="00370386" w:rsidRPr="007C0AC3" w:rsidRDefault="00BF5214" w:rsidP="00C759DE">
      <w:pPr>
        <w:spacing w:line="360" w:lineRule="auto"/>
        <w:rPr>
          <w:bCs/>
        </w:rPr>
      </w:pPr>
      <w:r w:rsidRPr="00352DA3">
        <w:rPr>
          <w:rFonts w:ascii="Times New Roman" w:hAnsi="Times New Roman"/>
          <w:b/>
          <w:sz w:val="24"/>
          <w:szCs w:val="24"/>
        </w:rPr>
        <w:t>REPORT</w:t>
      </w:r>
      <w:proofErr w:type="gramStart"/>
      <w:r w:rsidR="001260D7">
        <w:rPr>
          <w:rFonts w:ascii="Times New Roman" w:hAnsi="Times New Roman"/>
          <w:b/>
          <w:sz w:val="24"/>
          <w:szCs w:val="24"/>
        </w:rPr>
        <w:t>:</w:t>
      </w:r>
      <w:r w:rsidR="007C0AC3" w:rsidRPr="007C0AC3">
        <w:rPr>
          <w:rFonts w:ascii="Times New Roman" w:hAnsi="Times New Roman"/>
          <w:bCs/>
          <w:sz w:val="24"/>
          <w:szCs w:val="24"/>
        </w:rPr>
        <w:t>.</w:t>
      </w:r>
      <w:proofErr w:type="gramEnd"/>
    </w:p>
    <w:sectPr w:rsidR="00370386" w:rsidRPr="007C0AC3" w:rsidSect="00F11E58">
      <w:footerReference w:type="default" r:id="rId7"/>
      <w:pgSz w:w="12240" w:h="15840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21453" w14:textId="77777777" w:rsidR="00EA70A3" w:rsidRDefault="00EA70A3" w:rsidP="00F11E58">
      <w:pPr>
        <w:spacing w:after="0" w:line="240" w:lineRule="auto"/>
      </w:pPr>
      <w:r>
        <w:separator/>
      </w:r>
    </w:p>
  </w:endnote>
  <w:endnote w:type="continuationSeparator" w:id="0">
    <w:p w14:paraId="78F8A5EB" w14:textId="77777777" w:rsidR="00EA70A3" w:rsidRDefault="00EA70A3" w:rsidP="00F1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C71E" w14:textId="741503D8" w:rsidR="00F11E58" w:rsidRDefault="00F11E58">
    <w:pPr>
      <w:pStyle w:val="Footer"/>
      <w:jc w:val="right"/>
    </w:pPr>
  </w:p>
  <w:p w14:paraId="2BA600C2" w14:textId="77777777" w:rsidR="00F11E58" w:rsidRDefault="00F11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A5014" w14:textId="77777777" w:rsidR="00EA70A3" w:rsidRDefault="00EA70A3" w:rsidP="00F11E58">
      <w:pPr>
        <w:spacing w:after="0" w:line="240" w:lineRule="auto"/>
      </w:pPr>
      <w:r>
        <w:separator/>
      </w:r>
    </w:p>
  </w:footnote>
  <w:footnote w:type="continuationSeparator" w:id="0">
    <w:p w14:paraId="40883F4E" w14:textId="77777777" w:rsidR="00EA70A3" w:rsidRDefault="00EA70A3" w:rsidP="00F1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44E0"/>
    <w:multiLevelType w:val="hybridMultilevel"/>
    <w:tmpl w:val="34EE0B32"/>
    <w:lvl w:ilvl="0" w:tplc="89A4B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5214"/>
    <w:rsid w:val="001260D7"/>
    <w:rsid w:val="001A3545"/>
    <w:rsid w:val="00370386"/>
    <w:rsid w:val="003C46DE"/>
    <w:rsid w:val="004E725B"/>
    <w:rsid w:val="00552583"/>
    <w:rsid w:val="00580564"/>
    <w:rsid w:val="00593D20"/>
    <w:rsid w:val="00716537"/>
    <w:rsid w:val="00782124"/>
    <w:rsid w:val="007C0AC3"/>
    <w:rsid w:val="00811790"/>
    <w:rsid w:val="008E1A12"/>
    <w:rsid w:val="00B80C6A"/>
    <w:rsid w:val="00BF5214"/>
    <w:rsid w:val="00C759DE"/>
    <w:rsid w:val="00EA70A3"/>
    <w:rsid w:val="00EB7FE7"/>
    <w:rsid w:val="00F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FADDF"/>
  <w15:docId w15:val="{689BAB14-AF03-4C88-AC5B-9003F21B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F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E58"/>
  </w:style>
  <w:style w:type="paragraph" w:styleId="Footer">
    <w:name w:val="footer"/>
    <w:basedOn w:val="Normal"/>
    <w:link w:val="FooterChar"/>
    <w:uiPriority w:val="99"/>
    <w:unhideWhenUsed/>
    <w:rsid w:val="00F1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Gorantla.Rajesh</cp:lastModifiedBy>
  <cp:revision>12</cp:revision>
  <dcterms:created xsi:type="dcterms:W3CDTF">2022-03-02T06:06:00Z</dcterms:created>
  <dcterms:modified xsi:type="dcterms:W3CDTF">2024-01-29T19:09:00Z</dcterms:modified>
</cp:coreProperties>
</file>