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DB84B" w14:textId="77777777" w:rsidR="00464F29" w:rsidRPr="00820341" w:rsidRDefault="00464F29" w:rsidP="00464F29">
      <w:pPr>
        <w:spacing w:line="360" w:lineRule="auto"/>
        <w:jc w:val="center"/>
        <w:rPr>
          <w:rFonts w:ascii="Times New Roman" w:hAnsi="Times New Roman"/>
          <w:b/>
          <w:sz w:val="28"/>
          <w:szCs w:val="28"/>
        </w:rPr>
      </w:pPr>
      <w:r w:rsidRPr="00820341">
        <w:rPr>
          <w:rFonts w:ascii="Times New Roman" w:hAnsi="Times New Roman"/>
          <w:b/>
          <w:sz w:val="28"/>
          <w:szCs w:val="28"/>
        </w:rPr>
        <w:t>PREPARATION OF β-CYCLODEXTRIN COMPLEXES OF DICLOFENAC TO ENHANCE DISSOLUTION RATE</w:t>
      </w:r>
    </w:p>
    <w:p w14:paraId="6243F839" w14:textId="77777777" w:rsidR="00464F29" w:rsidRPr="00820341" w:rsidRDefault="00464F29" w:rsidP="00464F29">
      <w:pPr>
        <w:spacing w:line="360" w:lineRule="auto"/>
        <w:rPr>
          <w:rFonts w:ascii="Times New Roman" w:hAnsi="Times New Roman"/>
          <w:b/>
          <w:sz w:val="24"/>
          <w:szCs w:val="24"/>
        </w:rPr>
      </w:pPr>
      <w:r w:rsidRPr="00820341">
        <w:rPr>
          <w:rFonts w:ascii="Times New Roman" w:hAnsi="Times New Roman"/>
          <w:b/>
          <w:sz w:val="28"/>
          <w:szCs w:val="28"/>
        </w:rPr>
        <w:t>AIM</w:t>
      </w:r>
    </w:p>
    <w:p w14:paraId="6496A0E2" w14:textId="77777777" w:rsidR="00464F29" w:rsidRPr="00820341" w:rsidRDefault="00464F29" w:rsidP="00464F29">
      <w:pPr>
        <w:spacing w:line="360" w:lineRule="auto"/>
        <w:jc w:val="both"/>
        <w:rPr>
          <w:rFonts w:ascii="Times New Roman" w:hAnsi="Times New Roman"/>
          <w:sz w:val="24"/>
          <w:szCs w:val="24"/>
        </w:rPr>
      </w:pPr>
      <w:r w:rsidRPr="00820341">
        <w:rPr>
          <w:rFonts w:ascii="Times New Roman" w:hAnsi="Times New Roman"/>
          <w:b/>
          <w:sz w:val="24"/>
          <w:szCs w:val="24"/>
        </w:rPr>
        <w:tab/>
      </w:r>
      <w:r w:rsidRPr="00820341">
        <w:rPr>
          <w:rFonts w:ascii="Times New Roman" w:hAnsi="Times New Roman"/>
          <w:sz w:val="24"/>
          <w:szCs w:val="24"/>
        </w:rPr>
        <w:t>To determine the influence of complexation on solubility and dissolution of a drug using β-cyclodextrins.</w:t>
      </w:r>
    </w:p>
    <w:p w14:paraId="01A6F9D0" w14:textId="77777777" w:rsidR="00464F29" w:rsidRPr="00820341" w:rsidRDefault="00464F29" w:rsidP="00464F29">
      <w:pPr>
        <w:spacing w:line="360" w:lineRule="auto"/>
        <w:jc w:val="both"/>
        <w:rPr>
          <w:rFonts w:ascii="Times New Roman" w:hAnsi="Times New Roman"/>
          <w:b/>
          <w:sz w:val="24"/>
          <w:szCs w:val="24"/>
        </w:rPr>
      </w:pPr>
      <w:r w:rsidRPr="00820341">
        <w:rPr>
          <w:rFonts w:ascii="Times New Roman" w:hAnsi="Times New Roman"/>
          <w:b/>
          <w:sz w:val="24"/>
          <w:szCs w:val="24"/>
        </w:rPr>
        <w:t>REQUIREMENTS</w:t>
      </w:r>
    </w:p>
    <w:p w14:paraId="7DCA4FC4" w14:textId="77777777" w:rsidR="00464F29" w:rsidRPr="00820341" w:rsidRDefault="00464F29" w:rsidP="00464F29">
      <w:pPr>
        <w:spacing w:line="360" w:lineRule="auto"/>
        <w:jc w:val="both"/>
        <w:rPr>
          <w:rFonts w:ascii="Times New Roman" w:hAnsi="Times New Roman"/>
          <w:sz w:val="24"/>
          <w:szCs w:val="24"/>
        </w:rPr>
      </w:pPr>
      <w:r w:rsidRPr="00820341">
        <w:rPr>
          <w:rFonts w:ascii="Times New Roman" w:hAnsi="Times New Roman"/>
          <w:b/>
          <w:sz w:val="24"/>
          <w:szCs w:val="24"/>
        </w:rPr>
        <w:tab/>
      </w:r>
      <w:r w:rsidRPr="00820341">
        <w:rPr>
          <w:rFonts w:ascii="Times New Roman" w:hAnsi="Times New Roman"/>
          <w:sz w:val="24"/>
          <w:szCs w:val="24"/>
        </w:rPr>
        <w:t>Drug (diclofenac), β-cyclodextrins and dissolution apparatus.</w:t>
      </w:r>
    </w:p>
    <w:p w14:paraId="5EC66031" w14:textId="77777777" w:rsidR="00464F29" w:rsidRPr="00820341" w:rsidRDefault="00464F29" w:rsidP="00464F29">
      <w:pPr>
        <w:spacing w:line="360" w:lineRule="auto"/>
        <w:jc w:val="both"/>
        <w:rPr>
          <w:rFonts w:ascii="Times New Roman" w:hAnsi="Times New Roman"/>
          <w:b/>
          <w:sz w:val="24"/>
          <w:szCs w:val="24"/>
        </w:rPr>
      </w:pPr>
      <w:r w:rsidRPr="00820341">
        <w:rPr>
          <w:rFonts w:ascii="Times New Roman" w:hAnsi="Times New Roman"/>
          <w:b/>
          <w:sz w:val="24"/>
          <w:szCs w:val="24"/>
        </w:rPr>
        <w:t>PRINCIPLE</w:t>
      </w:r>
    </w:p>
    <w:p w14:paraId="7B6519E1" w14:textId="77777777" w:rsidR="00464F29" w:rsidRPr="00820341" w:rsidRDefault="00464F29" w:rsidP="00464F29">
      <w:pPr>
        <w:spacing w:line="360" w:lineRule="auto"/>
        <w:ind w:firstLine="720"/>
        <w:jc w:val="both"/>
        <w:rPr>
          <w:rFonts w:ascii="Times New Roman" w:hAnsi="Times New Roman"/>
          <w:sz w:val="24"/>
          <w:szCs w:val="24"/>
        </w:rPr>
      </w:pPr>
      <w:r w:rsidRPr="00820341">
        <w:rPr>
          <w:rFonts w:ascii="Times New Roman" w:hAnsi="Times New Roman"/>
          <w:sz w:val="24"/>
          <w:szCs w:val="24"/>
        </w:rPr>
        <w:t xml:space="preserve"> Complexations of drugs with cyclodextrins have been used to enhance aqueous solubility and drug stability. The ring of cyclodextrin has a hydrophilic exterior and lipophilic core form non-covalent inclusion complexes resulting in increased aqueous solubility and chemical stability.</w:t>
      </w:r>
    </w:p>
    <w:p w14:paraId="709EC405" w14:textId="77777777" w:rsidR="00464F29" w:rsidRPr="00820341" w:rsidRDefault="00464F29" w:rsidP="00464F29">
      <w:pPr>
        <w:spacing w:line="360" w:lineRule="auto"/>
        <w:jc w:val="both"/>
        <w:rPr>
          <w:rFonts w:ascii="Times New Roman" w:hAnsi="Times New Roman"/>
          <w:b/>
          <w:sz w:val="24"/>
          <w:szCs w:val="24"/>
        </w:rPr>
      </w:pPr>
      <w:r w:rsidRPr="00820341">
        <w:rPr>
          <w:rFonts w:ascii="Times New Roman" w:hAnsi="Times New Roman"/>
          <w:b/>
          <w:sz w:val="24"/>
          <w:szCs w:val="24"/>
        </w:rPr>
        <w:t xml:space="preserve">PROCEDURE </w:t>
      </w:r>
    </w:p>
    <w:p w14:paraId="15D2FA9E" w14:textId="77777777" w:rsidR="00464F29" w:rsidRPr="00820341" w:rsidRDefault="00464F29" w:rsidP="00464F29">
      <w:pPr>
        <w:spacing w:line="360" w:lineRule="auto"/>
        <w:jc w:val="both"/>
        <w:rPr>
          <w:rFonts w:ascii="Times New Roman" w:hAnsi="Times New Roman"/>
          <w:b/>
          <w:sz w:val="24"/>
          <w:szCs w:val="24"/>
        </w:rPr>
      </w:pPr>
      <w:r w:rsidRPr="00820341">
        <w:rPr>
          <w:rFonts w:ascii="Times New Roman" w:hAnsi="Times New Roman"/>
          <w:b/>
          <w:sz w:val="24"/>
          <w:szCs w:val="24"/>
        </w:rPr>
        <w:t>Standard graph of drug</w:t>
      </w:r>
    </w:p>
    <w:p w14:paraId="59E52A2E" w14:textId="77777777" w:rsidR="00464F29" w:rsidRPr="00820341" w:rsidRDefault="00464F29" w:rsidP="00464F29">
      <w:pPr>
        <w:spacing w:line="360" w:lineRule="auto"/>
        <w:jc w:val="both"/>
        <w:rPr>
          <w:rFonts w:ascii="Times New Roman" w:hAnsi="Times New Roman"/>
          <w:sz w:val="24"/>
          <w:szCs w:val="24"/>
        </w:rPr>
      </w:pPr>
      <w:r w:rsidRPr="00820341">
        <w:rPr>
          <w:rFonts w:ascii="Times New Roman" w:hAnsi="Times New Roman"/>
          <w:sz w:val="24"/>
          <w:szCs w:val="24"/>
        </w:rPr>
        <w:tab/>
        <w:t>100mg of drug is dissolved in sufficient quantity of methanol in 100 ml volumetric flask the volume was made up to the mark with phosphate buffer of 7.4pH.1ml of sample from above solution was pipetted out and suitable dilutions are made and absorbances are measured at 277.2nm.</w:t>
      </w:r>
    </w:p>
    <w:p w14:paraId="47901C0C" w14:textId="77777777" w:rsidR="00464F29" w:rsidRPr="00820341" w:rsidRDefault="00464F29" w:rsidP="00464F29">
      <w:pPr>
        <w:spacing w:line="360" w:lineRule="auto"/>
        <w:jc w:val="both"/>
        <w:rPr>
          <w:rFonts w:ascii="Times New Roman" w:hAnsi="Times New Roman"/>
          <w:sz w:val="24"/>
          <w:szCs w:val="24"/>
        </w:rPr>
      </w:pPr>
      <w:r w:rsidRPr="00820341">
        <w:rPr>
          <w:rFonts w:ascii="Times New Roman" w:hAnsi="Times New Roman"/>
          <w:sz w:val="24"/>
          <w:szCs w:val="24"/>
        </w:rPr>
        <w:lastRenderedPageBreak/>
        <w:t xml:space="preserve">                   </w:t>
      </w:r>
      <w:r w:rsidRPr="00820341">
        <w:rPr>
          <w:rFonts w:ascii="Times New Roman" w:hAnsi="Times New Roman"/>
          <w:noProof/>
          <w:sz w:val="24"/>
          <w:szCs w:val="24"/>
          <w:lang w:val="en-IN" w:eastAsia="en-IN"/>
        </w:rPr>
        <w:drawing>
          <wp:inline distT="0" distB="0" distL="0" distR="0" wp14:anchorId="33480F35" wp14:editId="6E7C3FAA">
            <wp:extent cx="4572762" cy="2746629"/>
            <wp:effectExtent l="12192" t="6096" r="6096" b="0"/>
            <wp:docPr id="37"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90E36E" w14:textId="77777777" w:rsidR="00464F29" w:rsidRPr="00820341" w:rsidRDefault="00464F29" w:rsidP="00464F29">
      <w:pPr>
        <w:spacing w:line="360" w:lineRule="auto"/>
        <w:jc w:val="both"/>
        <w:rPr>
          <w:rFonts w:ascii="Times New Roman" w:hAnsi="Times New Roman"/>
          <w:b/>
          <w:sz w:val="24"/>
          <w:szCs w:val="24"/>
        </w:rPr>
      </w:pPr>
      <w:r w:rsidRPr="00820341">
        <w:rPr>
          <w:rFonts w:ascii="Times New Roman" w:hAnsi="Times New Roman"/>
          <w:b/>
          <w:sz w:val="24"/>
          <w:szCs w:val="24"/>
        </w:rPr>
        <w:t>Preparation of Drug: β-cyclodextrin complexes</w:t>
      </w:r>
    </w:p>
    <w:p w14:paraId="1771E275" w14:textId="77777777" w:rsidR="00464F29" w:rsidRPr="00820341" w:rsidRDefault="00464F29" w:rsidP="00464F29">
      <w:pPr>
        <w:numPr>
          <w:ilvl w:val="0"/>
          <w:numId w:val="1"/>
        </w:numPr>
        <w:spacing w:line="360" w:lineRule="auto"/>
        <w:jc w:val="both"/>
        <w:rPr>
          <w:rFonts w:ascii="Times New Roman" w:hAnsi="Times New Roman"/>
          <w:sz w:val="24"/>
          <w:szCs w:val="24"/>
        </w:rPr>
      </w:pPr>
      <w:r w:rsidRPr="00820341">
        <w:rPr>
          <w:rFonts w:ascii="Times New Roman" w:hAnsi="Times New Roman"/>
          <w:sz w:val="24"/>
          <w:szCs w:val="24"/>
        </w:rPr>
        <w:t>The drug and the polymer β-cyclodextrin were prepared in different ratios (1:5, 1:10, 1:15).</w:t>
      </w:r>
    </w:p>
    <w:p w14:paraId="070960C6" w14:textId="77777777" w:rsidR="00464F29" w:rsidRPr="00820341" w:rsidRDefault="00464F29" w:rsidP="00464F29">
      <w:pPr>
        <w:numPr>
          <w:ilvl w:val="0"/>
          <w:numId w:val="1"/>
        </w:numPr>
        <w:spacing w:line="360" w:lineRule="auto"/>
        <w:jc w:val="both"/>
        <w:rPr>
          <w:rFonts w:ascii="Times New Roman" w:hAnsi="Times New Roman"/>
          <w:sz w:val="24"/>
          <w:szCs w:val="24"/>
        </w:rPr>
      </w:pPr>
      <w:r w:rsidRPr="00820341">
        <w:rPr>
          <w:rFonts w:ascii="Times New Roman" w:hAnsi="Times New Roman"/>
          <w:sz w:val="24"/>
          <w:szCs w:val="24"/>
        </w:rPr>
        <w:t>The drug and the β cyclodextrin were taken in a china dish and to this little bit of methanol was added and triturated to form a paste.</w:t>
      </w:r>
    </w:p>
    <w:p w14:paraId="0DD23D3C" w14:textId="77777777" w:rsidR="00464F29" w:rsidRPr="00820341" w:rsidRDefault="00464F29" w:rsidP="00464F29">
      <w:pPr>
        <w:numPr>
          <w:ilvl w:val="0"/>
          <w:numId w:val="1"/>
        </w:numPr>
        <w:spacing w:line="360" w:lineRule="auto"/>
        <w:jc w:val="both"/>
        <w:rPr>
          <w:rFonts w:ascii="Times New Roman" w:hAnsi="Times New Roman"/>
          <w:sz w:val="24"/>
          <w:szCs w:val="24"/>
        </w:rPr>
      </w:pPr>
      <w:r w:rsidRPr="00820341">
        <w:rPr>
          <w:rFonts w:ascii="Times New Roman" w:hAnsi="Times New Roman"/>
          <w:sz w:val="24"/>
          <w:szCs w:val="24"/>
        </w:rPr>
        <w:t xml:space="preserve">The above solid mass obtained after evaporation of methanol was passed through sieve no. # 60.  </w:t>
      </w:r>
    </w:p>
    <w:p w14:paraId="5583EE34" w14:textId="77777777" w:rsidR="00464F29" w:rsidRPr="00820341" w:rsidRDefault="00464F29" w:rsidP="00464F29">
      <w:pPr>
        <w:spacing w:line="360" w:lineRule="auto"/>
        <w:jc w:val="both"/>
        <w:rPr>
          <w:rFonts w:ascii="Times New Roman" w:hAnsi="Times New Roman"/>
          <w:b/>
          <w:sz w:val="24"/>
          <w:szCs w:val="24"/>
        </w:rPr>
      </w:pPr>
      <w:r w:rsidRPr="00820341">
        <w:rPr>
          <w:rFonts w:ascii="Times New Roman" w:hAnsi="Times New Roman"/>
          <w:b/>
          <w:sz w:val="24"/>
          <w:szCs w:val="24"/>
        </w:rPr>
        <w:t>Solubility study</w:t>
      </w:r>
    </w:p>
    <w:p w14:paraId="41561EB3" w14:textId="77777777" w:rsidR="00464F29" w:rsidRPr="00820341" w:rsidRDefault="00464F29" w:rsidP="00464F29">
      <w:pPr>
        <w:spacing w:line="360" w:lineRule="auto"/>
        <w:jc w:val="both"/>
        <w:rPr>
          <w:rFonts w:ascii="Times New Roman" w:hAnsi="Times New Roman"/>
          <w:sz w:val="24"/>
          <w:szCs w:val="24"/>
        </w:rPr>
      </w:pPr>
      <w:r w:rsidRPr="00820341">
        <w:rPr>
          <w:rFonts w:ascii="Times New Roman" w:hAnsi="Times New Roman"/>
          <w:sz w:val="24"/>
          <w:szCs w:val="24"/>
        </w:rPr>
        <w:tab/>
        <w:t xml:space="preserve">Excess amount of complex mixtures were transferred into a conical flask. 10 ml of water was added to it and placed in shaker for 24 hrs. The contents of conical flask were filtered and absorbances were taken and solubility was calculated.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6"/>
        <w:gridCol w:w="756"/>
        <w:gridCol w:w="756"/>
        <w:gridCol w:w="756"/>
      </w:tblGrid>
      <w:tr w:rsidR="00464F29" w:rsidRPr="00820341" w14:paraId="38F9E22B" w14:textId="77777777" w:rsidTr="00D12A7A">
        <w:trPr>
          <w:jc w:val="center"/>
        </w:trPr>
        <w:tc>
          <w:tcPr>
            <w:tcW w:w="0" w:type="auto"/>
            <w:tcBorders>
              <w:right w:val="single" w:sz="4" w:space="0" w:color="auto"/>
            </w:tcBorders>
          </w:tcPr>
          <w:p w14:paraId="1FE4A2C1" w14:textId="77777777" w:rsidR="00464F29" w:rsidRPr="00820341" w:rsidRDefault="00464F29" w:rsidP="00D12A7A">
            <w:pPr>
              <w:spacing w:line="360" w:lineRule="auto"/>
              <w:jc w:val="both"/>
              <w:rPr>
                <w:rFonts w:ascii="Times New Roman" w:hAnsi="Times New Roman"/>
                <w:sz w:val="24"/>
                <w:szCs w:val="24"/>
              </w:rPr>
            </w:pPr>
            <w:r w:rsidRPr="00820341">
              <w:rPr>
                <w:rFonts w:ascii="Times New Roman" w:hAnsi="Times New Roman"/>
                <w:sz w:val="24"/>
                <w:szCs w:val="24"/>
              </w:rPr>
              <w:t>Drug: polymer</w:t>
            </w:r>
          </w:p>
        </w:tc>
        <w:tc>
          <w:tcPr>
            <w:tcW w:w="0" w:type="auto"/>
          </w:tcPr>
          <w:p w14:paraId="214484E8" w14:textId="77777777" w:rsidR="00464F29" w:rsidRPr="00820341" w:rsidRDefault="00464F29" w:rsidP="00D12A7A">
            <w:pPr>
              <w:spacing w:line="360" w:lineRule="auto"/>
              <w:jc w:val="both"/>
              <w:rPr>
                <w:rFonts w:ascii="Times New Roman" w:hAnsi="Times New Roman"/>
                <w:sz w:val="24"/>
                <w:szCs w:val="24"/>
              </w:rPr>
            </w:pPr>
            <w:r w:rsidRPr="00820341">
              <w:rPr>
                <w:rFonts w:ascii="Times New Roman" w:hAnsi="Times New Roman"/>
                <w:sz w:val="24"/>
                <w:szCs w:val="24"/>
              </w:rPr>
              <w:t>1:5</w:t>
            </w:r>
          </w:p>
        </w:tc>
        <w:tc>
          <w:tcPr>
            <w:tcW w:w="0" w:type="auto"/>
          </w:tcPr>
          <w:p w14:paraId="5CAB73FF" w14:textId="77777777" w:rsidR="00464F29" w:rsidRPr="00820341" w:rsidRDefault="00464F29" w:rsidP="00D12A7A">
            <w:pPr>
              <w:spacing w:line="360" w:lineRule="auto"/>
              <w:jc w:val="both"/>
              <w:rPr>
                <w:rFonts w:ascii="Times New Roman" w:hAnsi="Times New Roman"/>
                <w:sz w:val="24"/>
                <w:szCs w:val="24"/>
              </w:rPr>
            </w:pPr>
            <w:r w:rsidRPr="00820341">
              <w:rPr>
                <w:rFonts w:ascii="Times New Roman" w:hAnsi="Times New Roman"/>
                <w:sz w:val="24"/>
                <w:szCs w:val="24"/>
              </w:rPr>
              <w:t>1:10</w:t>
            </w:r>
          </w:p>
        </w:tc>
        <w:tc>
          <w:tcPr>
            <w:tcW w:w="0" w:type="auto"/>
          </w:tcPr>
          <w:p w14:paraId="388DF4EC" w14:textId="77777777" w:rsidR="00464F29" w:rsidRPr="00820341" w:rsidRDefault="00464F29" w:rsidP="00D12A7A">
            <w:pPr>
              <w:spacing w:line="360" w:lineRule="auto"/>
              <w:jc w:val="both"/>
              <w:rPr>
                <w:rFonts w:ascii="Times New Roman" w:hAnsi="Times New Roman"/>
                <w:sz w:val="24"/>
                <w:szCs w:val="24"/>
              </w:rPr>
            </w:pPr>
            <w:r w:rsidRPr="00820341">
              <w:rPr>
                <w:rFonts w:ascii="Times New Roman" w:hAnsi="Times New Roman"/>
                <w:sz w:val="24"/>
                <w:szCs w:val="24"/>
              </w:rPr>
              <w:t>1:15</w:t>
            </w:r>
          </w:p>
        </w:tc>
      </w:tr>
      <w:tr w:rsidR="00464F29" w:rsidRPr="00820341" w14:paraId="0DFD2FDD" w14:textId="77777777" w:rsidTr="00D12A7A">
        <w:trPr>
          <w:jc w:val="center"/>
        </w:trPr>
        <w:tc>
          <w:tcPr>
            <w:tcW w:w="0" w:type="auto"/>
            <w:tcBorders>
              <w:right w:val="single" w:sz="4" w:space="0" w:color="auto"/>
            </w:tcBorders>
          </w:tcPr>
          <w:p w14:paraId="65665CB1" w14:textId="77777777" w:rsidR="00464F29" w:rsidRPr="00820341" w:rsidRDefault="00464F29" w:rsidP="00D12A7A">
            <w:pPr>
              <w:spacing w:line="360" w:lineRule="auto"/>
              <w:jc w:val="both"/>
              <w:rPr>
                <w:rFonts w:ascii="Times New Roman" w:hAnsi="Times New Roman"/>
                <w:sz w:val="24"/>
                <w:szCs w:val="24"/>
              </w:rPr>
            </w:pPr>
            <w:r w:rsidRPr="00820341">
              <w:rPr>
                <w:rFonts w:ascii="Times New Roman" w:hAnsi="Times New Roman"/>
                <w:sz w:val="24"/>
                <w:szCs w:val="24"/>
              </w:rPr>
              <w:t>Absorbance</w:t>
            </w:r>
          </w:p>
        </w:tc>
        <w:tc>
          <w:tcPr>
            <w:tcW w:w="0" w:type="auto"/>
          </w:tcPr>
          <w:p w14:paraId="22FEE0AC" w14:textId="77777777" w:rsidR="00464F29" w:rsidRPr="00820341" w:rsidRDefault="00464F29" w:rsidP="00D12A7A">
            <w:pPr>
              <w:spacing w:line="360" w:lineRule="auto"/>
              <w:jc w:val="both"/>
              <w:rPr>
                <w:rFonts w:ascii="Times New Roman" w:hAnsi="Times New Roman"/>
                <w:sz w:val="24"/>
                <w:szCs w:val="24"/>
              </w:rPr>
            </w:pPr>
            <w:r w:rsidRPr="00820341">
              <w:rPr>
                <w:rFonts w:ascii="Times New Roman" w:hAnsi="Times New Roman"/>
                <w:sz w:val="24"/>
                <w:szCs w:val="24"/>
              </w:rPr>
              <w:t>0.692</w:t>
            </w:r>
          </w:p>
        </w:tc>
        <w:tc>
          <w:tcPr>
            <w:tcW w:w="0" w:type="auto"/>
          </w:tcPr>
          <w:p w14:paraId="26FDEF51" w14:textId="77777777" w:rsidR="00464F29" w:rsidRPr="00820341" w:rsidRDefault="00464F29" w:rsidP="00D12A7A">
            <w:pPr>
              <w:spacing w:line="360" w:lineRule="auto"/>
              <w:jc w:val="both"/>
              <w:rPr>
                <w:rFonts w:ascii="Times New Roman" w:hAnsi="Times New Roman"/>
                <w:sz w:val="24"/>
                <w:szCs w:val="24"/>
              </w:rPr>
            </w:pPr>
            <w:r w:rsidRPr="00820341">
              <w:rPr>
                <w:rFonts w:ascii="Times New Roman" w:hAnsi="Times New Roman"/>
                <w:sz w:val="24"/>
                <w:szCs w:val="24"/>
              </w:rPr>
              <w:t>0.350</w:t>
            </w:r>
          </w:p>
        </w:tc>
        <w:tc>
          <w:tcPr>
            <w:tcW w:w="0" w:type="auto"/>
          </w:tcPr>
          <w:p w14:paraId="76D2BF2E" w14:textId="77777777" w:rsidR="00464F29" w:rsidRPr="00820341" w:rsidRDefault="00464F29" w:rsidP="00D12A7A">
            <w:pPr>
              <w:spacing w:line="360" w:lineRule="auto"/>
              <w:jc w:val="both"/>
              <w:rPr>
                <w:rFonts w:ascii="Times New Roman" w:hAnsi="Times New Roman"/>
                <w:sz w:val="24"/>
                <w:szCs w:val="24"/>
              </w:rPr>
            </w:pPr>
            <w:r w:rsidRPr="00820341">
              <w:rPr>
                <w:rFonts w:ascii="Times New Roman" w:hAnsi="Times New Roman"/>
                <w:sz w:val="24"/>
                <w:szCs w:val="24"/>
              </w:rPr>
              <w:t>0.193</w:t>
            </w:r>
          </w:p>
        </w:tc>
      </w:tr>
      <w:tr w:rsidR="00464F29" w:rsidRPr="00820341" w14:paraId="61BB2A68" w14:textId="77777777" w:rsidTr="00D12A7A">
        <w:trPr>
          <w:jc w:val="center"/>
        </w:trPr>
        <w:tc>
          <w:tcPr>
            <w:tcW w:w="0" w:type="auto"/>
            <w:tcBorders>
              <w:right w:val="single" w:sz="4" w:space="0" w:color="auto"/>
            </w:tcBorders>
          </w:tcPr>
          <w:p w14:paraId="4521F758" w14:textId="77777777" w:rsidR="00464F29" w:rsidRPr="00820341" w:rsidRDefault="00464F29" w:rsidP="00D12A7A">
            <w:pPr>
              <w:spacing w:line="360" w:lineRule="auto"/>
              <w:jc w:val="both"/>
              <w:rPr>
                <w:rFonts w:ascii="Times New Roman" w:hAnsi="Times New Roman"/>
                <w:sz w:val="24"/>
                <w:szCs w:val="24"/>
              </w:rPr>
            </w:pPr>
            <w:r w:rsidRPr="00820341">
              <w:rPr>
                <w:rFonts w:ascii="Times New Roman" w:hAnsi="Times New Roman"/>
                <w:sz w:val="24"/>
                <w:szCs w:val="24"/>
              </w:rPr>
              <w:t>Concentration</w:t>
            </w:r>
          </w:p>
        </w:tc>
        <w:tc>
          <w:tcPr>
            <w:tcW w:w="0" w:type="auto"/>
          </w:tcPr>
          <w:p w14:paraId="431ABE70" w14:textId="77777777" w:rsidR="00464F29" w:rsidRPr="00820341" w:rsidRDefault="00464F29" w:rsidP="00D12A7A">
            <w:pPr>
              <w:spacing w:line="360" w:lineRule="auto"/>
              <w:jc w:val="both"/>
              <w:rPr>
                <w:rFonts w:ascii="Times New Roman" w:hAnsi="Times New Roman"/>
                <w:sz w:val="24"/>
                <w:szCs w:val="24"/>
              </w:rPr>
            </w:pPr>
            <w:r w:rsidRPr="00820341">
              <w:rPr>
                <w:rFonts w:ascii="Times New Roman" w:hAnsi="Times New Roman"/>
                <w:sz w:val="24"/>
                <w:szCs w:val="24"/>
              </w:rPr>
              <w:t>10.6</w:t>
            </w:r>
          </w:p>
        </w:tc>
        <w:tc>
          <w:tcPr>
            <w:tcW w:w="0" w:type="auto"/>
          </w:tcPr>
          <w:p w14:paraId="7408B5DC" w14:textId="77777777" w:rsidR="00464F29" w:rsidRPr="00820341" w:rsidRDefault="00464F29" w:rsidP="00D12A7A">
            <w:pPr>
              <w:spacing w:line="360" w:lineRule="auto"/>
              <w:jc w:val="both"/>
              <w:rPr>
                <w:rFonts w:ascii="Times New Roman" w:hAnsi="Times New Roman"/>
                <w:sz w:val="24"/>
                <w:szCs w:val="24"/>
              </w:rPr>
            </w:pPr>
            <w:r w:rsidRPr="00820341">
              <w:rPr>
                <w:rFonts w:ascii="Times New Roman" w:hAnsi="Times New Roman"/>
                <w:sz w:val="24"/>
                <w:szCs w:val="24"/>
              </w:rPr>
              <w:t>5.07</w:t>
            </w:r>
          </w:p>
        </w:tc>
        <w:tc>
          <w:tcPr>
            <w:tcW w:w="0" w:type="auto"/>
          </w:tcPr>
          <w:p w14:paraId="0D35BDB3" w14:textId="77777777" w:rsidR="00464F29" w:rsidRPr="00820341" w:rsidRDefault="00464F29" w:rsidP="00D12A7A">
            <w:pPr>
              <w:spacing w:line="360" w:lineRule="auto"/>
              <w:jc w:val="both"/>
              <w:rPr>
                <w:rFonts w:ascii="Times New Roman" w:hAnsi="Times New Roman"/>
                <w:sz w:val="24"/>
                <w:szCs w:val="24"/>
              </w:rPr>
            </w:pPr>
            <w:r w:rsidRPr="00820341">
              <w:rPr>
                <w:rFonts w:ascii="Times New Roman" w:hAnsi="Times New Roman"/>
                <w:sz w:val="24"/>
                <w:szCs w:val="24"/>
              </w:rPr>
              <w:t>2.52</w:t>
            </w:r>
          </w:p>
        </w:tc>
      </w:tr>
    </w:tbl>
    <w:p w14:paraId="6456C254" w14:textId="77777777" w:rsidR="00464F29" w:rsidRDefault="00464F29" w:rsidP="00464F29">
      <w:pPr>
        <w:spacing w:line="360" w:lineRule="auto"/>
        <w:jc w:val="both"/>
        <w:rPr>
          <w:rFonts w:ascii="Times New Roman" w:hAnsi="Times New Roman"/>
          <w:b/>
          <w:sz w:val="24"/>
          <w:szCs w:val="24"/>
        </w:rPr>
      </w:pPr>
    </w:p>
    <w:p w14:paraId="6F69F597" w14:textId="77777777" w:rsidR="00464F29" w:rsidRDefault="00464F29" w:rsidP="00464F29">
      <w:pPr>
        <w:spacing w:line="360" w:lineRule="auto"/>
        <w:jc w:val="both"/>
        <w:rPr>
          <w:rFonts w:ascii="Times New Roman" w:hAnsi="Times New Roman"/>
          <w:b/>
          <w:sz w:val="24"/>
          <w:szCs w:val="24"/>
        </w:rPr>
      </w:pPr>
    </w:p>
    <w:p w14:paraId="4EFFA355" w14:textId="77777777" w:rsidR="00464F29" w:rsidRPr="00820341" w:rsidRDefault="00464F29" w:rsidP="00464F29">
      <w:pPr>
        <w:spacing w:line="360" w:lineRule="auto"/>
        <w:jc w:val="both"/>
        <w:rPr>
          <w:rFonts w:ascii="Times New Roman" w:hAnsi="Times New Roman"/>
          <w:b/>
          <w:sz w:val="24"/>
          <w:szCs w:val="24"/>
        </w:rPr>
      </w:pPr>
    </w:p>
    <w:p w14:paraId="4029C8EC" w14:textId="77777777" w:rsidR="00464F29" w:rsidRPr="00820341" w:rsidRDefault="00464F29" w:rsidP="00464F29">
      <w:pPr>
        <w:spacing w:line="360" w:lineRule="auto"/>
        <w:jc w:val="both"/>
        <w:rPr>
          <w:rFonts w:ascii="Times New Roman" w:hAnsi="Times New Roman"/>
          <w:b/>
          <w:sz w:val="24"/>
          <w:szCs w:val="24"/>
        </w:rPr>
      </w:pPr>
      <w:r w:rsidRPr="00820341">
        <w:rPr>
          <w:rFonts w:ascii="Times New Roman" w:hAnsi="Times New Roman"/>
          <w:b/>
          <w:i/>
          <w:sz w:val="24"/>
          <w:szCs w:val="24"/>
        </w:rPr>
        <w:lastRenderedPageBreak/>
        <w:t xml:space="preserve">Invitro </w:t>
      </w:r>
      <w:r w:rsidRPr="00820341">
        <w:rPr>
          <w:rFonts w:ascii="Times New Roman" w:hAnsi="Times New Roman"/>
          <w:b/>
          <w:sz w:val="24"/>
          <w:szCs w:val="24"/>
        </w:rPr>
        <w:t>Dissolution studies</w:t>
      </w:r>
    </w:p>
    <w:p w14:paraId="1E0DE5CB" w14:textId="77777777" w:rsidR="00464F29" w:rsidRPr="00820341" w:rsidRDefault="00464F29" w:rsidP="00464F29">
      <w:pPr>
        <w:spacing w:line="360" w:lineRule="auto"/>
        <w:jc w:val="both"/>
        <w:rPr>
          <w:rFonts w:ascii="Times New Roman" w:hAnsi="Times New Roman"/>
          <w:sz w:val="24"/>
          <w:szCs w:val="24"/>
        </w:rPr>
      </w:pPr>
      <w:r w:rsidRPr="00820341">
        <w:rPr>
          <w:rFonts w:ascii="Times New Roman" w:hAnsi="Times New Roman"/>
          <w:sz w:val="24"/>
          <w:szCs w:val="24"/>
        </w:rPr>
        <w:tab/>
        <w:t xml:space="preserve">The dissolution studies were performed for three different ratios of drug and polymer </w:t>
      </w:r>
      <w:proofErr w:type="spellStart"/>
      <w:r w:rsidRPr="00820341">
        <w:rPr>
          <w:rFonts w:ascii="Times New Roman" w:hAnsi="Times New Roman"/>
          <w:sz w:val="24"/>
          <w:szCs w:val="24"/>
        </w:rPr>
        <w:t>i.e</w:t>
      </w:r>
      <w:proofErr w:type="spellEnd"/>
      <w:r w:rsidRPr="00820341">
        <w:rPr>
          <w:rFonts w:ascii="Times New Roman" w:hAnsi="Times New Roman"/>
          <w:sz w:val="24"/>
          <w:szCs w:val="24"/>
        </w:rPr>
        <w:t xml:space="preserve">; 1:5, 1:10 &amp; 1:15. 100mg samples of drug: β-cyclodextrins were taken in the dissolution apparatus and dissolution test was performed with the given requirements like, </w:t>
      </w:r>
    </w:p>
    <w:p w14:paraId="16357158" w14:textId="77777777" w:rsidR="00464F29" w:rsidRPr="00820341" w:rsidRDefault="00464F29" w:rsidP="00464F29">
      <w:pPr>
        <w:spacing w:line="360" w:lineRule="auto"/>
        <w:jc w:val="both"/>
        <w:rPr>
          <w:rFonts w:ascii="Times New Roman" w:hAnsi="Times New Roman"/>
          <w:sz w:val="24"/>
          <w:szCs w:val="24"/>
        </w:rPr>
      </w:pPr>
      <w:r w:rsidRPr="00820341">
        <w:rPr>
          <w:rFonts w:ascii="Times New Roman" w:hAnsi="Times New Roman"/>
          <w:sz w:val="24"/>
          <w:szCs w:val="24"/>
        </w:rPr>
        <w:tab/>
        <w:t xml:space="preserve">                   Method – USP Type-II (Paddle)</w:t>
      </w:r>
    </w:p>
    <w:p w14:paraId="1B49F338" w14:textId="77777777" w:rsidR="00464F29" w:rsidRPr="00820341" w:rsidRDefault="00464F29" w:rsidP="00464F29">
      <w:pPr>
        <w:spacing w:line="360" w:lineRule="auto"/>
        <w:jc w:val="both"/>
        <w:rPr>
          <w:rFonts w:ascii="Times New Roman" w:hAnsi="Times New Roman"/>
          <w:sz w:val="24"/>
          <w:szCs w:val="24"/>
        </w:rPr>
      </w:pPr>
      <w:r w:rsidRPr="00820341">
        <w:rPr>
          <w:rFonts w:ascii="Times New Roman" w:hAnsi="Times New Roman"/>
          <w:sz w:val="24"/>
          <w:szCs w:val="24"/>
        </w:rPr>
        <w:t xml:space="preserve">                               Medium – Phosphate buffer of pH 7.4</w:t>
      </w:r>
    </w:p>
    <w:p w14:paraId="7F04724C" w14:textId="77777777" w:rsidR="00464F29" w:rsidRPr="00820341" w:rsidRDefault="00464F29" w:rsidP="00464F29">
      <w:pPr>
        <w:spacing w:line="360" w:lineRule="auto"/>
        <w:jc w:val="both"/>
        <w:rPr>
          <w:rFonts w:ascii="Times New Roman" w:hAnsi="Times New Roman"/>
          <w:sz w:val="24"/>
          <w:szCs w:val="24"/>
        </w:rPr>
      </w:pPr>
      <w:r w:rsidRPr="00820341">
        <w:rPr>
          <w:rFonts w:ascii="Times New Roman" w:hAnsi="Times New Roman"/>
          <w:sz w:val="24"/>
          <w:szCs w:val="24"/>
        </w:rPr>
        <w:t xml:space="preserve">                               R.P.M – 50 </w:t>
      </w:r>
    </w:p>
    <w:p w14:paraId="68A1CE56" w14:textId="77777777" w:rsidR="00464F29" w:rsidRPr="00820341" w:rsidRDefault="00464F29" w:rsidP="00464F29">
      <w:pPr>
        <w:spacing w:line="360" w:lineRule="auto"/>
        <w:jc w:val="both"/>
        <w:rPr>
          <w:rFonts w:ascii="Times New Roman" w:hAnsi="Times New Roman"/>
          <w:sz w:val="24"/>
          <w:szCs w:val="24"/>
        </w:rPr>
      </w:pPr>
      <w:r w:rsidRPr="00820341">
        <w:rPr>
          <w:rFonts w:ascii="Times New Roman" w:hAnsi="Times New Roman"/>
          <w:sz w:val="24"/>
          <w:szCs w:val="24"/>
        </w:rPr>
        <w:t xml:space="preserve">                               Temperature – 37</w:t>
      </w:r>
      <w:r w:rsidRPr="00820341">
        <w:rPr>
          <w:rFonts w:ascii="Times New Roman" w:hAnsi="Times New Roman"/>
          <w:sz w:val="24"/>
          <w:szCs w:val="24"/>
          <w:vertAlign w:val="superscript"/>
        </w:rPr>
        <w:t>0</w:t>
      </w:r>
      <w:r w:rsidRPr="00820341">
        <w:rPr>
          <w:rFonts w:ascii="Times New Roman" w:hAnsi="Times New Roman"/>
          <w:sz w:val="24"/>
          <w:szCs w:val="24"/>
        </w:rPr>
        <w:t>c ± 0.2</w:t>
      </w:r>
      <w:r w:rsidRPr="00820341">
        <w:rPr>
          <w:rFonts w:ascii="Times New Roman" w:hAnsi="Times New Roman"/>
          <w:sz w:val="24"/>
          <w:szCs w:val="24"/>
          <w:vertAlign w:val="superscript"/>
        </w:rPr>
        <w:t>0</w:t>
      </w:r>
      <w:r w:rsidRPr="00820341">
        <w:rPr>
          <w:rFonts w:ascii="Times New Roman" w:hAnsi="Times New Roman"/>
          <w:sz w:val="24"/>
          <w:szCs w:val="24"/>
        </w:rPr>
        <w:t xml:space="preserve">c. </w:t>
      </w:r>
    </w:p>
    <w:p w14:paraId="2275957B" w14:textId="77777777" w:rsidR="00464F29" w:rsidRPr="00820341" w:rsidRDefault="00464F29" w:rsidP="00464F29">
      <w:pPr>
        <w:spacing w:line="360" w:lineRule="auto"/>
        <w:ind w:firstLine="720"/>
        <w:jc w:val="both"/>
        <w:rPr>
          <w:rFonts w:ascii="Times New Roman" w:hAnsi="Times New Roman"/>
          <w:sz w:val="24"/>
          <w:szCs w:val="24"/>
        </w:rPr>
      </w:pPr>
      <w:r w:rsidRPr="00820341">
        <w:rPr>
          <w:rFonts w:ascii="Times New Roman" w:hAnsi="Times New Roman"/>
          <w:sz w:val="24"/>
          <w:szCs w:val="24"/>
        </w:rPr>
        <w:t>Then, the samples were drawn at intervals of 5, 10, 20, 30, 40, 50, 60 minutes. The samples were analyzed at the 277.2nm by using UV spectrophotometer and the first order rate constants of the respective dissolution profiles of complexes were calculated.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9"/>
        <w:gridCol w:w="757"/>
        <w:gridCol w:w="891"/>
        <w:gridCol w:w="862"/>
        <w:gridCol w:w="636"/>
        <w:gridCol w:w="696"/>
        <w:gridCol w:w="756"/>
        <w:gridCol w:w="895"/>
        <w:gridCol w:w="997"/>
        <w:gridCol w:w="997"/>
      </w:tblGrid>
      <w:tr w:rsidR="00464F29" w:rsidRPr="00820341" w14:paraId="7646E886" w14:textId="77777777" w:rsidTr="00D12A7A">
        <w:trPr>
          <w:trHeight w:val="240"/>
          <w:jc w:val="center"/>
        </w:trPr>
        <w:tc>
          <w:tcPr>
            <w:tcW w:w="1548" w:type="dxa"/>
            <w:vMerge w:val="restart"/>
          </w:tcPr>
          <w:p w14:paraId="13F45A2A" w14:textId="77777777" w:rsidR="00464F29" w:rsidRPr="00820341" w:rsidRDefault="00464F29" w:rsidP="00D12A7A">
            <w:pPr>
              <w:spacing w:line="240" w:lineRule="auto"/>
              <w:jc w:val="both"/>
              <w:rPr>
                <w:rFonts w:ascii="Times New Roman" w:hAnsi="Times New Roman"/>
                <w:b/>
                <w:sz w:val="24"/>
                <w:szCs w:val="24"/>
              </w:rPr>
            </w:pPr>
            <w:r w:rsidRPr="00820341">
              <w:rPr>
                <w:rFonts w:ascii="Times New Roman" w:hAnsi="Times New Roman"/>
                <w:b/>
                <w:sz w:val="24"/>
                <w:szCs w:val="24"/>
              </w:rPr>
              <w:t>Time(min)</w:t>
            </w:r>
          </w:p>
        </w:tc>
        <w:tc>
          <w:tcPr>
            <w:tcW w:w="2531" w:type="dxa"/>
            <w:gridSpan w:val="3"/>
            <w:tcBorders>
              <w:top w:val="single" w:sz="4" w:space="0" w:color="auto"/>
              <w:bottom w:val="single" w:sz="4" w:space="0" w:color="auto"/>
              <w:right w:val="single" w:sz="4" w:space="0" w:color="auto"/>
            </w:tcBorders>
          </w:tcPr>
          <w:p w14:paraId="2033C5DE" w14:textId="77777777" w:rsidR="00464F29" w:rsidRPr="00820341" w:rsidRDefault="00464F29" w:rsidP="00D12A7A">
            <w:pPr>
              <w:spacing w:line="240" w:lineRule="auto"/>
              <w:jc w:val="both"/>
              <w:rPr>
                <w:rFonts w:ascii="Times New Roman" w:hAnsi="Times New Roman"/>
                <w:b/>
                <w:sz w:val="24"/>
                <w:szCs w:val="24"/>
              </w:rPr>
            </w:pPr>
            <w:r w:rsidRPr="00820341">
              <w:rPr>
                <w:rFonts w:ascii="Times New Roman" w:hAnsi="Times New Roman"/>
                <w:b/>
                <w:sz w:val="24"/>
                <w:szCs w:val="24"/>
              </w:rPr>
              <w:t>% Amount released</w:t>
            </w:r>
          </w:p>
        </w:tc>
        <w:tc>
          <w:tcPr>
            <w:tcW w:w="0" w:type="auto"/>
            <w:gridSpan w:val="3"/>
            <w:tcBorders>
              <w:top w:val="single" w:sz="4" w:space="0" w:color="auto"/>
              <w:left w:val="single" w:sz="4" w:space="0" w:color="auto"/>
              <w:bottom w:val="single" w:sz="4" w:space="0" w:color="auto"/>
              <w:right w:val="single" w:sz="4" w:space="0" w:color="auto"/>
            </w:tcBorders>
          </w:tcPr>
          <w:p w14:paraId="7D3A897F" w14:textId="77777777" w:rsidR="00464F29" w:rsidRPr="00820341" w:rsidRDefault="00464F29" w:rsidP="00D12A7A">
            <w:pPr>
              <w:spacing w:line="240" w:lineRule="auto"/>
              <w:jc w:val="both"/>
              <w:rPr>
                <w:rFonts w:ascii="Times New Roman" w:hAnsi="Times New Roman"/>
                <w:b/>
                <w:sz w:val="24"/>
                <w:szCs w:val="24"/>
              </w:rPr>
            </w:pPr>
            <w:r w:rsidRPr="00820341">
              <w:rPr>
                <w:rFonts w:ascii="Times New Roman" w:hAnsi="Times New Roman"/>
                <w:b/>
                <w:sz w:val="24"/>
                <w:szCs w:val="24"/>
              </w:rPr>
              <w:t>% ARR</w:t>
            </w:r>
          </w:p>
        </w:tc>
        <w:tc>
          <w:tcPr>
            <w:tcW w:w="2946" w:type="dxa"/>
            <w:gridSpan w:val="3"/>
            <w:tcBorders>
              <w:top w:val="single" w:sz="4" w:space="0" w:color="auto"/>
              <w:left w:val="single" w:sz="4" w:space="0" w:color="auto"/>
              <w:bottom w:val="single" w:sz="4" w:space="0" w:color="auto"/>
            </w:tcBorders>
          </w:tcPr>
          <w:p w14:paraId="49B9C1A6" w14:textId="77777777" w:rsidR="00464F29" w:rsidRPr="00820341" w:rsidRDefault="00464F29" w:rsidP="00D12A7A">
            <w:pPr>
              <w:spacing w:line="240" w:lineRule="auto"/>
              <w:jc w:val="both"/>
              <w:rPr>
                <w:rFonts w:ascii="Times New Roman" w:hAnsi="Times New Roman"/>
                <w:b/>
                <w:sz w:val="24"/>
                <w:szCs w:val="24"/>
              </w:rPr>
            </w:pPr>
            <w:r w:rsidRPr="00820341">
              <w:rPr>
                <w:rFonts w:ascii="Times New Roman" w:hAnsi="Times New Roman"/>
                <w:b/>
                <w:sz w:val="24"/>
                <w:szCs w:val="24"/>
              </w:rPr>
              <w:t>Log % ARR</w:t>
            </w:r>
          </w:p>
        </w:tc>
      </w:tr>
      <w:tr w:rsidR="00464F29" w:rsidRPr="00820341" w14:paraId="34327178" w14:textId="77777777" w:rsidTr="00D12A7A">
        <w:trPr>
          <w:trHeight w:val="240"/>
          <w:jc w:val="center"/>
        </w:trPr>
        <w:tc>
          <w:tcPr>
            <w:tcW w:w="1548" w:type="dxa"/>
            <w:vMerge/>
          </w:tcPr>
          <w:p w14:paraId="19535A1D" w14:textId="77777777" w:rsidR="00464F29" w:rsidRPr="00820341" w:rsidRDefault="00464F29" w:rsidP="00D12A7A">
            <w:pPr>
              <w:spacing w:line="240" w:lineRule="auto"/>
              <w:jc w:val="both"/>
              <w:rPr>
                <w:rFonts w:ascii="Times New Roman" w:hAnsi="Times New Roman"/>
                <w:b/>
                <w:sz w:val="24"/>
                <w:szCs w:val="24"/>
              </w:rPr>
            </w:pPr>
          </w:p>
        </w:tc>
        <w:tc>
          <w:tcPr>
            <w:tcW w:w="756" w:type="dxa"/>
            <w:tcBorders>
              <w:top w:val="single" w:sz="4" w:space="0" w:color="auto"/>
              <w:right w:val="single" w:sz="4" w:space="0" w:color="auto"/>
            </w:tcBorders>
          </w:tcPr>
          <w:p w14:paraId="2DB4C0B6" w14:textId="77777777" w:rsidR="00464F29" w:rsidRPr="00820341" w:rsidRDefault="00464F29" w:rsidP="00D12A7A">
            <w:pPr>
              <w:spacing w:line="240" w:lineRule="auto"/>
              <w:jc w:val="both"/>
              <w:rPr>
                <w:rFonts w:ascii="Times New Roman" w:hAnsi="Times New Roman"/>
                <w:b/>
                <w:sz w:val="24"/>
                <w:szCs w:val="24"/>
              </w:rPr>
            </w:pPr>
            <w:r w:rsidRPr="00820341">
              <w:rPr>
                <w:rFonts w:ascii="Times New Roman" w:hAnsi="Times New Roman"/>
                <w:b/>
                <w:sz w:val="24"/>
                <w:szCs w:val="24"/>
              </w:rPr>
              <w:t>F1</w:t>
            </w:r>
          </w:p>
        </w:tc>
        <w:tc>
          <w:tcPr>
            <w:tcW w:w="903" w:type="dxa"/>
            <w:tcBorders>
              <w:top w:val="single" w:sz="4" w:space="0" w:color="auto"/>
              <w:right w:val="single" w:sz="4" w:space="0" w:color="auto"/>
            </w:tcBorders>
          </w:tcPr>
          <w:p w14:paraId="0A51C61C" w14:textId="77777777" w:rsidR="00464F29" w:rsidRPr="00820341" w:rsidRDefault="00464F29" w:rsidP="00D12A7A">
            <w:pPr>
              <w:spacing w:line="240" w:lineRule="auto"/>
              <w:jc w:val="both"/>
              <w:rPr>
                <w:rFonts w:ascii="Times New Roman" w:hAnsi="Times New Roman"/>
                <w:b/>
                <w:sz w:val="24"/>
                <w:szCs w:val="24"/>
              </w:rPr>
            </w:pPr>
            <w:r w:rsidRPr="00820341">
              <w:rPr>
                <w:rFonts w:ascii="Times New Roman" w:hAnsi="Times New Roman"/>
                <w:b/>
                <w:sz w:val="24"/>
                <w:szCs w:val="24"/>
              </w:rPr>
              <w:t>F2</w:t>
            </w:r>
          </w:p>
        </w:tc>
        <w:tc>
          <w:tcPr>
            <w:tcW w:w="872" w:type="dxa"/>
            <w:tcBorders>
              <w:top w:val="single" w:sz="4" w:space="0" w:color="auto"/>
              <w:right w:val="single" w:sz="4" w:space="0" w:color="auto"/>
            </w:tcBorders>
          </w:tcPr>
          <w:p w14:paraId="7E29D84A" w14:textId="77777777" w:rsidR="00464F29" w:rsidRPr="00820341" w:rsidRDefault="00464F29" w:rsidP="00D12A7A">
            <w:pPr>
              <w:spacing w:line="240" w:lineRule="auto"/>
              <w:jc w:val="both"/>
              <w:rPr>
                <w:rFonts w:ascii="Times New Roman" w:hAnsi="Times New Roman"/>
                <w:b/>
                <w:sz w:val="24"/>
                <w:szCs w:val="24"/>
              </w:rPr>
            </w:pPr>
            <w:r w:rsidRPr="00820341">
              <w:rPr>
                <w:rFonts w:ascii="Times New Roman" w:hAnsi="Times New Roman"/>
                <w:b/>
                <w:sz w:val="24"/>
                <w:szCs w:val="24"/>
              </w:rPr>
              <w:t>F3</w:t>
            </w:r>
          </w:p>
        </w:tc>
        <w:tc>
          <w:tcPr>
            <w:tcW w:w="0" w:type="auto"/>
            <w:tcBorders>
              <w:top w:val="single" w:sz="4" w:space="0" w:color="auto"/>
              <w:left w:val="single" w:sz="4" w:space="0" w:color="auto"/>
              <w:right w:val="single" w:sz="4" w:space="0" w:color="auto"/>
            </w:tcBorders>
          </w:tcPr>
          <w:p w14:paraId="265B90F6" w14:textId="77777777" w:rsidR="00464F29" w:rsidRPr="00820341" w:rsidRDefault="00464F29" w:rsidP="00D12A7A">
            <w:pPr>
              <w:spacing w:line="240" w:lineRule="auto"/>
              <w:jc w:val="both"/>
              <w:rPr>
                <w:rFonts w:ascii="Times New Roman" w:hAnsi="Times New Roman"/>
                <w:b/>
                <w:sz w:val="24"/>
                <w:szCs w:val="24"/>
              </w:rPr>
            </w:pPr>
            <w:r w:rsidRPr="00820341">
              <w:rPr>
                <w:rFonts w:ascii="Times New Roman" w:hAnsi="Times New Roman"/>
                <w:b/>
                <w:sz w:val="24"/>
                <w:szCs w:val="24"/>
              </w:rPr>
              <w:t>F1</w:t>
            </w:r>
          </w:p>
        </w:tc>
        <w:tc>
          <w:tcPr>
            <w:tcW w:w="0" w:type="auto"/>
            <w:tcBorders>
              <w:top w:val="single" w:sz="4" w:space="0" w:color="auto"/>
              <w:left w:val="single" w:sz="4" w:space="0" w:color="auto"/>
            </w:tcBorders>
          </w:tcPr>
          <w:p w14:paraId="21D4ED6F" w14:textId="77777777" w:rsidR="00464F29" w:rsidRPr="00820341" w:rsidRDefault="00464F29" w:rsidP="00D12A7A">
            <w:pPr>
              <w:spacing w:line="240" w:lineRule="auto"/>
              <w:jc w:val="both"/>
              <w:rPr>
                <w:rFonts w:ascii="Times New Roman" w:hAnsi="Times New Roman"/>
                <w:b/>
                <w:sz w:val="24"/>
                <w:szCs w:val="24"/>
              </w:rPr>
            </w:pPr>
            <w:r w:rsidRPr="00820341">
              <w:rPr>
                <w:rFonts w:ascii="Times New Roman" w:hAnsi="Times New Roman"/>
                <w:b/>
                <w:sz w:val="24"/>
                <w:szCs w:val="24"/>
              </w:rPr>
              <w:t>F2</w:t>
            </w:r>
          </w:p>
        </w:tc>
        <w:tc>
          <w:tcPr>
            <w:tcW w:w="0" w:type="auto"/>
            <w:tcBorders>
              <w:top w:val="single" w:sz="4" w:space="0" w:color="auto"/>
              <w:left w:val="single" w:sz="4" w:space="0" w:color="auto"/>
            </w:tcBorders>
          </w:tcPr>
          <w:p w14:paraId="00A57A6B" w14:textId="77777777" w:rsidR="00464F29" w:rsidRPr="00820341" w:rsidRDefault="00464F29" w:rsidP="00D12A7A">
            <w:pPr>
              <w:spacing w:line="240" w:lineRule="auto"/>
              <w:jc w:val="both"/>
              <w:rPr>
                <w:rFonts w:ascii="Times New Roman" w:hAnsi="Times New Roman"/>
                <w:b/>
                <w:sz w:val="24"/>
                <w:szCs w:val="24"/>
              </w:rPr>
            </w:pPr>
            <w:r w:rsidRPr="00820341">
              <w:rPr>
                <w:rFonts w:ascii="Times New Roman" w:hAnsi="Times New Roman"/>
                <w:b/>
                <w:sz w:val="24"/>
                <w:szCs w:val="24"/>
              </w:rPr>
              <w:t>F3</w:t>
            </w:r>
          </w:p>
        </w:tc>
        <w:tc>
          <w:tcPr>
            <w:tcW w:w="908" w:type="dxa"/>
            <w:tcBorders>
              <w:top w:val="single" w:sz="4" w:space="0" w:color="auto"/>
              <w:left w:val="single" w:sz="4" w:space="0" w:color="auto"/>
              <w:bottom w:val="single" w:sz="4" w:space="0" w:color="auto"/>
              <w:right w:val="single" w:sz="4" w:space="0" w:color="auto"/>
            </w:tcBorders>
          </w:tcPr>
          <w:p w14:paraId="67560C19" w14:textId="77777777" w:rsidR="00464F29" w:rsidRPr="00820341" w:rsidRDefault="00464F29" w:rsidP="00D12A7A">
            <w:pPr>
              <w:spacing w:line="240" w:lineRule="auto"/>
              <w:jc w:val="both"/>
              <w:rPr>
                <w:rFonts w:ascii="Times New Roman" w:hAnsi="Times New Roman"/>
                <w:b/>
                <w:sz w:val="24"/>
                <w:szCs w:val="24"/>
              </w:rPr>
            </w:pPr>
            <w:r w:rsidRPr="00820341">
              <w:rPr>
                <w:rFonts w:ascii="Times New Roman" w:hAnsi="Times New Roman"/>
                <w:b/>
                <w:sz w:val="24"/>
                <w:szCs w:val="24"/>
              </w:rPr>
              <w:t>F1</w:t>
            </w:r>
          </w:p>
        </w:tc>
        <w:tc>
          <w:tcPr>
            <w:tcW w:w="1019" w:type="dxa"/>
            <w:tcBorders>
              <w:top w:val="single" w:sz="4" w:space="0" w:color="auto"/>
              <w:left w:val="single" w:sz="4" w:space="0" w:color="auto"/>
            </w:tcBorders>
          </w:tcPr>
          <w:p w14:paraId="6B1B01E2" w14:textId="77777777" w:rsidR="00464F29" w:rsidRPr="00820341" w:rsidRDefault="00464F29" w:rsidP="00D12A7A">
            <w:pPr>
              <w:spacing w:line="240" w:lineRule="auto"/>
              <w:jc w:val="both"/>
              <w:rPr>
                <w:rFonts w:ascii="Times New Roman" w:hAnsi="Times New Roman"/>
                <w:b/>
                <w:sz w:val="24"/>
                <w:szCs w:val="24"/>
              </w:rPr>
            </w:pPr>
            <w:r w:rsidRPr="00820341">
              <w:rPr>
                <w:rFonts w:ascii="Times New Roman" w:hAnsi="Times New Roman"/>
                <w:b/>
                <w:sz w:val="24"/>
                <w:szCs w:val="24"/>
              </w:rPr>
              <w:t>F2</w:t>
            </w:r>
          </w:p>
        </w:tc>
        <w:tc>
          <w:tcPr>
            <w:tcW w:w="1019" w:type="dxa"/>
            <w:tcBorders>
              <w:top w:val="single" w:sz="4" w:space="0" w:color="auto"/>
              <w:left w:val="single" w:sz="4" w:space="0" w:color="auto"/>
            </w:tcBorders>
          </w:tcPr>
          <w:p w14:paraId="06242880" w14:textId="77777777" w:rsidR="00464F29" w:rsidRPr="00820341" w:rsidRDefault="00464F29" w:rsidP="00D12A7A">
            <w:pPr>
              <w:spacing w:line="240" w:lineRule="auto"/>
              <w:jc w:val="both"/>
              <w:rPr>
                <w:rFonts w:ascii="Times New Roman" w:hAnsi="Times New Roman"/>
                <w:b/>
                <w:sz w:val="24"/>
                <w:szCs w:val="24"/>
              </w:rPr>
            </w:pPr>
            <w:r w:rsidRPr="00820341">
              <w:rPr>
                <w:rFonts w:ascii="Times New Roman" w:hAnsi="Times New Roman"/>
                <w:b/>
                <w:sz w:val="24"/>
                <w:szCs w:val="24"/>
              </w:rPr>
              <w:t>F3</w:t>
            </w:r>
          </w:p>
        </w:tc>
      </w:tr>
      <w:tr w:rsidR="00464F29" w:rsidRPr="00820341" w14:paraId="3B068D73" w14:textId="77777777" w:rsidTr="00D12A7A">
        <w:trPr>
          <w:jc w:val="center"/>
        </w:trPr>
        <w:tc>
          <w:tcPr>
            <w:tcW w:w="1548" w:type="dxa"/>
          </w:tcPr>
          <w:p w14:paraId="0E37E090"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0</w:t>
            </w:r>
          </w:p>
        </w:tc>
        <w:tc>
          <w:tcPr>
            <w:tcW w:w="756" w:type="dxa"/>
            <w:tcBorders>
              <w:right w:val="single" w:sz="4" w:space="0" w:color="auto"/>
            </w:tcBorders>
          </w:tcPr>
          <w:p w14:paraId="10AEB13B"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0</w:t>
            </w:r>
          </w:p>
        </w:tc>
        <w:tc>
          <w:tcPr>
            <w:tcW w:w="903" w:type="dxa"/>
            <w:tcBorders>
              <w:right w:val="single" w:sz="4" w:space="0" w:color="auto"/>
            </w:tcBorders>
          </w:tcPr>
          <w:p w14:paraId="18D1F1C3"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0</w:t>
            </w:r>
          </w:p>
        </w:tc>
        <w:tc>
          <w:tcPr>
            <w:tcW w:w="872" w:type="dxa"/>
            <w:tcBorders>
              <w:right w:val="single" w:sz="4" w:space="0" w:color="auto"/>
            </w:tcBorders>
          </w:tcPr>
          <w:p w14:paraId="49348AB3"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0</w:t>
            </w:r>
          </w:p>
        </w:tc>
        <w:tc>
          <w:tcPr>
            <w:tcW w:w="0" w:type="auto"/>
            <w:tcBorders>
              <w:left w:val="single" w:sz="4" w:space="0" w:color="auto"/>
              <w:right w:val="single" w:sz="4" w:space="0" w:color="auto"/>
            </w:tcBorders>
            <w:vAlign w:val="bottom"/>
          </w:tcPr>
          <w:p w14:paraId="7FB9CC17"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100</w:t>
            </w:r>
          </w:p>
        </w:tc>
        <w:tc>
          <w:tcPr>
            <w:tcW w:w="0" w:type="auto"/>
            <w:tcBorders>
              <w:left w:val="single" w:sz="4" w:space="0" w:color="auto"/>
            </w:tcBorders>
            <w:vAlign w:val="bottom"/>
          </w:tcPr>
          <w:p w14:paraId="15D7911C"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100</w:t>
            </w:r>
          </w:p>
        </w:tc>
        <w:tc>
          <w:tcPr>
            <w:tcW w:w="0" w:type="auto"/>
            <w:tcBorders>
              <w:left w:val="single" w:sz="4" w:space="0" w:color="auto"/>
            </w:tcBorders>
          </w:tcPr>
          <w:p w14:paraId="09E6914D"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100</w:t>
            </w:r>
          </w:p>
        </w:tc>
        <w:tc>
          <w:tcPr>
            <w:tcW w:w="908" w:type="dxa"/>
            <w:tcBorders>
              <w:top w:val="single" w:sz="4" w:space="0" w:color="auto"/>
              <w:left w:val="single" w:sz="4" w:space="0" w:color="auto"/>
              <w:right w:val="single" w:sz="4" w:space="0" w:color="auto"/>
            </w:tcBorders>
            <w:vAlign w:val="bottom"/>
          </w:tcPr>
          <w:p w14:paraId="6D60FE4D"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2</w:t>
            </w:r>
          </w:p>
        </w:tc>
        <w:tc>
          <w:tcPr>
            <w:tcW w:w="1019" w:type="dxa"/>
            <w:tcBorders>
              <w:left w:val="single" w:sz="4" w:space="0" w:color="auto"/>
            </w:tcBorders>
            <w:vAlign w:val="bottom"/>
          </w:tcPr>
          <w:p w14:paraId="3D08CD2E"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2</w:t>
            </w:r>
          </w:p>
        </w:tc>
        <w:tc>
          <w:tcPr>
            <w:tcW w:w="1019" w:type="dxa"/>
            <w:tcBorders>
              <w:left w:val="single" w:sz="4" w:space="0" w:color="auto"/>
            </w:tcBorders>
          </w:tcPr>
          <w:p w14:paraId="15B42545"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2</w:t>
            </w:r>
          </w:p>
        </w:tc>
      </w:tr>
      <w:tr w:rsidR="00464F29" w:rsidRPr="00820341" w14:paraId="0C877A94" w14:textId="77777777" w:rsidTr="00D12A7A">
        <w:trPr>
          <w:jc w:val="center"/>
        </w:trPr>
        <w:tc>
          <w:tcPr>
            <w:tcW w:w="1548" w:type="dxa"/>
          </w:tcPr>
          <w:p w14:paraId="056D5643"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5</w:t>
            </w:r>
          </w:p>
        </w:tc>
        <w:tc>
          <w:tcPr>
            <w:tcW w:w="756" w:type="dxa"/>
            <w:tcBorders>
              <w:right w:val="single" w:sz="4" w:space="0" w:color="auto"/>
            </w:tcBorders>
          </w:tcPr>
          <w:p w14:paraId="4E9307E1"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87.3</w:t>
            </w:r>
          </w:p>
        </w:tc>
        <w:tc>
          <w:tcPr>
            <w:tcW w:w="903" w:type="dxa"/>
            <w:tcBorders>
              <w:right w:val="single" w:sz="4" w:space="0" w:color="auto"/>
            </w:tcBorders>
          </w:tcPr>
          <w:p w14:paraId="79A21DC6"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88.3</w:t>
            </w:r>
          </w:p>
        </w:tc>
        <w:tc>
          <w:tcPr>
            <w:tcW w:w="872" w:type="dxa"/>
            <w:tcBorders>
              <w:right w:val="single" w:sz="4" w:space="0" w:color="auto"/>
            </w:tcBorders>
          </w:tcPr>
          <w:p w14:paraId="5B5D295E"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72.34</w:t>
            </w:r>
          </w:p>
        </w:tc>
        <w:tc>
          <w:tcPr>
            <w:tcW w:w="0" w:type="auto"/>
            <w:tcBorders>
              <w:left w:val="single" w:sz="4" w:space="0" w:color="auto"/>
              <w:right w:val="single" w:sz="4" w:space="0" w:color="auto"/>
            </w:tcBorders>
            <w:vAlign w:val="bottom"/>
          </w:tcPr>
          <w:p w14:paraId="2008DF7B"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12.7</w:t>
            </w:r>
          </w:p>
        </w:tc>
        <w:tc>
          <w:tcPr>
            <w:tcW w:w="0" w:type="auto"/>
            <w:tcBorders>
              <w:left w:val="single" w:sz="4" w:space="0" w:color="auto"/>
            </w:tcBorders>
            <w:vAlign w:val="bottom"/>
          </w:tcPr>
          <w:p w14:paraId="0F722D7B"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11.7</w:t>
            </w:r>
          </w:p>
        </w:tc>
        <w:tc>
          <w:tcPr>
            <w:tcW w:w="0" w:type="auto"/>
            <w:tcBorders>
              <w:left w:val="single" w:sz="4" w:space="0" w:color="auto"/>
            </w:tcBorders>
          </w:tcPr>
          <w:p w14:paraId="2A477936"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27.66</w:t>
            </w:r>
          </w:p>
        </w:tc>
        <w:tc>
          <w:tcPr>
            <w:tcW w:w="908" w:type="dxa"/>
            <w:tcBorders>
              <w:top w:val="single" w:sz="4" w:space="0" w:color="auto"/>
              <w:left w:val="single" w:sz="4" w:space="0" w:color="auto"/>
              <w:right w:val="single" w:sz="4" w:space="0" w:color="auto"/>
            </w:tcBorders>
            <w:vAlign w:val="bottom"/>
          </w:tcPr>
          <w:p w14:paraId="1301E8EF"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1.103</w:t>
            </w:r>
          </w:p>
        </w:tc>
        <w:tc>
          <w:tcPr>
            <w:tcW w:w="1019" w:type="dxa"/>
            <w:tcBorders>
              <w:left w:val="single" w:sz="4" w:space="0" w:color="auto"/>
            </w:tcBorders>
            <w:vAlign w:val="bottom"/>
          </w:tcPr>
          <w:p w14:paraId="4B51C3E8"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1.068</w:t>
            </w:r>
          </w:p>
        </w:tc>
        <w:tc>
          <w:tcPr>
            <w:tcW w:w="1019" w:type="dxa"/>
            <w:tcBorders>
              <w:left w:val="single" w:sz="4" w:space="0" w:color="auto"/>
            </w:tcBorders>
          </w:tcPr>
          <w:p w14:paraId="1AD58622"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1.441</w:t>
            </w:r>
          </w:p>
        </w:tc>
      </w:tr>
      <w:tr w:rsidR="00464F29" w:rsidRPr="00820341" w14:paraId="71FD94BF" w14:textId="77777777" w:rsidTr="00D12A7A">
        <w:trPr>
          <w:jc w:val="center"/>
        </w:trPr>
        <w:tc>
          <w:tcPr>
            <w:tcW w:w="1548" w:type="dxa"/>
          </w:tcPr>
          <w:p w14:paraId="44764A65"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10</w:t>
            </w:r>
          </w:p>
        </w:tc>
        <w:tc>
          <w:tcPr>
            <w:tcW w:w="756" w:type="dxa"/>
            <w:tcBorders>
              <w:right w:val="single" w:sz="4" w:space="0" w:color="auto"/>
            </w:tcBorders>
          </w:tcPr>
          <w:p w14:paraId="0910DB3D"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87.9</w:t>
            </w:r>
          </w:p>
        </w:tc>
        <w:tc>
          <w:tcPr>
            <w:tcW w:w="903" w:type="dxa"/>
            <w:tcBorders>
              <w:right w:val="single" w:sz="4" w:space="0" w:color="auto"/>
            </w:tcBorders>
          </w:tcPr>
          <w:p w14:paraId="66B75EC4"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88.9</w:t>
            </w:r>
          </w:p>
        </w:tc>
        <w:tc>
          <w:tcPr>
            <w:tcW w:w="872" w:type="dxa"/>
            <w:tcBorders>
              <w:right w:val="single" w:sz="4" w:space="0" w:color="auto"/>
            </w:tcBorders>
          </w:tcPr>
          <w:p w14:paraId="23BB7A78"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85.32</w:t>
            </w:r>
          </w:p>
        </w:tc>
        <w:tc>
          <w:tcPr>
            <w:tcW w:w="0" w:type="auto"/>
            <w:tcBorders>
              <w:left w:val="single" w:sz="4" w:space="0" w:color="auto"/>
              <w:right w:val="single" w:sz="4" w:space="0" w:color="auto"/>
            </w:tcBorders>
            <w:vAlign w:val="bottom"/>
          </w:tcPr>
          <w:p w14:paraId="6A560B55"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12.1</w:t>
            </w:r>
          </w:p>
        </w:tc>
        <w:tc>
          <w:tcPr>
            <w:tcW w:w="0" w:type="auto"/>
            <w:tcBorders>
              <w:left w:val="single" w:sz="4" w:space="0" w:color="auto"/>
            </w:tcBorders>
            <w:vAlign w:val="bottom"/>
          </w:tcPr>
          <w:p w14:paraId="01FDAF7F"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11.1</w:t>
            </w:r>
          </w:p>
        </w:tc>
        <w:tc>
          <w:tcPr>
            <w:tcW w:w="0" w:type="auto"/>
            <w:tcBorders>
              <w:left w:val="single" w:sz="4" w:space="0" w:color="auto"/>
            </w:tcBorders>
          </w:tcPr>
          <w:p w14:paraId="7C425906"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14.68</w:t>
            </w:r>
          </w:p>
        </w:tc>
        <w:tc>
          <w:tcPr>
            <w:tcW w:w="908" w:type="dxa"/>
            <w:tcBorders>
              <w:left w:val="single" w:sz="4" w:space="0" w:color="auto"/>
              <w:right w:val="single" w:sz="4" w:space="0" w:color="auto"/>
            </w:tcBorders>
            <w:vAlign w:val="bottom"/>
          </w:tcPr>
          <w:p w14:paraId="185E3CBC"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1.082</w:t>
            </w:r>
          </w:p>
        </w:tc>
        <w:tc>
          <w:tcPr>
            <w:tcW w:w="1019" w:type="dxa"/>
            <w:tcBorders>
              <w:left w:val="single" w:sz="4" w:space="0" w:color="auto"/>
            </w:tcBorders>
            <w:vAlign w:val="bottom"/>
          </w:tcPr>
          <w:p w14:paraId="724CC4F2"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1.045</w:t>
            </w:r>
          </w:p>
        </w:tc>
        <w:tc>
          <w:tcPr>
            <w:tcW w:w="1019" w:type="dxa"/>
            <w:tcBorders>
              <w:left w:val="single" w:sz="4" w:space="0" w:color="auto"/>
            </w:tcBorders>
          </w:tcPr>
          <w:p w14:paraId="062C7127"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1.166</w:t>
            </w:r>
          </w:p>
        </w:tc>
      </w:tr>
      <w:tr w:rsidR="00464F29" w:rsidRPr="00820341" w14:paraId="3D5BE6BA" w14:textId="77777777" w:rsidTr="00D12A7A">
        <w:trPr>
          <w:jc w:val="center"/>
        </w:trPr>
        <w:tc>
          <w:tcPr>
            <w:tcW w:w="1548" w:type="dxa"/>
          </w:tcPr>
          <w:p w14:paraId="28404A57"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20</w:t>
            </w:r>
          </w:p>
        </w:tc>
        <w:tc>
          <w:tcPr>
            <w:tcW w:w="756" w:type="dxa"/>
            <w:tcBorders>
              <w:right w:val="single" w:sz="4" w:space="0" w:color="auto"/>
            </w:tcBorders>
          </w:tcPr>
          <w:p w14:paraId="4570B543"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89.5</w:t>
            </w:r>
          </w:p>
        </w:tc>
        <w:tc>
          <w:tcPr>
            <w:tcW w:w="903" w:type="dxa"/>
            <w:tcBorders>
              <w:right w:val="single" w:sz="4" w:space="0" w:color="auto"/>
            </w:tcBorders>
          </w:tcPr>
          <w:p w14:paraId="0FE69406"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90.5</w:t>
            </w:r>
          </w:p>
        </w:tc>
        <w:tc>
          <w:tcPr>
            <w:tcW w:w="872" w:type="dxa"/>
            <w:tcBorders>
              <w:right w:val="single" w:sz="4" w:space="0" w:color="auto"/>
            </w:tcBorders>
          </w:tcPr>
          <w:p w14:paraId="1BC96500"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86.46</w:t>
            </w:r>
          </w:p>
        </w:tc>
        <w:tc>
          <w:tcPr>
            <w:tcW w:w="0" w:type="auto"/>
            <w:tcBorders>
              <w:left w:val="single" w:sz="4" w:space="0" w:color="auto"/>
              <w:right w:val="single" w:sz="4" w:space="0" w:color="auto"/>
            </w:tcBorders>
            <w:vAlign w:val="bottom"/>
          </w:tcPr>
          <w:p w14:paraId="18347B08"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10.5</w:t>
            </w:r>
          </w:p>
        </w:tc>
        <w:tc>
          <w:tcPr>
            <w:tcW w:w="0" w:type="auto"/>
            <w:tcBorders>
              <w:left w:val="single" w:sz="4" w:space="0" w:color="auto"/>
            </w:tcBorders>
            <w:vAlign w:val="bottom"/>
          </w:tcPr>
          <w:p w14:paraId="3060A711"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9.5</w:t>
            </w:r>
          </w:p>
        </w:tc>
        <w:tc>
          <w:tcPr>
            <w:tcW w:w="0" w:type="auto"/>
            <w:tcBorders>
              <w:left w:val="single" w:sz="4" w:space="0" w:color="auto"/>
            </w:tcBorders>
          </w:tcPr>
          <w:p w14:paraId="06F603C2"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13.54</w:t>
            </w:r>
          </w:p>
        </w:tc>
        <w:tc>
          <w:tcPr>
            <w:tcW w:w="908" w:type="dxa"/>
            <w:tcBorders>
              <w:left w:val="single" w:sz="4" w:space="0" w:color="auto"/>
              <w:right w:val="single" w:sz="4" w:space="0" w:color="auto"/>
            </w:tcBorders>
            <w:vAlign w:val="bottom"/>
          </w:tcPr>
          <w:p w14:paraId="26FACF04"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1.021</w:t>
            </w:r>
          </w:p>
        </w:tc>
        <w:tc>
          <w:tcPr>
            <w:tcW w:w="1019" w:type="dxa"/>
            <w:tcBorders>
              <w:left w:val="single" w:sz="4" w:space="0" w:color="auto"/>
            </w:tcBorders>
            <w:vAlign w:val="bottom"/>
          </w:tcPr>
          <w:p w14:paraId="7EE4A65D"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0.977</w:t>
            </w:r>
          </w:p>
        </w:tc>
        <w:tc>
          <w:tcPr>
            <w:tcW w:w="1019" w:type="dxa"/>
            <w:tcBorders>
              <w:left w:val="single" w:sz="4" w:space="0" w:color="auto"/>
            </w:tcBorders>
          </w:tcPr>
          <w:p w14:paraId="24CF3CCA"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1.131</w:t>
            </w:r>
          </w:p>
        </w:tc>
      </w:tr>
      <w:tr w:rsidR="00464F29" w:rsidRPr="00820341" w14:paraId="641BB4D5" w14:textId="77777777" w:rsidTr="00D12A7A">
        <w:trPr>
          <w:jc w:val="center"/>
        </w:trPr>
        <w:tc>
          <w:tcPr>
            <w:tcW w:w="1548" w:type="dxa"/>
          </w:tcPr>
          <w:p w14:paraId="09AF4324"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30</w:t>
            </w:r>
          </w:p>
        </w:tc>
        <w:tc>
          <w:tcPr>
            <w:tcW w:w="756" w:type="dxa"/>
            <w:tcBorders>
              <w:right w:val="single" w:sz="4" w:space="0" w:color="auto"/>
            </w:tcBorders>
          </w:tcPr>
          <w:p w14:paraId="23AF8031"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90</w:t>
            </w:r>
          </w:p>
        </w:tc>
        <w:tc>
          <w:tcPr>
            <w:tcW w:w="903" w:type="dxa"/>
            <w:tcBorders>
              <w:right w:val="single" w:sz="4" w:space="0" w:color="auto"/>
            </w:tcBorders>
          </w:tcPr>
          <w:p w14:paraId="1ED58F8D"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91.21</w:t>
            </w:r>
          </w:p>
        </w:tc>
        <w:tc>
          <w:tcPr>
            <w:tcW w:w="872" w:type="dxa"/>
            <w:tcBorders>
              <w:right w:val="single" w:sz="4" w:space="0" w:color="auto"/>
            </w:tcBorders>
          </w:tcPr>
          <w:p w14:paraId="01F0CD19"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88.21</w:t>
            </w:r>
          </w:p>
        </w:tc>
        <w:tc>
          <w:tcPr>
            <w:tcW w:w="0" w:type="auto"/>
            <w:tcBorders>
              <w:left w:val="single" w:sz="4" w:space="0" w:color="auto"/>
              <w:right w:val="single" w:sz="4" w:space="0" w:color="auto"/>
            </w:tcBorders>
            <w:vAlign w:val="bottom"/>
          </w:tcPr>
          <w:p w14:paraId="0DF8E664"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10</w:t>
            </w:r>
          </w:p>
        </w:tc>
        <w:tc>
          <w:tcPr>
            <w:tcW w:w="0" w:type="auto"/>
            <w:tcBorders>
              <w:left w:val="single" w:sz="4" w:space="0" w:color="auto"/>
            </w:tcBorders>
            <w:vAlign w:val="bottom"/>
          </w:tcPr>
          <w:p w14:paraId="20AB478D"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8.79</w:t>
            </w:r>
          </w:p>
        </w:tc>
        <w:tc>
          <w:tcPr>
            <w:tcW w:w="0" w:type="auto"/>
            <w:tcBorders>
              <w:left w:val="single" w:sz="4" w:space="0" w:color="auto"/>
            </w:tcBorders>
          </w:tcPr>
          <w:p w14:paraId="65E49FB2"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11.79</w:t>
            </w:r>
          </w:p>
        </w:tc>
        <w:tc>
          <w:tcPr>
            <w:tcW w:w="908" w:type="dxa"/>
            <w:tcBorders>
              <w:left w:val="single" w:sz="4" w:space="0" w:color="auto"/>
              <w:right w:val="single" w:sz="4" w:space="0" w:color="auto"/>
            </w:tcBorders>
            <w:vAlign w:val="bottom"/>
          </w:tcPr>
          <w:p w14:paraId="0ECF67B4"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w:t>
            </w:r>
          </w:p>
        </w:tc>
        <w:tc>
          <w:tcPr>
            <w:tcW w:w="1019" w:type="dxa"/>
            <w:tcBorders>
              <w:left w:val="single" w:sz="4" w:space="0" w:color="auto"/>
            </w:tcBorders>
            <w:vAlign w:val="bottom"/>
          </w:tcPr>
          <w:p w14:paraId="45CA176B"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0.943</w:t>
            </w:r>
          </w:p>
        </w:tc>
        <w:tc>
          <w:tcPr>
            <w:tcW w:w="1019" w:type="dxa"/>
            <w:tcBorders>
              <w:left w:val="single" w:sz="4" w:space="0" w:color="auto"/>
            </w:tcBorders>
          </w:tcPr>
          <w:p w14:paraId="74F13218"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1.071</w:t>
            </w:r>
          </w:p>
        </w:tc>
      </w:tr>
      <w:tr w:rsidR="00464F29" w:rsidRPr="00820341" w14:paraId="1A6B11BF" w14:textId="77777777" w:rsidTr="00D12A7A">
        <w:trPr>
          <w:jc w:val="center"/>
        </w:trPr>
        <w:tc>
          <w:tcPr>
            <w:tcW w:w="1548" w:type="dxa"/>
          </w:tcPr>
          <w:p w14:paraId="15F541CC"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40</w:t>
            </w:r>
          </w:p>
        </w:tc>
        <w:tc>
          <w:tcPr>
            <w:tcW w:w="756" w:type="dxa"/>
            <w:tcBorders>
              <w:right w:val="single" w:sz="4" w:space="0" w:color="auto"/>
            </w:tcBorders>
          </w:tcPr>
          <w:p w14:paraId="7CE9F098"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91.21</w:t>
            </w:r>
          </w:p>
        </w:tc>
        <w:tc>
          <w:tcPr>
            <w:tcW w:w="903" w:type="dxa"/>
            <w:tcBorders>
              <w:right w:val="single" w:sz="4" w:space="0" w:color="auto"/>
            </w:tcBorders>
          </w:tcPr>
          <w:p w14:paraId="35BFEDFB"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92.21</w:t>
            </w:r>
          </w:p>
        </w:tc>
        <w:tc>
          <w:tcPr>
            <w:tcW w:w="872" w:type="dxa"/>
            <w:tcBorders>
              <w:right w:val="single" w:sz="4" w:space="0" w:color="auto"/>
            </w:tcBorders>
          </w:tcPr>
          <w:p w14:paraId="1F198C47"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89.62</w:t>
            </w:r>
          </w:p>
        </w:tc>
        <w:tc>
          <w:tcPr>
            <w:tcW w:w="0" w:type="auto"/>
            <w:tcBorders>
              <w:left w:val="single" w:sz="4" w:space="0" w:color="auto"/>
              <w:right w:val="single" w:sz="4" w:space="0" w:color="auto"/>
            </w:tcBorders>
            <w:vAlign w:val="bottom"/>
          </w:tcPr>
          <w:p w14:paraId="32274E52"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8.79</w:t>
            </w:r>
          </w:p>
        </w:tc>
        <w:tc>
          <w:tcPr>
            <w:tcW w:w="0" w:type="auto"/>
            <w:tcBorders>
              <w:left w:val="single" w:sz="4" w:space="0" w:color="auto"/>
            </w:tcBorders>
            <w:vAlign w:val="bottom"/>
          </w:tcPr>
          <w:p w14:paraId="28F4610E"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7.79</w:t>
            </w:r>
          </w:p>
        </w:tc>
        <w:tc>
          <w:tcPr>
            <w:tcW w:w="0" w:type="auto"/>
            <w:tcBorders>
              <w:left w:val="single" w:sz="4" w:space="0" w:color="auto"/>
            </w:tcBorders>
          </w:tcPr>
          <w:p w14:paraId="423C1194"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10.38</w:t>
            </w:r>
          </w:p>
        </w:tc>
        <w:tc>
          <w:tcPr>
            <w:tcW w:w="908" w:type="dxa"/>
            <w:tcBorders>
              <w:left w:val="single" w:sz="4" w:space="0" w:color="auto"/>
              <w:right w:val="single" w:sz="4" w:space="0" w:color="auto"/>
            </w:tcBorders>
            <w:vAlign w:val="bottom"/>
          </w:tcPr>
          <w:p w14:paraId="157B3D26"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0.943</w:t>
            </w:r>
          </w:p>
        </w:tc>
        <w:tc>
          <w:tcPr>
            <w:tcW w:w="1019" w:type="dxa"/>
            <w:tcBorders>
              <w:left w:val="single" w:sz="4" w:space="0" w:color="auto"/>
            </w:tcBorders>
            <w:vAlign w:val="bottom"/>
          </w:tcPr>
          <w:p w14:paraId="33E5A13D"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0.891</w:t>
            </w:r>
          </w:p>
        </w:tc>
        <w:tc>
          <w:tcPr>
            <w:tcW w:w="1019" w:type="dxa"/>
            <w:tcBorders>
              <w:left w:val="single" w:sz="4" w:space="0" w:color="auto"/>
            </w:tcBorders>
          </w:tcPr>
          <w:p w14:paraId="0B67711D"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1.016</w:t>
            </w:r>
          </w:p>
        </w:tc>
      </w:tr>
      <w:tr w:rsidR="00464F29" w:rsidRPr="00820341" w14:paraId="78626A02" w14:textId="77777777" w:rsidTr="00D12A7A">
        <w:trPr>
          <w:jc w:val="center"/>
        </w:trPr>
        <w:tc>
          <w:tcPr>
            <w:tcW w:w="1548" w:type="dxa"/>
          </w:tcPr>
          <w:p w14:paraId="1894864F"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50</w:t>
            </w:r>
          </w:p>
        </w:tc>
        <w:tc>
          <w:tcPr>
            <w:tcW w:w="756" w:type="dxa"/>
            <w:tcBorders>
              <w:right w:val="single" w:sz="4" w:space="0" w:color="auto"/>
            </w:tcBorders>
          </w:tcPr>
          <w:p w14:paraId="14F147D7"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92.62</w:t>
            </w:r>
          </w:p>
        </w:tc>
        <w:tc>
          <w:tcPr>
            <w:tcW w:w="903" w:type="dxa"/>
            <w:tcBorders>
              <w:right w:val="single" w:sz="4" w:space="0" w:color="auto"/>
            </w:tcBorders>
          </w:tcPr>
          <w:p w14:paraId="075DACFF"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93.62</w:t>
            </w:r>
          </w:p>
        </w:tc>
        <w:tc>
          <w:tcPr>
            <w:tcW w:w="872" w:type="dxa"/>
            <w:tcBorders>
              <w:right w:val="single" w:sz="4" w:space="0" w:color="auto"/>
            </w:tcBorders>
          </w:tcPr>
          <w:p w14:paraId="2FC2545B"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91.41</w:t>
            </w:r>
          </w:p>
        </w:tc>
        <w:tc>
          <w:tcPr>
            <w:tcW w:w="0" w:type="auto"/>
            <w:tcBorders>
              <w:left w:val="single" w:sz="4" w:space="0" w:color="auto"/>
              <w:right w:val="single" w:sz="4" w:space="0" w:color="auto"/>
            </w:tcBorders>
            <w:vAlign w:val="bottom"/>
          </w:tcPr>
          <w:p w14:paraId="4D2AF6DB"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7.38</w:t>
            </w:r>
          </w:p>
        </w:tc>
        <w:tc>
          <w:tcPr>
            <w:tcW w:w="0" w:type="auto"/>
            <w:tcBorders>
              <w:left w:val="single" w:sz="4" w:space="0" w:color="auto"/>
            </w:tcBorders>
            <w:vAlign w:val="bottom"/>
          </w:tcPr>
          <w:p w14:paraId="044D1A8F"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6.38</w:t>
            </w:r>
          </w:p>
        </w:tc>
        <w:tc>
          <w:tcPr>
            <w:tcW w:w="0" w:type="auto"/>
            <w:tcBorders>
              <w:left w:val="single" w:sz="4" w:space="0" w:color="auto"/>
            </w:tcBorders>
          </w:tcPr>
          <w:p w14:paraId="1D00A21D"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8.59</w:t>
            </w:r>
          </w:p>
        </w:tc>
        <w:tc>
          <w:tcPr>
            <w:tcW w:w="908" w:type="dxa"/>
            <w:tcBorders>
              <w:left w:val="single" w:sz="4" w:space="0" w:color="auto"/>
              <w:right w:val="single" w:sz="4" w:space="0" w:color="auto"/>
            </w:tcBorders>
            <w:vAlign w:val="bottom"/>
          </w:tcPr>
          <w:p w14:paraId="3C57F4EC"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0.868</w:t>
            </w:r>
          </w:p>
        </w:tc>
        <w:tc>
          <w:tcPr>
            <w:tcW w:w="1019" w:type="dxa"/>
            <w:tcBorders>
              <w:left w:val="single" w:sz="4" w:space="0" w:color="auto"/>
            </w:tcBorders>
            <w:vAlign w:val="bottom"/>
          </w:tcPr>
          <w:p w14:paraId="155BD907"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0.804</w:t>
            </w:r>
          </w:p>
        </w:tc>
        <w:tc>
          <w:tcPr>
            <w:tcW w:w="1019" w:type="dxa"/>
            <w:tcBorders>
              <w:left w:val="single" w:sz="4" w:space="0" w:color="auto"/>
            </w:tcBorders>
          </w:tcPr>
          <w:p w14:paraId="7FA1AC78"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0.933</w:t>
            </w:r>
          </w:p>
        </w:tc>
      </w:tr>
      <w:tr w:rsidR="00464F29" w:rsidRPr="00820341" w14:paraId="3B4AA132" w14:textId="77777777" w:rsidTr="00D12A7A">
        <w:trPr>
          <w:jc w:val="center"/>
        </w:trPr>
        <w:tc>
          <w:tcPr>
            <w:tcW w:w="1548" w:type="dxa"/>
          </w:tcPr>
          <w:p w14:paraId="7289B6A6"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60</w:t>
            </w:r>
          </w:p>
        </w:tc>
        <w:tc>
          <w:tcPr>
            <w:tcW w:w="756" w:type="dxa"/>
            <w:tcBorders>
              <w:right w:val="single" w:sz="4" w:space="0" w:color="auto"/>
            </w:tcBorders>
          </w:tcPr>
          <w:p w14:paraId="2830FC1C"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94.42</w:t>
            </w:r>
          </w:p>
        </w:tc>
        <w:tc>
          <w:tcPr>
            <w:tcW w:w="903" w:type="dxa"/>
            <w:tcBorders>
              <w:right w:val="single" w:sz="4" w:space="0" w:color="auto"/>
            </w:tcBorders>
          </w:tcPr>
          <w:p w14:paraId="7A44971C" w14:textId="77777777" w:rsidR="00464F29" w:rsidRPr="00820341" w:rsidRDefault="00464F29" w:rsidP="00D12A7A">
            <w:pPr>
              <w:spacing w:line="240" w:lineRule="auto"/>
              <w:jc w:val="center"/>
              <w:rPr>
                <w:rFonts w:ascii="Times New Roman" w:hAnsi="Times New Roman"/>
                <w:sz w:val="24"/>
                <w:szCs w:val="24"/>
              </w:rPr>
            </w:pPr>
            <w:r w:rsidRPr="00820341">
              <w:rPr>
                <w:rFonts w:ascii="Times New Roman" w:hAnsi="Times New Roman"/>
                <w:sz w:val="24"/>
                <w:szCs w:val="24"/>
              </w:rPr>
              <w:t>95.42</w:t>
            </w:r>
          </w:p>
        </w:tc>
        <w:tc>
          <w:tcPr>
            <w:tcW w:w="872" w:type="dxa"/>
            <w:tcBorders>
              <w:right w:val="single" w:sz="4" w:space="0" w:color="auto"/>
            </w:tcBorders>
          </w:tcPr>
          <w:p w14:paraId="3465FE51"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93.21</w:t>
            </w:r>
          </w:p>
        </w:tc>
        <w:tc>
          <w:tcPr>
            <w:tcW w:w="0" w:type="auto"/>
            <w:tcBorders>
              <w:left w:val="single" w:sz="4" w:space="0" w:color="auto"/>
              <w:right w:val="single" w:sz="4" w:space="0" w:color="auto"/>
            </w:tcBorders>
            <w:vAlign w:val="bottom"/>
          </w:tcPr>
          <w:p w14:paraId="47DA27B1"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5.58</w:t>
            </w:r>
          </w:p>
        </w:tc>
        <w:tc>
          <w:tcPr>
            <w:tcW w:w="0" w:type="auto"/>
            <w:tcBorders>
              <w:left w:val="single" w:sz="4" w:space="0" w:color="auto"/>
            </w:tcBorders>
            <w:vAlign w:val="bottom"/>
          </w:tcPr>
          <w:p w14:paraId="173188F8"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4058</w:t>
            </w:r>
          </w:p>
        </w:tc>
        <w:tc>
          <w:tcPr>
            <w:tcW w:w="0" w:type="auto"/>
            <w:tcBorders>
              <w:left w:val="single" w:sz="4" w:space="0" w:color="auto"/>
            </w:tcBorders>
          </w:tcPr>
          <w:p w14:paraId="62605980"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6.79</w:t>
            </w:r>
          </w:p>
        </w:tc>
        <w:tc>
          <w:tcPr>
            <w:tcW w:w="908" w:type="dxa"/>
            <w:tcBorders>
              <w:left w:val="single" w:sz="4" w:space="0" w:color="auto"/>
              <w:right w:val="single" w:sz="4" w:space="0" w:color="auto"/>
            </w:tcBorders>
            <w:vAlign w:val="bottom"/>
          </w:tcPr>
          <w:p w14:paraId="25566150"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0.746</w:t>
            </w:r>
          </w:p>
        </w:tc>
        <w:tc>
          <w:tcPr>
            <w:tcW w:w="1019" w:type="dxa"/>
            <w:tcBorders>
              <w:left w:val="single" w:sz="4" w:space="0" w:color="auto"/>
            </w:tcBorders>
            <w:vAlign w:val="bottom"/>
          </w:tcPr>
          <w:p w14:paraId="7DDFFD6B"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0.660</w:t>
            </w:r>
          </w:p>
        </w:tc>
        <w:tc>
          <w:tcPr>
            <w:tcW w:w="1019" w:type="dxa"/>
            <w:tcBorders>
              <w:left w:val="single" w:sz="4" w:space="0" w:color="auto"/>
            </w:tcBorders>
          </w:tcPr>
          <w:p w14:paraId="1509FD64" w14:textId="77777777" w:rsidR="00464F29" w:rsidRPr="00820341" w:rsidRDefault="00464F29" w:rsidP="00D12A7A">
            <w:pPr>
              <w:spacing w:line="240" w:lineRule="auto"/>
              <w:jc w:val="center"/>
              <w:rPr>
                <w:rFonts w:ascii="Times New Roman" w:hAnsi="Times New Roman"/>
                <w:color w:val="000000"/>
                <w:sz w:val="24"/>
                <w:szCs w:val="24"/>
              </w:rPr>
            </w:pPr>
            <w:r w:rsidRPr="00820341">
              <w:rPr>
                <w:rFonts w:ascii="Times New Roman" w:hAnsi="Times New Roman"/>
                <w:color w:val="000000"/>
                <w:sz w:val="24"/>
                <w:szCs w:val="24"/>
              </w:rPr>
              <w:t>0.831</w:t>
            </w:r>
          </w:p>
        </w:tc>
      </w:tr>
    </w:tbl>
    <w:p w14:paraId="3916DA06" w14:textId="77777777" w:rsidR="00464F29" w:rsidRPr="00820341" w:rsidRDefault="00464F29" w:rsidP="00464F29">
      <w:pPr>
        <w:spacing w:line="360" w:lineRule="auto"/>
        <w:jc w:val="both"/>
        <w:rPr>
          <w:rFonts w:ascii="Times New Roman" w:hAnsi="Times New Roman"/>
          <w:sz w:val="24"/>
          <w:szCs w:val="24"/>
        </w:rPr>
      </w:pPr>
    </w:p>
    <w:p w14:paraId="3CB6F05F" w14:textId="77777777" w:rsidR="00464F29" w:rsidRPr="00820341" w:rsidRDefault="00464F29" w:rsidP="00464F29">
      <w:pPr>
        <w:spacing w:line="360" w:lineRule="auto"/>
        <w:jc w:val="both"/>
        <w:rPr>
          <w:rFonts w:ascii="Times New Roman" w:hAnsi="Times New Roman"/>
          <w:b/>
          <w:sz w:val="24"/>
          <w:szCs w:val="24"/>
        </w:rPr>
      </w:pPr>
    </w:p>
    <w:p w14:paraId="51303E55" w14:textId="77777777" w:rsidR="00464F29" w:rsidRPr="00820341" w:rsidRDefault="00464F29" w:rsidP="00464F29">
      <w:pPr>
        <w:spacing w:line="360" w:lineRule="auto"/>
        <w:jc w:val="center"/>
        <w:rPr>
          <w:rFonts w:ascii="Times New Roman" w:hAnsi="Times New Roman"/>
          <w:b/>
          <w:sz w:val="24"/>
          <w:szCs w:val="24"/>
        </w:rPr>
      </w:pPr>
      <w:r w:rsidRPr="00820341">
        <w:rPr>
          <w:rFonts w:ascii="Times New Roman" w:hAnsi="Times New Roman"/>
          <w:b/>
          <w:noProof/>
          <w:sz w:val="24"/>
          <w:szCs w:val="24"/>
          <w:lang w:val="en-IN" w:eastAsia="en-IN"/>
        </w:rPr>
        <w:lastRenderedPageBreak/>
        <w:drawing>
          <wp:inline distT="0" distB="0" distL="0" distR="0" wp14:anchorId="2FA34DAD" wp14:editId="26E7B580">
            <wp:extent cx="4572000" cy="2743200"/>
            <wp:effectExtent l="19050" t="0" r="19050" b="0"/>
            <wp:docPr id="3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D42A35" w14:textId="77777777" w:rsidR="00464F29" w:rsidRPr="00820341" w:rsidRDefault="00464F29" w:rsidP="00464F29">
      <w:pPr>
        <w:spacing w:line="360" w:lineRule="auto"/>
        <w:jc w:val="center"/>
        <w:rPr>
          <w:rFonts w:ascii="Times New Roman" w:hAnsi="Times New Roman"/>
          <w:b/>
          <w:sz w:val="24"/>
          <w:szCs w:val="24"/>
        </w:rPr>
      </w:pPr>
      <w:r w:rsidRPr="00820341">
        <w:rPr>
          <w:rFonts w:ascii="Times New Roman" w:hAnsi="Times New Roman"/>
          <w:b/>
          <w:noProof/>
          <w:sz w:val="24"/>
          <w:szCs w:val="24"/>
          <w:lang w:val="en-IN" w:eastAsia="en-IN"/>
        </w:rPr>
        <w:drawing>
          <wp:inline distT="0" distB="0" distL="0" distR="0" wp14:anchorId="222AA633" wp14:editId="5936BCEE">
            <wp:extent cx="4572000" cy="2762250"/>
            <wp:effectExtent l="19050" t="0" r="19050" b="0"/>
            <wp:docPr id="3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63F93C" w14:textId="77777777" w:rsidR="00464F29" w:rsidRPr="00820341" w:rsidRDefault="00464F29" w:rsidP="00464F29">
      <w:pPr>
        <w:spacing w:line="360" w:lineRule="auto"/>
        <w:jc w:val="center"/>
        <w:rPr>
          <w:rFonts w:ascii="Times New Roman" w:hAnsi="Times New Roman"/>
          <w:sz w:val="24"/>
          <w:szCs w:val="24"/>
        </w:rPr>
      </w:pPr>
      <w:r w:rsidRPr="00820341">
        <w:rPr>
          <w:rFonts w:ascii="Times New Roman" w:hAnsi="Times New Roman"/>
          <w:noProof/>
          <w:sz w:val="24"/>
          <w:szCs w:val="24"/>
          <w:lang w:val="en-IN" w:eastAsia="en-IN"/>
        </w:rPr>
        <w:drawing>
          <wp:inline distT="0" distB="0" distL="0" distR="0" wp14:anchorId="23FADE77" wp14:editId="6A353333">
            <wp:extent cx="4572000" cy="2828925"/>
            <wp:effectExtent l="19050" t="0" r="19050" b="0"/>
            <wp:docPr id="4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65D65A9" w14:textId="77777777" w:rsidR="00464F29" w:rsidRPr="00820341" w:rsidRDefault="00464F29" w:rsidP="00464F29">
      <w:pPr>
        <w:spacing w:line="360" w:lineRule="auto"/>
        <w:jc w:val="center"/>
        <w:rPr>
          <w:rFonts w:ascii="Times New Roman" w:hAnsi="Times New Roman"/>
          <w:sz w:val="24"/>
          <w:szCs w:val="24"/>
        </w:rPr>
      </w:pPr>
    </w:p>
    <w:p w14:paraId="7811EFB0" w14:textId="77777777" w:rsidR="00464F29" w:rsidRPr="00820341" w:rsidRDefault="00464F29" w:rsidP="00464F29">
      <w:pPr>
        <w:spacing w:line="360" w:lineRule="auto"/>
        <w:jc w:val="center"/>
        <w:rPr>
          <w:rFonts w:ascii="Times New Roman" w:hAnsi="Times New Roman"/>
          <w:b/>
          <w:sz w:val="24"/>
          <w:szCs w:val="24"/>
        </w:rPr>
      </w:pPr>
      <w:r w:rsidRPr="00820341">
        <w:rPr>
          <w:rFonts w:ascii="Times New Roman" w:hAnsi="Times New Roman"/>
          <w:b/>
          <w:noProof/>
          <w:sz w:val="24"/>
          <w:szCs w:val="24"/>
          <w:lang w:val="en-IN" w:eastAsia="en-IN"/>
        </w:rPr>
        <w:drawing>
          <wp:inline distT="0" distB="0" distL="0" distR="0" wp14:anchorId="15FA1FAB" wp14:editId="379DAB6E">
            <wp:extent cx="4572000" cy="2743200"/>
            <wp:effectExtent l="19050" t="0" r="19050" b="0"/>
            <wp:docPr id="4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20341">
        <w:rPr>
          <w:rFonts w:ascii="Times New Roman" w:hAnsi="Times New Roman"/>
          <w:b/>
          <w:sz w:val="24"/>
          <w:szCs w:val="24"/>
        </w:rPr>
        <w:br w:type="textWrapping" w:clear="all"/>
      </w:r>
    </w:p>
    <w:p w14:paraId="63253755" w14:textId="77777777" w:rsidR="00464F29" w:rsidRPr="00820341" w:rsidRDefault="00464F29" w:rsidP="00464F29">
      <w:pPr>
        <w:spacing w:line="360" w:lineRule="auto"/>
        <w:jc w:val="center"/>
        <w:rPr>
          <w:rFonts w:ascii="Times New Roman" w:hAnsi="Times New Roman"/>
          <w:sz w:val="24"/>
          <w:szCs w:val="24"/>
        </w:rPr>
      </w:pPr>
    </w:p>
    <w:p w14:paraId="25C8B696" w14:textId="77777777" w:rsidR="00464F29" w:rsidRPr="00820341" w:rsidRDefault="00464F29" w:rsidP="00464F29">
      <w:pPr>
        <w:spacing w:line="360" w:lineRule="auto"/>
        <w:jc w:val="center"/>
        <w:rPr>
          <w:rFonts w:ascii="Times New Roman" w:hAnsi="Times New Roman"/>
          <w:sz w:val="24"/>
          <w:szCs w:val="24"/>
        </w:rPr>
      </w:pPr>
      <w:r w:rsidRPr="00820341">
        <w:rPr>
          <w:rFonts w:ascii="Times New Roman" w:hAnsi="Times New Roman"/>
          <w:noProof/>
          <w:sz w:val="24"/>
          <w:szCs w:val="24"/>
          <w:lang w:val="en-IN" w:eastAsia="en-IN"/>
        </w:rPr>
        <w:drawing>
          <wp:inline distT="0" distB="0" distL="0" distR="0" wp14:anchorId="36C6594D" wp14:editId="725CBD9B">
            <wp:extent cx="4572000" cy="2733674"/>
            <wp:effectExtent l="19050" t="0" r="19050" b="0"/>
            <wp:docPr id="5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1151E4" w14:textId="77777777" w:rsidR="00464F29" w:rsidRPr="00820341" w:rsidRDefault="00464F29" w:rsidP="00464F29">
      <w:pPr>
        <w:spacing w:line="360" w:lineRule="auto"/>
        <w:jc w:val="center"/>
        <w:rPr>
          <w:rFonts w:ascii="Times New Roman" w:hAnsi="Times New Roman"/>
          <w:b/>
          <w:sz w:val="24"/>
          <w:szCs w:val="24"/>
        </w:rPr>
      </w:pPr>
      <w:r w:rsidRPr="00820341">
        <w:rPr>
          <w:rFonts w:ascii="Times New Roman" w:hAnsi="Times New Roman"/>
          <w:b/>
          <w:noProof/>
          <w:sz w:val="24"/>
          <w:szCs w:val="24"/>
          <w:lang w:val="en-IN" w:eastAsia="en-IN"/>
        </w:rPr>
        <w:lastRenderedPageBreak/>
        <w:drawing>
          <wp:inline distT="0" distB="0" distL="0" distR="0" wp14:anchorId="6AE2CCF5" wp14:editId="19DDB157">
            <wp:extent cx="4572000" cy="2743200"/>
            <wp:effectExtent l="19050" t="0" r="19050" b="0"/>
            <wp:docPr id="5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37F508C" w14:textId="77777777" w:rsidR="00464F29" w:rsidRPr="00820341" w:rsidRDefault="00464F29" w:rsidP="00464F29">
      <w:pPr>
        <w:spacing w:line="360" w:lineRule="auto"/>
        <w:jc w:val="center"/>
        <w:rPr>
          <w:rFonts w:ascii="Times New Roman" w:hAnsi="Times New Roman"/>
          <w:b/>
          <w:sz w:val="24"/>
          <w:szCs w:val="24"/>
        </w:rPr>
      </w:pPr>
      <w:r w:rsidRPr="00820341">
        <w:rPr>
          <w:rFonts w:ascii="Times New Roman" w:hAnsi="Times New Roman"/>
          <w:b/>
          <w:noProof/>
          <w:sz w:val="24"/>
          <w:szCs w:val="24"/>
          <w:lang w:val="en-IN" w:eastAsia="en-IN"/>
        </w:rPr>
        <w:drawing>
          <wp:inline distT="0" distB="0" distL="0" distR="0" wp14:anchorId="68E92474" wp14:editId="53286BC7">
            <wp:extent cx="4572000" cy="2743200"/>
            <wp:effectExtent l="19050" t="0" r="19050" b="0"/>
            <wp:docPr id="5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41F7F4" w14:textId="77777777" w:rsidR="00464F29" w:rsidRPr="00820341" w:rsidRDefault="00464F29" w:rsidP="00464F29">
      <w:pPr>
        <w:spacing w:line="360" w:lineRule="auto"/>
        <w:jc w:val="both"/>
        <w:rPr>
          <w:rFonts w:ascii="Times New Roman" w:hAnsi="Times New Roman"/>
          <w:b/>
          <w:sz w:val="24"/>
          <w:szCs w:val="24"/>
        </w:rPr>
      </w:pPr>
      <w:r w:rsidRPr="00820341">
        <w:rPr>
          <w:rFonts w:ascii="Times New Roman" w:hAnsi="Times New Roman"/>
          <w:b/>
          <w:sz w:val="24"/>
          <w:szCs w:val="24"/>
        </w:rPr>
        <w:t>REPORT</w:t>
      </w:r>
    </w:p>
    <w:p w14:paraId="38991CCB" w14:textId="77777777" w:rsidR="002C1278" w:rsidRDefault="002C1278">
      <w:bookmarkStart w:id="0" w:name="_GoBack"/>
      <w:bookmarkEnd w:id="0"/>
    </w:p>
    <w:sectPr w:rsidR="002C1278" w:rsidSect="00705FA8">
      <w:footerReference w:type="default" r:id="rId15"/>
      <w:pgSz w:w="11906" w:h="16838"/>
      <w:pgMar w:top="1440" w:right="1440" w:bottom="1440" w:left="1440" w:header="708" w:footer="708" w:gutter="0"/>
      <w:pgNumType w:start="1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A5FAC" w14:textId="77777777" w:rsidR="00D30BCA" w:rsidRDefault="00D30BCA" w:rsidP="00705FA8">
      <w:pPr>
        <w:spacing w:after="0" w:line="240" w:lineRule="auto"/>
      </w:pPr>
      <w:r>
        <w:separator/>
      </w:r>
    </w:p>
  </w:endnote>
  <w:endnote w:type="continuationSeparator" w:id="0">
    <w:p w14:paraId="0C3280A5" w14:textId="77777777" w:rsidR="00D30BCA" w:rsidRDefault="00D30BCA" w:rsidP="00705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FF3A2" w14:textId="5856629A" w:rsidR="00705FA8" w:rsidRDefault="00705FA8">
    <w:pPr>
      <w:pStyle w:val="Footer"/>
      <w:jc w:val="right"/>
    </w:pPr>
  </w:p>
  <w:p w14:paraId="3A0BB0FC" w14:textId="77777777" w:rsidR="00705FA8" w:rsidRDefault="00705F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580B7" w14:textId="77777777" w:rsidR="00D30BCA" w:rsidRDefault="00D30BCA" w:rsidP="00705FA8">
      <w:pPr>
        <w:spacing w:after="0" w:line="240" w:lineRule="auto"/>
      </w:pPr>
      <w:r>
        <w:separator/>
      </w:r>
    </w:p>
  </w:footnote>
  <w:footnote w:type="continuationSeparator" w:id="0">
    <w:p w14:paraId="456BAE61" w14:textId="77777777" w:rsidR="00D30BCA" w:rsidRDefault="00D30BCA" w:rsidP="00705F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A636C"/>
    <w:multiLevelType w:val="hybridMultilevel"/>
    <w:tmpl w:val="CB646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1D30CA"/>
    <w:multiLevelType w:val="hybridMultilevel"/>
    <w:tmpl w:val="AFE45EC2"/>
    <w:lvl w:ilvl="0" w:tplc="9370AE3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45568EA"/>
    <w:multiLevelType w:val="hybridMultilevel"/>
    <w:tmpl w:val="3ADEC1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435"/>
    <w:rsid w:val="002B2764"/>
    <w:rsid w:val="002C1278"/>
    <w:rsid w:val="003F1A28"/>
    <w:rsid w:val="00464F29"/>
    <w:rsid w:val="00705FA8"/>
    <w:rsid w:val="009546D5"/>
    <w:rsid w:val="00CD0907"/>
    <w:rsid w:val="00D30BCA"/>
    <w:rsid w:val="00F14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FCD3B-F5CF-40E6-B4C1-E64643CE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F29"/>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FA8"/>
    <w:rPr>
      <w:rFonts w:eastAsiaTheme="minorEastAsia"/>
      <w:lang w:val="en-US"/>
    </w:rPr>
  </w:style>
  <w:style w:type="paragraph" w:styleId="Footer">
    <w:name w:val="footer"/>
    <w:basedOn w:val="Normal"/>
    <w:link w:val="FooterChar"/>
    <w:uiPriority w:val="99"/>
    <w:unhideWhenUsed/>
    <w:rsid w:val="00705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FA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Bharath\Desktop\graphs\diclofenac7.4.xl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BHARATH\Desktop\BP%207.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BHARATH\Desktop\BP%207.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BHARATH\Desktop\BP%207.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BHARATH\Desktop\BP%207.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BHARATH\Desktop\BP%207.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BHARATH\Desktop\BP%207.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BHARATH\Desktop\BP%207.xlsx" TargetMode="External"/><Relationship Id="rId1" Type="http://schemas.openxmlformats.org/officeDocument/2006/relationships/themeOverride" Target="../theme/themeOverrid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n-US" sz="1200">
                <a:latin typeface="Times New Roman" pitchFamily="18" charset="0"/>
                <a:cs typeface="Times New Roman" pitchFamily="18" charset="0"/>
              </a:rPr>
              <a:t>Standard plot of diclofenac in phosphate buffer of pH7.4</a:t>
            </a:r>
          </a:p>
        </c:rich>
      </c:tx>
      <c:overlay val="0"/>
    </c:title>
    <c:autoTitleDeleted val="0"/>
    <c:plotArea>
      <c:layout/>
      <c:scatterChart>
        <c:scatterStyle val="lineMarker"/>
        <c:varyColors val="0"/>
        <c:ser>
          <c:idx val="0"/>
          <c:order val="0"/>
          <c:spPr>
            <a:ln w="28575">
              <a:noFill/>
            </a:ln>
          </c:spPr>
          <c:trendline>
            <c:trendlineType val="linear"/>
            <c:dispRSqr val="1"/>
            <c:dispEq val="1"/>
            <c:trendlineLbl>
              <c:layout>
                <c:manualLayout>
                  <c:x val="0.12922047244094489"/>
                  <c:y val="0.18008092738407697"/>
                </c:manualLayout>
              </c:layout>
              <c:numFmt formatCode="General" sourceLinked="0"/>
              <c:txPr>
                <a:bodyPr/>
                <a:lstStyle/>
                <a:p>
                  <a:pPr>
                    <a:defRPr lang="en-US"/>
                  </a:pPr>
                  <a:endParaRPr lang="en-US"/>
                </a:p>
              </c:txPr>
            </c:trendlineLbl>
          </c:trendline>
          <c:xVal>
            <c:numRef>
              <c:f>[diclofenac7.4.xls]Sheet1!$A$1:$A$7</c:f>
              <c:numCache>
                <c:formatCode>General</c:formatCode>
                <c:ptCount val="7"/>
                <c:pt idx="0">
                  <c:v>0</c:v>
                </c:pt>
                <c:pt idx="1">
                  <c:v>1</c:v>
                </c:pt>
                <c:pt idx="2">
                  <c:v>2</c:v>
                </c:pt>
                <c:pt idx="3">
                  <c:v>4</c:v>
                </c:pt>
                <c:pt idx="4">
                  <c:v>6</c:v>
                </c:pt>
                <c:pt idx="5">
                  <c:v>8</c:v>
                </c:pt>
                <c:pt idx="6">
                  <c:v>10</c:v>
                </c:pt>
              </c:numCache>
            </c:numRef>
          </c:xVal>
          <c:yVal>
            <c:numRef>
              <c:f>[diclofenac7.4.xls]Sheet1!$B$1:$B$7</c:f>
              <c:numCache>
                <c:formatCode>General</c:formatCode>
                <c:ptCount val="7"/>
                <c:pt idx="0">
                  <c:v>0</c:v>
                </c:pt>
                <c:pt idx="1">
                  <c:v>5.0000000000000093E-2</c:v>
                </c:pt>
                <c:pt idx="2">
                  <c:v>8.1000000000000044E-2</c:v>
                </c:pt>
                <c:pt idx="3">
                  <c:v>0.14100000000000001</c:v>
                </c:pt>
                <c:pt idx="4">
                  <c:v>0.2</c:v>
                </c:pt>
                <c:pt idx="5">
                  <c:v>0.25900000000000001</c:v>
                </c:pt>
                <c:pt idx="6">
                  <c:v>0.3290000000000014</c:v>
                </c:pt>
              </c:numCache>
            </c:numRef>
          </c:yVal>
          <c:smooth val="0"/>
          <c:extLst xmlns:c16r2="http://schemas.microsoft.com/office/drawing/2015/06/chart">
            <c:ext xmlns:c16="http://schemas.microsoft.com/office/drawing/2014/chart" uri="{C3380CC4-5D6E-409C-BE32-E72D297353CC}">
              <c16:uniqueId val="{00000001-1053-4A9A-8E90-A384608207DA}"/>
            </c:ext>
          </c:extLst>
        </c:ser>
        <c:ser>
          <c:idx val="1"/>
          <c:order val="1"/>
          <c:spPr>
            <a:ln w="28575">
              <a:noFill/>
            </a:ln>
          </c:spPr>
          <c:xVal>
            <c:numRef>
              <c:f>[diclofenac7.4.xls]Sheet1!$A$1:$A$7</c:f>
              <c:numCache>
                <c:formatCode>General</c:formatCode>
                <c:ptCount val="7"/>
                <c:pt idx="0">
                  <c:v>0</c:v>
                </c:pt>
                <c:pt idx="1">
                  <c:v>1</c:v>
                </c:pt>
                <c:pt idx="2">
                  <c:v>2</c:v>
                </c:pt>
                <c:pt idx="3">
                  <c:v>4</c:v>
                </c:pt>
                <c:pt idx="4">
                  <c:v>6</c:v>
                </c:pt>
                <c:pt idx="5">
                  <c:v>8</c:v>
                </c:pt>
                <c:pt idx="6">
                  <c:v>10</c:v>
                </c:pt>
              </c:numCache>
            </c:numRef>
          </c:xVal>
          <c:yVal>
            <c:numRef>
              <c:f>[diclofenac7.4.xls]Sheet1!$C$1:$C$7</c:f>
              <c:numCache>
                <c:formatCode>General</c:formatCode>
                <c:ptCount val="7"/>
              </c:numCache>
            </c:numRef>
          </c:yVal>
          <c:smooth val="0"/>
          <c:extLst xmlns:c16r2="http://schemas.microsoft.com/office/drawing/2015/06/chart">
            <c:ext xmlns:c16="http://schemas.microsoft.com/office/drawing/2014/chart" uri="{C3380CC4-5D6E-409C-BE32-E72D297353CC}">
              <c16:uniqueId val="{00000002-1053-4A9A-8E90-A384608207DA}"/>
            </c:ext>
          </c:extLst>
        </c:ser>
        <c:dLbls>
          <c:showLegendKey val="0"/>
          <c:showVal val="0"/>
          <c:showCatName val="0"/>
          <c:showSerName val="0"/>
          <c:showPercent val="0"/>
          <c:showBubbleSize val="0"/>
        </c:dLbls>
        <c:axId val="1579623776"/>
        <c:axId val="1579619968"/>
      </c:scatterChart>
      <c:valAx>
        <c:axId val="1579623776"/>
        <c:scaling>
          <c:orientation val="minMax"/>
        </c:scaling>
        <c:delete val="0"/>
        <c:axPos val="b"/>
        <c:title>
          <c:tx>
            <c:rich>
              <a:bodyPr/>
              <a:lstStyle/>
              <a:p>
                <a:pPr>
                  <a:defRPr lang="en-US"/>
                </a:pPr>
                <a:r>
                  <a:rPr lang="en-US">
                    <a:latin typeface="Times New Roman" pitchFamily="18" charset="0"/>
                    <a:cs typeface="Times New Roman" pitchFamily="18" charset="0"/>
                  </a:rPr>
                  <a:t>concentration</a:t>
                </a:r>
                <a:r>
                  <a:rPr lang="en-US" baseline="0">
                    <a:latin typeface="Times New Roman" pitchFamily="18" charset="0"/>
                    <a:cs typeface="Times New Roman" pitchFamily="18" charset="0"/>
                  </a:rPr>
                  <a:t> µg/ml</a:t>
                </a:r>
                <a:endParaRPr lang="en-US">
                  <a:latin typeface="Times New Roman" pitchFamily="18" charset="0"/>
                  <a:cs typeface="Times New Roman" pitchFamily="18" charset="0"/>
                </a:endParaRPr>
              </a:p>
            </c:rich>
          </c:tx>
          <c:overlay val="0"/>
        </c:title>
        <c:numFmt formatCode="General" sourceLinked="1"/>
        <c:majorTickMark val="out"/>
        <c:minorTickMark val="none"/>
        <c:tickLblPos val="nextTo"/>
        <c:txPr>
          <a:bodyPr/>
          <a:lstStyle/>
          <a:p>
            <a:pPr>
              <a:defRPr lang="en-US"/>
            </a:pPr>
            <a:endParaRPr lang="en-US"/>
          </a:p>
        </c:txPr>
        <c:crossAx val="1579619968"/>
        <c:crosses val="autoZero"/>
        <c:crossBetween val="midCat"/>
      </c:valAx>
      <c:valAx>
        <c:axId val="1579619968"/>
        <c:scaling>
          <c:orientation val="minMax"/>
        </c:scaling>
        <c:delete val="0"/>
        <c:axPos val="l"/>
        <c:title>
          <c:tx>
            <c:rich>
              <a:bodyPr rot="-5400000" vert="horz"/>
              <a:lstStyle/>
              <a:p>
                <a:pPr>
                  <a:defRPr lang="en-US"/>
                </a:pPr>
                <a:r>
                  <a:rPr lang="en-US">
                    <a:latin typeface="Times New Roman" pitchFamily="18" charset="0"/>
                    <a:cs typeface="Times New Roman" pitchFamily="18" charset="0"/>
                  </a:rPr>
                  <a:t>absorbance</a:t>
                </a:r>
              </a:p>
            </c:rich>
          </c:tx>
          <c:overlay val="0"/>
        </c:title>
        <c:numFmt formatCode="General" sourceLinked="1"/>
        <c:majorTickMark val="out"/>
        <c:minorTickMark val="none"/>
        <c:tickLblPos val="nextTo"/>
        <c:txPr>
          <a:bodyPr/>
          <a:lstStyle/>
          <a:p>
            <a:pPr>
              <a:defRPr lang="en-US"/>
            </a:pPr>
            <a:endParaRPr lang="en-US"/>
          </a:p>
        </c:txPr>
        <c:crossAx val="1579623776"/>
        <c:crosses val="autoZero"/>
        <c:crossBetween val="midCat"/>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IN"/>
            </a:pPr>
            <a:r>
              <a:rPr lang="en-US"/>
              <a:t>Release profiles</a:t>
            </a:r>
          </a:p>
        </c:rich>
      </c:tx>
      <c:overlay val="0"/>
    </c:title>
    <c:autoTitleDeleted val="0"/>
    <c:plotArea>
      <c:layout/>
      <c:scatterChart>
        <c:scatterStyle val="smoothMarker"/>
        <c:varyColors val="0"/>
        <c:ser>
          <c:idx val="0"/>
          <c:order val="0"/>
          <c:xVal>
            <c:numRef>
              <c:f>Sheet1!$A$3:$A$10</c:f>
              <c:numCache>
                <c:formatCode>General</c:formatCode>
                <c:ptCount val="8"/>
                <c:pt idx="0">
                  <c:v>0</c:v>
                </c:pt>
                <c:pt idx="1">
                  <c:v>5</c:v>
                </c:pt>
                <c:pt idx="2">
                  <c:v>10</c:v>
                </c:pt>
                <c:pt idx="3">
                  <c:v>20</c:v>
                </c:pt>
                <c:pt idx="4">
                  <c:v>30</c:v>
                </c:pt>
                <c:pt idx="5">
                  <c:v>40</c:v>
                </c:pt>
                <c:pt idx="6">
                  <c:v>50</c:v>
                </c:pt>
                <c:pt idx="7">
                  <c:v>60</c:v>
                </c:pt>
              </c:numCache>
            </c:numRef>
          </c:xVal>
          <c:yVal>
            <c:numRef>
              <c:f>Sheet1!$B$3:$B$10</c:f>
              <c:numCache>
                <c:formatCode>General</c:formatCode>
                <c:ptCount val="8"/>
                <c:pt idx="0">
                  <c:v>0</c:v>
                </c:pt>
                <c:pt idx="1">
                  <c:v>87.3</c:v>
                </c:pt>
                <c:pt idx="2">
                  <c:v>87.9</c:v>
                </c:pt>
                <c:pt idx="3">
                  <c:v>89.5</c:v>
                </c:pt>
                <c:pt idx="4">
                  <c:v>90</c:v>
                </c:pt>
                <c:pt idx="5">
                  <c:v>91.210000000000022</c:v>
                </c:pt>
                <c:pt idx="6">
                  <c:v>92.61999999999999</c:v>
                </c:pt>
                <c:pt idx="7">
                  <c:v>94.42</c:v>
                </c:pt>
              </c:numCache>
            </c:numRef>
          </c:yVal>
          <c:smooth val="1"/>
          <c:extLst xmlns:c16r2="http://schemas.microsoft.com/office/drawing/2015/06/chart">
            <c:ext xmlns:c16="http://schemas.microsoft.com/office/drawing/2014/chart" uri="{C3380CC4-5D6E-409C-BE32-E72D297353CC}">
              <c16:uniqueId val="{00000000-EE75-4B91-B853-17061E57809E}"/>
            </c:ext>
          </c:extLst>
        </c:ser>
        <c:ser>
          <c:idx val="1"/>
          <c:order val="1"/>
          <c:xVal>
            <c:numRef>
              <c:f>Sheet1!$A$3:$A$10</c:f>
              <c:numCache>
                <c:formatCode>General</c:formatCode>
                <c:ptCount val="8"/>
                <c:pt idx="0">
                  <c:v>0</c:v>
                </c:pt>
                <c:pt idx="1">
                  <c:v>5</c:v>
                </c:pt>
                <c:pt idx="2">
                  <c:v>10</c:v>
                </c:pt>
                <c:pt idx="3">
                  <c:v>20</c:v>
                </c:pt>
                <c:pt idx="4">
                  <c:v>30</c:v>
                </c:pt>
                <c:pt idx="5">
                  <c:v>40</c:v>
                </c:pt>
                <c:pt idx="6">
                  <c:v>50</c:v>
                </c:pt>
                <c:pt idx="7">
                  <c:v>60</c:v>
                </c:pt>
              </c:numCache>
            </c:numRef>
          </c:xVal>
          <c:yVal>
            <c:numRef>
              <c:f>Sheet1!$C$3:$C$10</c:f>
              <c:numCache>
                <c:formatCode>General</c:formatCode>
                <c:ptCount val="8"/>
                <c:pt idx="0">
                  <c:v>0</c:v>
                </c:pt>
                <c:pt idx="1">
                  <c:v>88.3</c:v>
                </c:pt>
                <c:pt idx="2">
                  <c:v>88.9</c:v>
                </c:pt>
                <c:pt idx="3">
                  <c:v>90.5</c:v>
                </c:pt>
                <c:pt idx="4">
                  <c:v>91.210000000000022</c:v>
                </c:pt>
                <c:pt idx="5">
                  <c:v>92.210000000000022</c:v>
                </c:pt>
                <c:pt idx="6">
                  <c:v>93.61999999999999</c:v>
                </c:pt>
                <c:pt idx="7">
                  <c:v>95.42</c:v>
                </c:pt>
              </c:numCache>
            </c:numRef>
          </c:yVal>
          <c:smooth val="1"/>
          <c:extLst xmlns:c16r2="http://schemas.microsoft.com/office/drawing/2015/06/chart">
            <c:ext xmlns:c16="http://schemas.microsoft.com/office/drawing/2014/chart" uri="{C3380CC4-5D6E-409C-BE32-E72D297353CC}">
              <c16:uniqueId val="{00000001-EE75-4B91-B853-17061E57809E}"/>
            </c:ext>
          </c:extLst>
        </c:ser>
        <c:ser>
          <c:idx val="2"/>
          <c:order val="2"/>
          <c:xVal>
            <c:numRef>
              <c:f>Sheet1!$A$3:$A$10</c:f>
              <c:numCache>
                <c:formatCode>General</c:formatCode>
                <c:ptCount val="8"/>
                <c:pt idx="0">
                  <c:v>0</c:v>
                </c:pt>
                <c:pt idx="1">
                  <c:v>5</c:v>
                </c:pt>
                <c:pt idx="2">
                  <c:v>10</c:v>
                </c:pt>
                <c:pt idx="3">
                  <c:v>20</c:v>
                </c:pt>
                <c:pt idx="4">
                  <c:v>30</c:v>
                </c:pt>
                <c:pt idx="5">
                  <c:v>40</c:v>
                </c:pt>
                <c:pt idx="6">
                  <c:v>50</c:v>
                </c:pt>
                <c:pt idx="7">
                  <c:v>60</c:v>
                </c:pt>
              </c:numCache>
            </c:numRef>
          </c:xVal>
          <c:yVal>
            <c:numRef>
              <c:f>Sheet1!$D$3:$D$10</c:f>
              <c:numCache>
                <c:formatCode>General</c:formatCode>
                <c:ptCount val="8"/>
                <c:pt idx="0">
                  <c:v>0</c:v>
                </c:pt>
                <c:pt idx="1">
                  <c:v>72.34</c:v>
                </c:pt>
                <c:pt idx="2">
                  <c:v>85.32</c:v>
                </c:pt>
                <c:pt idx="3">
                  <c:v>86.460000000000022</c:v>
                </c:pt>
                <c:pt idx="4">
                  <c:v>88.210000000000022</c:v>
                </c:pt>
                <c:pt idx="5">
                  <c:v>89.61999999999999</c:v>
                </c:pt>
                <c:pt idx="6">
                  <c:v>91.410000000000025</c:v>
                </c:pt>
                <c:pt idx="7">
                  <c:v>93.210000000000022</c:v>
                </c:pt>
              </c:numCache>
            </c:numRef>
          </c:yVal>
          <c:smooth val="1"/>
          <c:extLst xmlns:c16r2="http://schemas.microsoft.com/office/drawing/2015/06/chart">
            <c:ext xmlns:c16="http://schemas.microsoft.com/office/drawing/2014/chart" uri="{C3380CC4-5D6E-409C-BE32-E72D297353CC}">
              <c16:uniqueId val="{00000002-EE75-4B91-B853-17061E57809E}"/>
            </c:ext>
          </c:extLst>
        </c:ser>
        <c:dLbls>
          <c:showLegendKey val="0"/>
          <c:showVal val="0"/>
          <c:showCatName val="0"/>
          <c:showSerName val="0"/>
          <c:showPercent val="0"/>
          <c:showBubbleSize val="0"/>
        </c:dLbls>
        <c:axId val="1579620512"/>
        <c:axId val="1579628672"/>
      </c:scatterChart>
      <c:valAx>
        <c:axId val="1579620512"/>
        <c:scaling>
          <c:orientation val="minMax"/>
        </c:scaling>
        <c:delete val="0"/>
        <c:axPos val="b"/>
        <c:title>
          <c:tx>
            <c:rich>
              <a:bodyPr/>
              <a:lstStyle/>
              <a:p>
                <a:pPr>
                  <a:defRPr lang="en-IN"/>
                </a:pPr>
                <a:r>
                  <a:rPr lang="en-US"/>
                  <a:t>Time(mins)</a:t>
                </a:r>
              </a:p>
            </c:rich>
          </c:tx>
          <c:overlay val="0"/>
        </c:title>
        <c:numFmt formatCode="General" sourceLinked="1"/>
        <c:majorTickMark val="none"/>
        <c:minorTickMark val="none"/>
        <c:tickLblPos val="nextTo"/>
        <c:txPr>
          <a:bodyPr/>
          <a:lstStyle/>
          <a:p>
            <a:pPr>
              <a:defRPr lang="en-IN"/>
            </a:pPr>
            <a:endParaRPr lang="en-US"/>
          </a:p>
        </c:txPr>
        <c:crossAx val="1579628672"/>
        <c:crosses val="autoZero"/>
        <c:crossBetween val="midCat"/>
      </c:valAx>
      <c:valAx>
        <c:axId val="1579628672"/>
        <c:scaling>
          <c:orientation val="minMax"/>
        </c:scaling>
        <c:delete val="0"/>
        <c:axPos val="l"/>
        <c:title>
          <c:tx>
            <c:rich>
              <a:bodyPr/>
              <a:lstStyle/>
              <a:p>
                <a:pPr>
                  <a:defRPr lang="en-IN"/>
                </a:pPr>
                <a:r>
                  <a:rPr lang="en-US"/>
                  <a:t>%Amount released</a:t>
                </a:r>
              </a:p>
            </c:rich>
          </c:tx>
          <c:overlay val="0"/>
        </c:title>
        <c:numFmt formatCode="General" sourceLinked="1"/>
        <c:majorTickMark val="none"/>
        <c:minorTickMark val="none"/>
        <c:tickLblPos val="nextTo"/>
        <c:txPr>
          <a:bodyPr/>
          <a:lstStyle/>
          <a:p>
            <a:pPr>
              <a:defRPr lang="en-IN"/>
            </a:pPr>
            <a:endParaRPr lang="en-US"/>
          </a:p>
        </c:txPr>
        <c:crossAx val="1579620512"/>
        <c:crosses val="autoZero"/>
        <c:crossBetween val="midCat"/>
      </c:valAx>
    </c:plotArea>
    <c:legend>
      <c:legendPos val="r"/>
      <c:overlay val="0"/>
      <c:txPr>
        <a:bodyPr/>
        <a:lstStyle/>
        <a:p>
          <a:pPr>
            <a:defRPr lang="en-IN"/>
          </a:pPr>
          <a:endParaRPr lang="en-US"/>
        </a:p>
      </c:txPr>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IN"/>
            </a:pPr>
            <a:r>
              <a:rPr lang="en-US"/>
              <a:t>Zero order plot of F1</a:t>
            </a:r>
          </a:p>
        </c:rich>
      </c:tx>
      <c:overlay val="0"/>
    </c:title>
    <c:autoTitleDeleted val="0"/>
    <c:plotArea>
      <c:layout/>
      <c:scatterChart>
        <c:scatterStyle val="lineMarker"/>
        <c:varyColors val="0"/>
        <c:ser>
          <c:idx val="0"/>
          <c:order val="0"/>
          <c:spPr>
            <a:ln w="28575">
              <a:noFill/>
            </a:ln>
          </c:spPr>
          <c:trendline>
            <c:trendlineType val="linear"/>
            <c:dispRSqr val="1"/>
            <c:dispEq val="1"/>
            <c:trendlineLbl>
              <c:layout>
                <c:manualLayout>
                  <c:x val="0.15077755905511811"/>
                  <c:y val="0.28010317675807767"/>
                </c:manualLayout>
              </c:layout>
              <c:numFmt formatCode="General" sourceLinked="0"/>
              <c:txPr>
                <a:bodyPr/>
                <a:lstStyle/>
                <a:p>
                  <a:pPr>
                    <a:defRPr lang="en-IN"/>
                  </a:pPr>
                  <a:endParaRPr lang="en-US"/>
                </a:p>
              </c:txPr>
            </c:trendlineLbl>
          </c:trendline>
          <c:xVal>
            <c:numRef>
              <c:f>Sheet1!$A$19:$A$26</c:f>
              <c:numCache>
                <c:formatCode>General</c:formatCode>
                <c:ptCount val="8"/>
                <c:pt idx="0">
                  <c:v>0</c:v>
                </c:pt>
                <c:pt idx="1">
                  <c:v>5</c:v>
                </c:pt>
                <c:pt idx="2">
                  <c:v>10</c:v>
                </c:pt>
                <c:pt idx="3">
                  <c:v>20</c:v>
                </c:pt>
                <c:pt idx="4">
                  <c:v>30</c:v>
                </c:pt>
                <c:pt idx="5">
                  <c:v>40</c:v>
                </c:pt>
                <c:pt idx="6">
                  <c:v>50</c:v>
                </c:pt>
                <c:pt idx="7">
                  <c:v>60</c:v>
                </c:pt>
              </c:numCache>
            </c:numRef>
          </c:xVal>
          <c:yVal>
            <c:numRef>
              <c:f>Sheet1!$B$19:$B$26</c:f>
              <c:numCache>
                <c:formatCode>General</c:formatCode>
                <c:ptCount val="8"/>
                <c:pt idx="0">
                  <c:v>0</c:v>
                </c:pt>
                <c:pt idx="1">
                  <c:v>87.3</c:v>
                </c:pt>
                <c:pt idx="2">
                  <c:v>87.9</c:v>
                </c:pt>
                <c:pt idx="3">
                  <c:v>89.5</c:v>
                </c:pt>
                <c:pt idx="4">
                  <c:v>90</c:v>
                </c:pt>
                <c:pt idx="5">
                  <c:v>91.210000000000022</c:v>
                </c:pt>
                <c:pt idx="6">
                  <c:v>92.61999999999999</c:v>
                </c:pt>
                <c:pt idx="7">
                  <c:v>94.42</c:v>
                </c:pt>
              </c:numCache>
            </c:numRef>
          </c:yVal>
          <c:smooth val="0"/>
          <c:extLst xmlns:c16r2="http://schemas.microsoft.com/office/drawing/2015/06/chart">
            <c:ext xmlns:c16="http://schemas.microsoft.com/office/drawing/2014/chart" uri="{C3380CC4-5D6E-409C-BE32-E72D297353CC}">
              <c16:uniqueId val="{00000001-4DFD-4D49-9724-9BEBFBE31CC6}"/>
            </c:ext>
          </c:extLst>
        </c:ser>
        <c:dLbls>
          <c:showLegendKey val="0"/>
          <c:showVal val="0"/>
          <c:showCatName val="0"/>
          <c:showSerName val="0"/>
          <c:showPercent val="0"/>
          <c:showBubbleSize val="0"/>
        </c:dLbls>
        <c:axId val="1579616704"/>
        <c:axId val="1579621600"/>
      </c:scatterChart>
      <c:valAx>
        <c:axId val="1579616704"/>
        <c:scaling>
          <c:orientation val="minMax"/>
        </c:scaling>
        <c:delete val="0"/>
        <c:axPos val="b"/>
        <c:title>
          <c:tx>
            <c:rich>
              <a:bodyPr/>
              <a:lstStyle/>
              <a:p>
                <a:pPr>
                  <a:defRPr lang="en-IN"/>
                </a:pPr>
                <a:r>
                  <a:rPr lang="en-US"/>
                  <a:t>Time(mins)</a:t>
                </a:r>
              </a:p>
            </c:rich>
          </c:tx>
          <c:overlay val="0"/>
        </c:title>
        <c:numFmt formatCode="General" sourceLinked="1"/>
        <c:majorTickMark val="none"/>
        <c:minorTickMark val="none"/>
        <c:tickLblPos val="nextTo"/>
        <c:txPr>
          <a:bodyPr/>
          <a:lstStyle/>
          <a:p>
            <a:pPr>
              <a:defRPr lang="en-IN"/>
            </a:pPr>
            <a:endParaRPr lang="en-US"/>
          </a:p>
        </c:txPr>
        <c:crossAx val="1579621600"/>
        <c:crosses val="autoZero"/>
        <c:crossBetween val="midCat"/>
      </c:valAx>
      <c:valAx>
        <c:axId val="1579621600"/>
        <c:scaling>
          <c:orientation val="minMax"/>
        </c:scaling>
        <c:delete val="0"/>
        <c:axPos val="l"/>
        <c:title>
          <c:tx>
            <c:rich>
              <a:bodyPr/>
              <a:lstStyle/>
              <a:p>
                <a:pPr>
                  <a:defRPr lang="en-IN"/>
                </a:pPr>
                <a:r>
                  <a:rPr lang="en-US"/>
                  <a:t>%Amount released</a:t>
                </a:r>
              </a:p>
            </c:rich>
          </c:tx>
          <c:overlay val="0"/>
        </c:title>
        <c:numFmt formatCode="General" sourceLinked="1"/>
        <c:majorTickMark val="none"/>
        <c:minorTickMark val="none"/>
        <c:tickLblPos val="nextTo"/>
        <c:txPr>
          <a:bodyPr/>
          <a:lstStyle/>
          <a:p>
            <a:pPr>
              <a:defRPr lang="en-IN"/>
            </a:pPr>
            <a:endParaRPr lang="en-US"/>
          </a:p>
        </c:txPr>
        <c:crossAx val="1579616704"/>
        <c:crosses val="autoZero"/>
        <c:crossBetween val="midCat"/>
      </c:valAx>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IN"/>
            </a:pPr>
            <a:r>
              <a:rPr lang="en-US"/>
              <a:t>Zero order plot of F2</a:t>
            </a:r>
          </a:p>
        </c:rich>
      </c:tx>
      <c:overlay val="0"/>
    </c:title>
    <c:autoTitleDeleted val="0"/>
    <c:plotArea>
      <c:layout/>
      <c:scatterChart>
        <c:scatterStyle val="lineMarker"/>
        <c:varyColors val="0"/>
        <c:ser>
          <c:idx val="0"/>
          <c:order val="0"/>
          <c:spPr>
            <a:ln w="28575">
              <a:noFill/>
            </a:ln>
          </c:spPr>
          <c:trendline>
            <c:trendlineType val="linear"/>
            <c:dispRSqr val="1"/>
            <c:dispEq val="1"/>
            <c:trendlineLbl>
              <c:layout>
                <c:manualLayout>
                  <c:x val="0.12597178477690291"/>
                  <c:y val="0.31839479661002063"/>
                </c:manualLayout>
              </c:layout>
              <c:numFmt formatCode="General" sourceLinked="0"/>
              <c:txPr>
                <a:bodyPr/>
                <a:lstStyle/>
                <a:p>
                  <a:pPr>
                    <a:defRPr lang="en-IN"/>
                  </a:pPr>
                  <a:endParaRPr lang="en-US"/>
                </a:p>
              </c:txPr>
            </c:trendlineLbl>
          </c:trendline>
          <c:xVal>
            <c:numRef>
              <c:f>Sheet1!$A$35:$A$42</c:f>
              <c:numCache>
                <c:formatCode>General</c:formatCode>
                <c:ptCount val="8"/>
                <c:pt idx="0">
                  <c:v>0</c:v>
                </c:pt>
                <c:pt idx="1">
                  <c:v>5</c:v>
                </c:pt>
                <c:pt idx="2">
                  <c:v>10</c:v>
                </c:pt>
                <c:pt idx="3">
                  <c:v>20</c:v>
                </c:pt>
                <c:pt idx="4">
                  <c:v>30</c:v>
                </c:pt>
                <c:pt idx="5">
                  <c:v>40</c:v>
                </c:pt>
                <c:pt idx="6">
                  <c:v>50</c:v>
                </c:pt>
                <c:pt idx="7">
                  <c:v>60</c:v>
                </c:pt>
              </c:numCache>
            </c:numRef>
          </c:xVal>
          <c:yVal>
            <c:numRef>
              <c:f>Sheet1!$B$35:$B$42</c:f>
              <c:numCache>
                <c:formatCode>General</c:formatCode>
                <c:ptCount val="8"/>
                <c:pt idx="0">
                  <c:v>0</c:v>
                </c:pt>
                <c:pt idx="1">
                  <c:v>88.3</c:v>
                </c:pt>
                <c:pt idx="2">
                  <c:v>88.9</c:v>
                </c:pt>
                <c:pt idx="3">
                  <c:v>90.5</c:v>
                </c:pt>
                <c:pt idx="4">
                  <c:v>91.210000000000022</c:v>
                </c:pt>
                <c:pt idx="5">
                  <c:v>92.210000000000022</c:v>
                </c:pt>
                <c:pt idx="6">
                  <c:v>93.61999999999999</c:v>
                </c:pt>
                <c:pt idx="7">
                  <c:v>95.42</c:v>
                </c:pt>
              </c:numCache>
            </c:numRef>
          </c:yVal>
          <c:smooth val="0"/>
          <c:extLst xmlns:c16r2="http://schemas.microsoft.com/office/drawing/2015/06/chart">
            <c:ext xmlns:c16="http://schemas.microsoft.com/office/drawing/2014/chart" uri="{C3380CC4-5D6E-409C-BE32-E72D297353CC}">
              <c16:uniqueId val="{00000001-696B-4084-AB98-BB5013027BEF}"/>
            </c:ext>
          </c:extLst>
        </c:ser>
        <c:dLbls>
          <c:showLegendKey val="0"/>
          <c:showVal val="0"/>
          <c:showCatName val="0"/>
          <c:showSerName val="0"/>
          <c:showPercent val="0"/>
          <c:showBubbleSize val="0"/>
        </c:dLbls>
        <c:axId val="1579617248"/>
        <c:axId val="1579623232"/>
      </c:scatterChart>
      <c:valAx>
        <c:axId val="1579617248"/>
        <c:scaling>
          <c:orientation val="minMax"/>
        </c:scaling>
        <c:delete val="0"/>
        <c:axPos val="b"/>
        <c:title>
          <c:tx>
            <c:rich>
              <a:bodyPr/>
              <a:lstStyle/>
              <a:p>
                <a:pPr>
                  <a:defRPr lang="en-IN"/>
                </a:pPr>
                <a:r>
                  <a:rPr lang="en-US"/>
                  <a:t>Time(mins)</a:t>
                </a:r>
              </a:p>
            </c:rich>
          </c:tx>
          <c:overlay val="0"/>
        </c:title>
        <c:numFmt formatCode="General" sourceLinked="1"/>
        <c:majorTickMark val="none"/>
        <c:minorTickMark val="none"/>
        <c:tickLblPos val="nextTo"/>
        <c:txPr>
          <a:bodyPr/>
          <a:lstStyle/>
          <a:p>
            <a:pPr>
              <a:defRPr lang="en-IN"/>
            </a:pPr>
            <a:endParaRPr lang="en-US"/>
          </a:p>
        </c:txPr>
        <c:crossAx val="1579623232"/>
        <c:crosses val="autoZero"/>
        <c:crossBetween val="midCat"/>
      </c:valAx>
      <c:valAx>
        <c:axId val="1579623232"/>
        <c:scaling>
          <c:orientation val="minMax"/>
        </c:scaling>
        <c:delete val="0"/>
        <c:axPos val="l"/>
        <c:title>
          <c:tx>
            <c:rich>
              <a:bodyPr/>
              <a:lstStyle/>
              <a:p>
                <a:pPr>
                  <a:defRPr lang="en-IN"/>
                </a:pPr>
                <a:r>
                  <a:rPr lang="en-US"/>
                  <a:t>%Amount released</a:t>
                </a:r>
              </a:p>
            </c:rich>
          </c:tx>
          <c:overlay val="0"/>
        </c:title>
        <c:numFmt formatCode="General" sourceLinked="1"/>
        <c:majorTickMark val="none"/>
        <c:minorTickMark val="none"/>
        <c:tickLblPos val="nextTo"/>
        <c:txPr>
          <a:bodyPr/>
          <a:lstStyle/>
          <a:p>
            <a:pPr>
              <a:defRPr lang="en-IN"/>
            </a:pPr>
            <a:endParaRPr lang="en-US"/>
          </a:p>
        </c:txPr>
        <c:crossAx val="1579617248"/>
        <c:crosses val="autoZero"/>
        <c:crossBetween val="midCat"/>
      </c:valAx>
    </c:plotArea>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IN"/>
            </a:pPr>
            <a:r>
              <a:rPr lang="en-US"/>
              <a:t>Zero order plot of F3</a:t>
            </a:r>
          </a:p>
        </c:rich>
      </c:tx>
      <c:overlay val="0"/>
    </c:title>
    <c:autoTitleDeleted val="0"/>
    <c:plotArea>
      <c:layout/>
      <c:scatterChart>
        <c:scatterStyle val="lineMarker"/>
        <c:varyColors val="0"/>
        <c:ser>
          <c:idx val="0"/>
          <c:order val="0"/>
          <c:spPr>
            <a:ln w="28575">
              <a:noFill/>
            </a:ln>
          </c:spPr>
          <c:trendline>
            <c:trendlineType val="linear"/>
            <c:dispRSqr val="1"/>
            <c:dispEq val="1"/>
            <c:trendlineLbl>
              <c:layout>
                <c:manualLayout>
                  <c:x val="0.12319400699912512"/>
                  <c:y val="0.27278907844852729"/>
                </c:manualLayout>
              </c:layout>
              <c:numFmt formatCode="General" sourceLinked="0"/>
              <c:txPr>
                <a:bodyPr/>
                <a:lstStyle/>
                <a:p>
                  <a:pPr>
                    <a:defRPr lang="en-IN"/>
                  </a:pPr>
                  <a:endParaRPr lang="en-US"/>
                </a:p>
              </c:txPr>
            </c:trendlineLbl>
          </c:trendline>
          <c:xVal>
            <c:numRef>
              <c:f>Sheet1!$A$53:$A$60</c:f>
              <c:numCache>
                <c:formatCode>General</c:formatCode>
                <c:ptCount val="8"/>
                <c:pt idx="0">
                  <c:v>0</c:v>
                </c:pt>
                <c:pt idx="1">
                  <c:v>5</c:v>
                </c:pt>
                <c:pt idx="2">
                  <c:v>10</c:v>
                </c:pt>
                <c:pt idx="3">
                  <c:v>20</c:v>
                </c:pt>
                <c:pt idx="4">
                  <c:v>30</c:v>
                </c:pt>
                <c:pt idx="5">
                  <c:v>40</c:v>
                </c:pt>
                <c:pt idx="6">
                  <c:v>50</c:v>
                </c:pt>
                <c:pt idx="7">
                  <c:v>60</c:v>
                </c:pt>
              </c:numCache>
            </c:numRef>
          </c:xVal>
          <c:yVal>
            <c:numRef>
              <c:f>Sheet1!$B$53:$B$60</c:f>
              <c:numCache>
                <c:formatCode>General</c:formatCode>
                <c:ptCount val="8"/>
                <c:pt idx="0">
                  <c:v>0</c:v>
                </c:pt>
                <c:pt idx="1">
                  <c:v>72.34</c:v>
                </c:pt>
                <c:pt idx="2">
                  <c:v>85.32</c:v>
                </c:pt>
                <c:pt idx="3">
                  <c:v>86.460000000000022</c:v>
                </c:pt>
                <c:pt idx="4">
                  <c:v>88.210000000000022</c:v>
                </c:pt>
                <c:pt idx="5">
                  <c:v>89.61999999999999</c:v>
                </c:pt>
                <c:pt idx="6">
                  <c:v>91.410000000000025</c:v>
                </c:pt>
                <c:pt idx="7">
                  <c:v>93.210000000000022</c:v>
                </c:pt>
              </c:numCache>
            </c:numRef>
          </c:yVal>
          <c:smooth val="0"/>
          <c:extLst xmlns:c16r2="http://schemas.microsoft.com/office/drawing/2015/06/chart">
            <c:ext xmlns:c16="http://schemas.microsoft.com/office/drawing/2014/chart" uri="{C3380CC4-5D6E-409C-BE32-E72D297353CC}">
              <c16:uniqueId val="{00000001-0FF9-4F9E-AFDE-FCE6B57B9F7B}"/>
            </c:ext>
          </c:extLst>
        </c:ser>
        <c:dLbls>
          <c:showLegendKey val="0"/>
          <c:showVal val="0"/>
          <c:showCatName val="0"/>
          <c:showSerName val="0"/>
          <c:showPercent val="0"/>
          <c:showBubbleSize val="0"/>
        </c:dLbls>
        <c:axId val="1579621056"/>
        <c:axId val="1579629216"/>
      </c:scatterChart>
      <c:valAx>
        <c:axId val="1579621056"/>
        <c:scaling>
          <c:orientation val="minMax"/>
        </c:scaling>
        <c:delete val="0"/>
        <c:axPos val="b"/>
        <c:title>
          <c:tx>
            <c:rich>
              <a:bodyPr/>
              <a:lstStyle/>
              <a:p>
                <a:pPr>
                  <a:defRPr lang="en-IN"/>
                </a:pPr>
                <a:r>
                  <a:rPr lang="en-US"/>
                  <a:t>Time(mins)</a:t>
                </a:r>
              </a:p>
            </c:rich>
          </c:tx>
          <c:overlay val="0"/>
        </c:title>
        <c:numFmt formatCode="General" sourceLinked="1"/>
        <c:majorTickMark val="none"/>
        <c:minorTickMark val="none"/>
        <c:tickLblPos val="nextTo"/>
        <c:txPr>
          <a:bodyPr/>
          <a:lstStyle/>
          <a:p>
            <a:pPr>
              <a:defRPr lang="en-IN"/>
            </a:pPr>
            <a:endParaRPr lang="en-US"/>
          </a:p>
        </c:txPr>
        <c:crossAx val="1579629216"/>
        <c:crosses val="autoZero"/>
        <c:crossBetween val="midCat"/>
      </c:valAx>
      <c:valAx>
        <c:axId val="1579629216"/>
        <c:scaling>
          <c:orientation val="minMax"/>
        </c:scaling>
        <c:delete val="0"/>
        <c:axPos val="l"/>
        <c:title>
          <c:tx>
            <c:rich>
              <a:bodyPr/>
              <a:lstStyle/>
              <a:p>
                <a:pPr>
                  <a:defRPr lang="en-IN"/>
                </a:pPr>
                <a:r>
                  <a:rPr lang="en-US"/>
                  <a:t>%Amount released</a:t>
                </a:r>
              </a:p>
            </c:rich>
          </c:tx>
          <c:overlay val="0"/>
        </c:title>
        <c:numFmt formatCode="General" sourceLinked="1"/>
        <c:majorTickMark val="none"/>
        <c:minorTickMark val="none"/>
        <c:tickLblPos val="nextTo"/>
        <c:txPr>
          <a:bodyPr/>
          <a:lstStyle/>
          <a:p>
            <a:pPr>
              <a:defRPr lang="en-IN"/>
            </a:pPr>
            <a:endParaRPr lang="en-US"/>
          </a:p>
        </c:txPr>
        <c:crossAx val="1579621056"/>
        <c:crosses val="autoZero"/>
        <c:crossBetween val="midCat"/>
      </c:valAx>
    </c:plotArea>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IN"/>
            </a:pPr>
            <a:r>
              <a:rPr lang="en-US"/>
              <a:t>First order plot of F1</a:t>
            </a:r>
          </a:p>
        </c:rich>
      </c:tx>
      <c:overlay val="0"/>
    </c:title>
    <c:autoTitleDeleted val="0"/>
    <c:plotArea>
      <c:layout/>
      <c:scatterChart>
        <c:scatterStyle val="lineMarker"/>
        <c:varyColors val="0"/>
        <c:ser>
          <c:idx val="0"/>
          <c:order val="0"/>
          <c:spPr>
            <a:ln w="28575">
              <a:noFill/>
            </a:ln>
          </c:spPr>
          <c:trendline>
            <c:trendlineType val="linear"/>
            <c:dispRSqr val="1"/>
            <c:dispEq val="1"/>
            <c:trendlineLbl>
              <c:layout>
                <c:manualLayout>
                  <c:x val="0.45910192475940531"/>
                  <c:y val="-0.3600426509186353"/>
                </c:manualLayout>
              </c:layout>
              <c:numFmt formatCode="General" sourceLinked="0"/>
              <c:txPr>
                <a:bodyPr/>
                <a:lstStyle/>
                <a:p>
                  <a:pPr>
                    <a:defRPr lang="en-IN"/>
                  </a:pPr>
                  <a:endParaRPr lang="en-US"/>
                </a:p>
              </c:txPr>
            </c:trendlineLbl>
          </c:trendline>
          <c:xVal>
            <c:numRef>
              <c:f>Sheet1!$A$69:$A$76</c:f>
              <c:numCache>
                <c:formatCode>General</c:formatCode>
                <c:ptCount val="8"/>
                <c:pt idx="0">
                  <c:v>0</c:v>
                </c:pt>
                <c:pt idx="1">
                  <c:v>5</c:v>
                </c:pt>
                <c:pt idx="2">
                  <c:v>10</c:v>
                </c:pt>
                <c:pt idx="3">
                  <c:v>20</c:v>
                </c:pt>
                <c:pt idx="4">
                  <c:v>30</c:v>
                </c:pt>
                <c:pt idx="5">
                  <c:v>40</c:v>
                </c:pt>
                <c:pt idx="6">
                  <c:v>50</c:v>
                </c:pt>
                <c:pt idx="7">
                  <c:v>60</c:v>
                </c:pt>
              </c:numCache>
            </c:numRef>
          </c:xVal>
          <c:yVal>
            <c:numRef>
              <c:f>Sheet1!$B$69:$B$76</c:f>
              <c:numCache>
                <c:formatCode>General</c:formatCode>
                <c:ptCount val="8"/>
                <c:pt idx="0">
                  <c:v>2</c:v>
                </c:pt>
                <c:pt idx="1">
                  <c:v>1.103</c:v>
                </c:pt>
                <c:pt idx="2">
                  <c:v>1.0820000000000001</c:v>
                </c:pt>
                <c:pt idx="3">
                  <c:v>1.0209999999999972</c:v>
                </c:pt>
                <c:pt idx="4">
                  <c:v>1</c:v>
                </c:pt>
                <c:pt idx="5">
                  <c:v>0.94299999999999995</c:v>
                </c:pt>
                <c:pt idx="6">
                  <c:v>0.86800000000000122</c:v>
                </c:pt>
                <c:pt idx="7">
                  <c:v>0.74600000000000122</c:v>
                </c:pt>
              </c:numCache>
            </c:numRef>
          </c:yVal>
          <c:smooth val="0"/>
          <c:extLst xmlns:c16r2="http://schemas.microsoft.com/office/drawing/2015/06/chart">
            <c:ext xmlns:c16="http://schemas.microsoft.com/office/drawing/2014/chart" uri="{C3380CC4-5D6E-409C-BE32-E72D297353CC}">
              <c16:uniqueId val="{00000001-A18F-4688-806B-CEF7EE6BDEAD}"/>
            </c:ext>
          </c:extLst>
        </c:ser>
        <c:dLbls>
          <c:showLegendKey val="0"/>
          <c:showVal val="0"/>
          <c:showCatName val="0"/>
          <c:showSerName val="0"/>
          <c:showPercent val="0"/>
          <c:showBubbleSize val="0"/>
        </c:dLbls>
        <c:axId val="1579622144"/>
        <c:axId val="1579629760"/>
      </c:scatterChart>
      <c:valAx>
        <c:axId val="1579622144"/>
        <c:scaling>
          <c:orientation val="minMax"/>
        </c:scaling>
        <c:delete val="0"/>
        <c:axPos val="b"/>
        <c:title>
          <c:tx>
            <c:rich>
              <a:bodyPr/>
              <a:lstStyle/>
              <a:p>
                <a:pPr>
                  <a:defRPr lang="en-IN"/>
                </a:pPr>
                <a:r>
                  <a:rPr lang="en-US"/>
                  <a:t>Time(mins)</a:t>
                </a:r>
              </a:p>
            </c:rich>
          </c:tx>
          <c:overlay val="0"/>
        </c:title>
        <c:numFmt formatCode="General" sourceLinked="1"/>
        <c:majorTickMark val="none"/>
        <c:minorTickMark val="none"/>
        <c:tickLblPos val="nextTo"/>
        <c:txPr>
          <a:bodyPr/>
          <a:lstStyle/>
          <a:p>
            <a:pPr>
              <a:defRPr lang="en-IN"/>
            </a:pPr>
            <a:endParaRPr lang="en-US"/>
          </a:p>
        </c:txPr>
        <c:crossAx val="1579629760"/>
        <c:crosses val="autoZero"/>
        <c:crossBetween val="midCat"/>
      </c:valAx>
      <c:valAx>
        <c:axId val="1579629760"/>
        <c:scaling>
          <c:orientation val="minMax"/>
        </c:scaling>
        <c:delete val="0"/>
        <c:axPos val="l"/>
        <c:title>
          <c:tx>
            <c:rich>
              <a:bodyPr/>
              <a:lstStyle/>
              <a:p>
                <a:pPr>
                  <a:defRPr lang="en-IN"/>
                </a:pPr>
                <a:r>
                  <a:rPr lang="en-US"/>
                  <a:t>log%ARR</a:t>
                </a:r>
              </a:p>
            </c:rich>
          </c:tx>
          <c:overlay val="0"/>
        </c:title>
        <c:numFmt formatCode="General" sourceLinked="1"/>
        <c:majorTickMark val="none"/>
        <c:minorTickMark val="none"/>
        <c:tickLblPos val="nextTo"/>
        <c:txPr>
          <a:bodyPr/>
          <a:lstStyle/>
          <a:p>
            <a:pPr>
              <a:defRPr lang="en-IN"/>
            </a:pPr>
            <a:endParaRPr lang="en-US"/>
          </a:p>
        </c:txPr>
        <c:crossAx val="1579622144"/>
        <c:crosses val="autoZero"/>
        <c:crossBetween val="midCat"/>
      </c:valAx>
    </c:plotArea>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IN"/>
            </a:pPr>
            <a:r>
              <a:rPr lang="en-US"/>
              <a:t>Fist ordr plot of F2</a:t>
            </a:r>
          </a:p>
        </c:rich>
      </c:tx>
      <c:overlay val="0"/>
    </c:title>
    <c:autoTitleDeleted val="0"/>
    <c:plotArea>
      <c:layout/>
      <c:scatterChart>
        <c:scatterStyle val="lineMarker"/>
        <c:varyColors val="0"/>
        <c:ser>
          <c:idx val="0"/>
          <c:order val="0"/>
          <c:spPr>
            <a:ln w="28575">
              <a:noFill/>
            </a:ln>
          </c:spPr>
          <c:trendline>
            <c:trendlineType val="linear"/>
            <c:dispRSqr val="1"/>
            <c:dispEq val="1"/>
            <c:trendlineLbl>
              <c:layout>
                <c:manualLayout>
                  <c:x val="0.46187970253718286"/>
                  <c:y val="-0.33301071741032462"/>
                </c:manualLayout>
              </c:layout>
              <c:numFmt formatCode="General" sourceLinked="0"/>
              <c:txPr>
                <a:bodyPr/>
                <a:lstStyle/>
                <a:p>
                  <a:pPr>
                    <a:defRPr lang="en-IN"/>
                  </a:pPr>
                  <a:endParaRPr lang="en-US"/>
                </a:p>
              </c:txPr>
            </c:trendlineLbl>
          </c:trendline>
          <c:xVal>
            <c:numRef>
              <c:f>Sheet1!$A$84:$A$91</c:f>
              <c:numCache>
                <c:formatCode>General</c:formatCode>
                <c:ptCount val="8"/>
                <c:pt idx="0">
                  <c:v>0</c:v>
                </c:pt>
                <c:pt idx="1">
                  <c:v>5</c:v>
                </c:pt>
                <c:pt idx="2">
                  <c:v>10</c:v>
                </c:pt>
                <c:pt idx="3">
                  <c:v>20</c:v>
                </c:pt>
                <c:pt idx="4">
                  <c:v>30</c:v>
                </c:pt>
                <c:pt idx="5">
                  <c:v>40</c:v>
                </c:pt>
                <c:pt idx="6">
                  <c:v>50</c:v>
                </c:pt>
                <c:pt idx="7">
                  <c:v>60</c:v>
                </c:pt>
              </c:numCache>
            </c:numRef>
          </c:xVal>
          <c:yVal>
            <c:numRef>
              <c:f>Sheet1!$B$84:$B$91</c:f>
              <c:numCache>
                <c:formatCode>General</c:formatCode>
                <c:ptCount val="8"/>
                <c:pt idx="0">
                  <c:v>2</c:v>
                </c:pt>
                <c:pt idx="1">
                  <c:v>1.0680000000000001</c:v>
                </c:pt>
                <c:pt idx="2">
                  <c:v>1.0449999999999975</c:v>
                </c:pt>
                <c:pt idx="3">
                  <c:v>0.97700000000000065</c:v>
                </c:pt>
                <c:pt idx="4">
                  <c:v>0.94299999999999995</c:v>
                </c:pt>
                <c:pt idx="5">
                  <c:v>0.89100000000000001</c:v>
                </c:pt>
                <c:pt idx="6">
                  <c:v>0.80400000000000005</c:v>
                </c:pt>
                <c:pt idx="7">
                  <c:v>0.66000000000000159</c:v>
                </c:pt>
              </c:numCache>
            </c:numRef>
          </c:yVal>
          <c:smooth val="0"/>
          <c:extLst xmlns:c16r2="http://schemas.microsoft.com/office/drawing/2015/06/chart">
            <c:ext xmlns:c16="http://schemas.microsoft.com/office/drawing/2014/chart" uri="{C3380CC4-5D6E-409C-BE32-E72D297353CC}">
              <c16:uniqueId val="{00000001-C8D6-4102-9CA5-FA25E26694BE}"/>
            </c:ext>
          </c:extLst>
        </c:ser>
        <c:dLbls>
          <c:showLegendKey val="0"/>
          <c:showVal val="0"/>
          <c:showCatName val="0"/>
          <c:showSerName val="0"/>
          <c:showPercent val="0"/>
          <c:showBubbleSize val="0"/>
        </c:dLbls>
        <c:axId val="1579618336"/>
        <c:axId val="1579630304"/>
      </c:scatterChart>
      <c:valAx>
        <c:axId val="1579618336"/>
        <c:scaling>
          <c:orientation val="minMax"/>
        </c:scaling>
        <c:delete val="0"/>
        <c:axPos val="b"/>
        <c:title>
          <c:tx>
            <c:rich>
              <a:bodyPr/>
              <a:lstStyle/>
              <a:p>
                <a:pPr>
                  <a:defRPr lang="en-IN"/>
                </a:pPr>
                <a:r>
                  <a:rPr lang="en-US"/>
                  <a:t>Time(mins)</a:t>
                </a:r>
              </a:p>
            </c:rich>
          </c:tx>
          <c:overlay val="0"/>
        </c:title>
        <c:numFmt formatCode="General" sourceLinked="1"/>
        <c:majorTickMark val="none"/>
        <c:minorTickMark val="none"/>
        <c:tickLblPos val="nextTo"/>
        <c:txPr>
          <a:bodyPr/>
          <a:lstStyle/>
          <a:p>
            <a:pPr>
              <a:defRPr lang="en-IN"/>
            </a:pPr>
            <a:endParaRPr lang="en-US"/>
          </a:p>
        </c:txPr>
        <c:crossAx val="1579630304"/>
        <c:crosses val="autoZero"/>
        <c:crossBetween val="midCat"/>
      </c:valAx>
      <c:valAx>
        <c:axId val="1579630304"/>
        <c:scaling>
          <c:orientation val="minMax"/>
        </c:scaling>
        <c:delete val="0"/>
        <c:axPos val="l"/>
        <c:title>
          <c:tx>
            <c:rich>
              <a:bodyPr/>
              <a:lstStyle/>
              <a:p>
                <a:pPr>
                  <a:defRPr lang="en-IN"/>
                </a:pPr>
                <a:r>
                  <a:rPr lang="en-US"/>
                  <a:t>log%ARR</a:t>
                </a:r>
              </a:p>
            </c:rich>
          </c:tx>
          <c:overlay val="0"/>
        </c:title>
        <c:numFmt formatCode="General" sourceLinked="1"/>
        <c:majorTickMark val="none"/>
        <c:minorTickMark val="none"/>
        <c:tickLblPos val="nextTo"/>
        <c:txPr>
          <a:bodyPr/>
          <a:lstStyle/>
          <a:p>
            <a:pPr>
              <a:defRPr lang="en-IN"/>
            </a:pPr>
            <a:endParaRPr lang="en-US"/>
          </a:p>
        </c:txPr>
        <c:crossAx val="1579618336"/>
        <c:crosses val="autoZero"/>
        <c:crossBetween val="midCat"/>
      </c:valAx>
    </c:plotArea>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IN"/>
            </a:pPr>
            <a:r>
              <a:rPr lang="en-US"/>
              <a:t>First oder plot of F3</a:t>
            </a:r>
          </a:p>
        </c:rich>
      </c:tx>
      <c:overlay val="0"/>
    </c:title>
    <c:autoTitleDeleted val="0"/>
    <c:plotArea>
      <c:layout/>
      <c:scatterChart>
        <c:scatterStyle val="lineMarker"/>
        <c:varyColors val="0"/>
        <c:ser>
          <c:idx val="0"/>
          <c:order val="0"/>
          <c:spPr>
            <a:ln w="28575">
              <a:noFill/>
            </a:ln>
          </c:spPr>
          <c:trendline>
            <c:trendlineType val="linear"/>
            <c:dispRSqr val="1"/>
            <c:dispEq val="1"/>
            <c:trendlineLbl>
              <c:layout>
                <c:manualLayout>
                  <c:x val="0.44224059492563428"/>
                  <c:y val="-0.37293051910177932"/>
                </c:manualLayout>
              </c:layout>
              <c:numFmt formatCode="General" sourceLinked="0"/>
              <c:txPr>
                <a:bodyPr/>
                <a:lstStyle/>
                <a:p>
                  <a:pPr>
                    <a:defRPr lang="en-IN"/>
                  </a:pPr>
                  <a:endParaRPr lang="en-US"/>
                </a:p>
              </c:txPr>
            </c:trendlineLbl>
          </c:trendline>
          <c:xVal>
            <c:numRef>
              <c:f>Sheet1!$A$101:$A$108</c:f>
              <c:numCache>
                <c:formatCode>General</c:formatCode>
                <c:ptCount val="8"/>
                <c:pt idx="0">
                  <c:v>0</c:v>
                </c:pt>
                <c:pt idx="1">
                  <c:v>5</c:v>
                </c:pt>
                <c:pt idx="2">
                  <c:v>10</c:v>
                </c:pt>
                <c:pt idx="3">
                  <c:v>20</c:v>
                </c:pt>
                <c:pt idx="4">
                  <c:v>30</c:v>
                </c:pt>
                <c:pt idx="5">
                  <c:v>40</c:v>
                </c:pt>
                <c:pt idx="6">
                  <c:v>50</c:v>
                </c:pt>
                <c:pt idx="7">
                  <c:v>60</c:v>
                </c:pt>
              </c:numCache>
            </c:numRef>
          </c:xVal>
          <c:yVal>
            <c:numRef>
              <c:f>Sheet1!$B$101:$B$108</c:f>
              <c:numCache>
                <c:formatCode>General</c:formatCode>
                <c:ptCount val="8"/>
                <c:pt idx="0">
                  <c:v>2</c:v>
                </c:pt>
                <c:pt idx="1">
                  <c:v>1.4409999999999969</c:v>
                </c:pt>
                <c:pt idx="2">
                  <c:v>1.1659999999999973</c:v>
                </c:pt>
                <c:pt idx="3">
                  <c:v>1.131</c:v>
                </c:pt>
                <c:pt idx="4">
                  <c:v>1.071</c:v>
                </c:pt>
                <c:pt idx="5">
                  <c:v>1.016</c:v>
                </c:pt>
                <c:pt idx="6">
                  <c:v>0.93300000000000005</c:v>
                </c:pt>
                <c:pt idx="7">
                  <c:v>0.83100000000000063</c:v>
                </c:pt>
              </c:numCache>
            </c:numRef>
          </c:yVal>
          <c:smooth val="0"/>
          <c:extLst xmlns:c16r2="http://schemas.microsoft.com/office/drawing/2015/06/chart">
            <c:ext xmlns:c16="http://schemas.microsoft.com/office/drawing/2014/chart" uri="{C3380CC4-5D6E-409C-BE32-E72D297353CC}">
              <c16:uniqueId val="{00000001-2D50-4E57-A404-72136253C1FA}"/>
            </c:ext>
          </c:extLst>
        </c:ser>
        <c:dLbls>
          <c:showLegendKey val="0"/>
          <c:showVal val="0"/>
          <c:showCatName val="0"/>
          <c:showSerName val="0"/>
          <c:showPercent val="0"/>
          <c:showBubbleSize val="0"/>
        </c:dLbls>
        <c:axId val="1579615072"/>
        <c:axId val="1579624864"/>
      </c:scatterChart>
      <c:valAx>
        <c:axId val="1579615072"/>
        <c:scaling>
          <c:orientation val="minMax"/>
        </c:scaling>
        <c:delete val="0"/>
        <c:axPos val="b"/>
        <c:title>
          <c:tx>
            <c:rich>
              <a:bodyPr/>
              <a:lstStyle/>
              <a:p>
                <a:pPr>
                  <a:defRPr lang="en-IN"/>
                </a:pPr>
                <a:r>
                  <a:rPr lang="en-US"/>
                  <a:t>Time(mins)</a:t>
                </a:r>
              </a:p>
            </c:rich>
          </c:tx>
          <c:overlay val="0"/>
        </c:title>
        <c:numFmt formatCode="General" sourceLinked="1"/>
        <c:majorTickMark val="none"/>
        <c:minorTickMark val="none"/>
        <c:tickLblPos val="nextTo"/>
        <c:txPr>
          <a:bodyPr/>
          <a:lstStyle/>
          <a:p>
            <a:pPr>
              <a:defRPr lang="en-IN"/>
            </a:pPr>
            <a:endParaRPr lang="en-US"/>
          </a:p>
        </c:txPr>
        <c:crossAx val="1579624864"/>
        <c:crosses val="autoZero"/>
        <c:crossBetween val="midCat"/>
      </c:valAx>
      <c:valAx>
        <c:axId val="1579624864"/>
        <c:scaling>
          <c:orientation val="minMax"/>
        </c:scaling>
        <c:delete val="0"/>
        <c:axPos val="l"/>
        <c:title>
          <c:tx>
            <c:rich>
              <a:bodyPr/>
              <a:lstStyle/>
              <a:p>
                <a:pPr>
                  <a:defRPr lang="en-IN"/>
                </a:pPr>
                <a:r>
                  <a:rPr lang="en-US"/>
                  <a:t>log%ARR</a:t>
                </a:r>
              </a:p>
            </c:rich>
          </c:tx>
          <c:overlay val="0"/>
        </c:title>
        <c:numFmt formatCode="General" sourceLinked="1"/>
        <c:majorTickMark val="none"/>
        <c:minorTickMark val="none"/>
        <c:tickLblPos val="nextTo"/>
        <c:txPr>
          <a:bodyPr/>
          <a:lstStyle/>
          <a:p>
            <a:pPr>
              <a:defRPr lang="en-IN"/>
            </a:pPr>
            <a:endParaRPr lang="en-US"/>
          </a:p>
        </c:txPr>
        <c:crossAx val="1579615072"/>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TotalTime>
  <Pages>6</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Gorantla.Rajesh</cp:lastModifiedBy>
  <cp:revision>6</cp:revision>
  <dcterms:created xsi:type="dcterms:W3CDTF">2022-05-11T16:39:00Z</dcterms:created>
  <dcterms:modified xsi:type="dcterms:W3CDTF">2024-01-29T19:10:00Z</dcterms:modified>
</cp:coreProperties>
</file>