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200"/>
      </w:pPr>
      <w:r>
        <w:rPr>
          <w:rFonts w:ascii="Calibri" w:cs="Calibri" w:eastAsia="Calibri" w:hAnsi="Calibri"/>
          <w:b/>
          <w:bCs/>
          <w:color w:val="1F3864"/>
          <w:sz w:val="44"/>
          <w:szCs w:val="44"/>
        </w:rPr>
        <w:t xml:space="preserve">AI-Augmented SOC Analyst System</w:t>
      </w:r>
    </w:p>
    <w:p>
      <w:pPr>
        <w:spacing w:after="300"/>
      </w:pPr>
      <w:r>
        <w:rPr>
          <w:rFonts w:ascii="Calibri" w:cs="Calibri" w:eastAsia="Calibri" w:hAnsi="Calibri"/>
          <w:color w:val="2E5395"/>
          <w:sz w:val="26"/>
          <w:szCs w:val="26"/>
        </w:rPr>
        <w:t xml:space="preserve">GraphRAG Build Plan — Vector Search + Knowledge Graph for SIEM Log Triage</w:t>
      </w:r>
    </w:p>
    <w:p>
      <w:pPr>
        <w:spacing w:after="60"/>
      </w:pPr>
      <w:r>
        <w:rPr>
          <w:rFonts w:ascii="Calibri" w:cs="Calibri" w:eastAsia="Calibri" w:hAnsi="Calibri"/>
          <w:color w:val="595959"/>
          <w:sz w:val="21"/>
          <w:szCs w:val="21"/>
        </w:rPr>
        <w:t xml:space="preserve">Prepared for Thiru</w:t>
      </w:r>
    </w:p>
    <w:p>
      <w:pPr>
        <w:spacing w:after="60"/>
      </w:pPr>
      <w:r>
        <w:rPr>
          <w:rFonts w:ascii="Calibri" w:cs="Calibri" w:eastAsia="Calibri" w:hAnsi="Calibri"/>
          <w:color w:val="595959"/>
          <w:sz w:val="21"/>
          <w:szCs w:val="21"/>
        </w:rPr>
        <w:t xml:space="preserve">July 2026</w:t>
      </w:r>
    </w:p>
    <w:p>
      <w:r>
        <w:br/>
        <w:t xml:space="preserve"/>
      </w:r>
    </w:p>
    <w:p>
      <w:pPr>
        <w:pStyle w:val="Heading1"/>
        <w:pBdr>
          <w:bottom w:val="single" w:color="1F3864" w:sz="6" w:space="4"/>
        </w:pBdr>
        <w:spacing w:after="160" w:before="360"/>
      </w:pPr>
      <w:r>
        <w:rPr>
          <w:rFonts w:ascii="Calibri" w:cs="Calibri" w:eastAsia="Calibri" w:hAnsi="Calibri"/>
          <w:b/>
          <w:bCs/>
          <w:color w:val="1F3864"/>
          <w:sz w:val="30"/>
          <w:szCs w:val="30"/>
        </w:rPr>
        <w:t xml:space="preserve">1. What "training a model" actually means here</w:t>
      </w:r>
    </w:p>
    <w:p>
      <w:pPr>
        <w:spacing w:after="160" w:line="276"/>
      </w:pPr>
      <w:r>
        <w:rPr>
          <w:rFonts w:ascii="Calibri" w:cs="Calibri" w:eastAsia="Calibri" w:hAnsi="Calibri"/>
          <w:color w:val="222222"/>
          <w:sz w:val="21"/>
          <w:szCs w:val="21"/>
        </w:rPr>
        <w:t xml:space="preserve">Before the plan: a straight answer to the framing of the question, because it changes everything downstream. You do not need to train a foundation model from scratch, and full fine-tuning of an existing LLM on your own log data is the wrong first move too — it needs tens of thousands of labeled alert-to-verdict examples and GPU budget most SOCs (and no solo portfolio project) have. That path exists (parameter-efficient fine-tuning, e.g. LoRA on a small open model — see OpenSOC-AI's 1.1B-parameter approach) but it's a phase-two upgrade, not a starting point.</w:t>
      </w:r>
    </w:p>
    <w:p>
      <w:pPr>
        <w:spacing w:after="160" w:line="276"/>
      </w:pPr>
      <w:r>
        <w:rPr>
          <w:rFonts w:ascii="Calibri" w:cs="Calibri" w:eastAsia="Calibri" w:hAnsi="Calibri"/>
          <w:color w:val="222222"/>
          <w:sz w:val="21"/>
          <w:szCs w:val="21"/>
        </w:rPr>
        <w:t xml:space="preserve">What actually works, and what current SOC-AI research has converged on (CyberRAG, AgCyRAG, DEFENGRAPH, 2026), is grounding an existing LLM with retrieval instead of retraining its weights:</w:t>
      </w:r>
    </w:p>
    <w:p>
      <w:pPr>
        <w:pStyle w:val="ListParagraph"/>
        <w:numPr>
          <w:ilvl w:val="0"/>
          <w:numId w:val="2"/>
        </w:numPr>
        <w:spacing w:after="90" w:line="270"/>
      </w:pPr>
      <w:r>
        <w:rPr>
          <w:rFonts w:ascii="Calibri" w:cs="Calibri" w:eastAsia="Calibri" w:hAnsi="Calibri"/>
          <w:b/>
          <w:bCs/>
          <w:color w:val="222222"/>
          <w:sz w:val="21"/>
          <w:szCs w:val="21"/>
        </w:rPr>
        <w:t xml:space="preserve">Vector database (RAG): </w:t>
      </w:r>
      <w:r>
        <w:rPr>
          <w:rFonts w:ascii="Calibri" w:cs="Calibri" w:eastAsia="Calibri" w:hAnsi="Calibri"/>
          <w:color w:val="222222"/>
          <w:sz w:val="21"/>
          <w:szCs w:val="21"/>
        </w:rPr>
        <w:t xml:space="preserve">embed logs, alerts, threat intel, and past triage notes as vectors. When a new alert comes in, retrieve the semantically similar things that happened before and hand them to the LLM as context.</w:t>
      </w:r>
    </w:p>
    <w:p>
      <w:pPr>
        <w:pStyle w:val="ListParagraph"/>
        <w:numPr>
          <w:ilvl w:val="0"/>
          <w:numId w:val="2"/>
        </w:numPr>
        <w:spacing w:after="90" w:line="270"/>
      </w:pPr>
      <w:r>
        <w:rPr>
          <w:rFonts w:ascii="Calibri" w:cs="Calibri" w:eastAsia="Calibri" w:hAnsi="Calibri"/>
          <w:b/>
          <w:bCs/>
          <w:color w:val="222222"/>
          <w:sz w:val="21"/>
          <w:szCs w:val="21"/>
        </w:rPr>
        <w:t xml:space="preserve">Knowledge graph: </w:t>
      </w:r>
      <w:r>
        <w:rPr>
          <w:rFonts w:ascii="Calibri" w:cs="Calibri" w:eastAsia="Calibri" w:hAnsi="Calibri"/>
          <w:color w:val="222222"/>
          <w:sz w:val="21"/>
          <w:szCs w:val="21"/>
        </w:rPr>
        <w:t xml:space="preserve">model entities (host, user, process, IP, hash) and their relationships explicitly. When an alert fires, traverse the graph to answer "what else does this IP/host/user touch?" — something vector similarity alone can't do.</w:t>
      </w:r>
    </w:p>
    <w:p>
      <w:pPr>
        <w:pStyle w:val="ListParagraph"/>
        <w:numPr>
          <w:ilvl w:val="0"/>
          <w:numId w:val="2"/>
        </w:numPr>
        <w:spacing w:after="90" w:line="270"/>
      </w:pPr>
      <w:r>
        <w:rPr>
          <w:rFonts w:ascii="Calibri" w:cs="Calibri" w:eastAsia="Calibri" w:hAnsi="Calibri"/>
          <w:b/>
          <w:bCs/>
          <w:color w:val="222222"/>
          <w:sz w:val="21"/>
          <w:szCs w:val="21"/>
        </w:rPr>
        <w:t xml:space="preserve">Hybrid (GraphRAG): </w:t>
      </w:r>
      <w:r>
        <w:rPr>
          <w:rFonts w:ascii="Calibri" w:cs="Calibri" w:eastAsia="Calibri" w:hAnsi="Calibri"/>
          <w:color w:val="222222"/>
          <w:sz w:val="21"/>
          <w:szCs w:val="21"/>
        </w:rPr>
        <w:t xml:space="preserve">use both. The graph answers structural/relational questions (lateral movement, blast radius), the vector store answers semantic questions ("have we seen something like this before, even if worded differently"). The LLM then reasons over verified, retrieved context rather than its own memory — which is also what keeps it from hallucinating a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EEF2F8" w:sz="4"/>
            </w:tcBorders>
            <w:shd w:fill="EEF2F8" w:val="clear"/>
            <w:tcMar>
              <w:top w:type="dxa" w:w="160"/>
              <w:left w:type="dxa" w:w="200"/>
              <w:bottom w:type="dxa" w:w="160"/>
              <w:right w:type="dxa" w:w="200"/>
            </w:tcMar>
          </w:tcPr>
          <w:p>
            <w:pPr>
              <w:spacing w:line="270"/>
            </w:pPr>
            <w:r>
              <w:rPr>
                <w:rFonts w:ascii="Calibri" w:cs="Calibri" w:eastAsia="Calibri" w:hAnsi="Calibri"/>
                <w:i/>
                <w:iCs/>
                <w:color w:val="222222"/>
                <w:sz w:val="21"/>
                <w:szCs w:val="21"/>
              </w:rPr>
              <w:t xml:space="preserve">Bottom line: you're not training a model in the classic ML sense. You're building a retrieval-and-reasoning system around a model you already have (Ollama). That is also the more defensible resume claim — "trained an AI model" invites a hiring manager to ask about your training loss curves; "built a retrieval-augmented triage pipeline" is accurate and is what SOC/MSSP teams are actually shipping right now.</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2. Architecture</w:t>
      </w:r>
    </w:p>
    <w:p>
      <w:pPr>
        <w:spacing w:after="160" w:line="276"/>
      </w:pPr>
      <w:r>
        <w:rPr>
          <w:rFonts w:ascii="Calibri" w:cs="Calibri" w:eastAsia="Calibri" w:hAnsi="Calibri"/>
          <w:color w:val="222222"/>
          <w:sz w:val="21"/>
          <w:szCs w:val="21"/>
        </w:rPr>
        <w:t xml:space="preserve">This slots directly onto your existing SOC/SOAR pipeline (Wazuh → Shuffle → VirusTotal → Discord, FastAPI + Ollama triage) as an upgrade to the triage step, not a separate project.</w:t>
      </w:r>
    </w:p>
    <w:p>
      <w:pPr>
        <w:pStyle w:val="ListParagraph"/>
        <w:numPr>
          <w:ilvl w:val="0"/>
          <w:numId w:val="2"/>
        </w:numPr>
        <w:spacing w:after="90" w:line="270"/>
      </w:pPr>
      <w:r>
        <w:rPr>
          <w:rFonts w:ascii="Calibri" w:cs="Calibri" w:eastAsia="Calibri" w:hAnsi="Calibri"/>
          <w:b/>
          <w:bCs/>
          <w:color w:val="222222"/>
          <w:sz w:val="21"/>
          <w:szCs w:val="21"/>
        </w:rPr>
        <w:t xml:space="preserve">Ingestion: </w:t>
      </w:r>
      <w:r>
        <w:rPr>
          <w:rFonts w:ascii="Calibri" w:cs="Calibri" w:eastAsia="Calibri" w:hAnsi="Calibri"/>
          <w:color w:val="222222"/>
          <w:sz w:val="21"/>
          <w:szCs w:val="21"/>
        </w:rPr>
        <w:t xml:space="preserve">Wazuh alerts (and honeypot/Cowrie JSON from your T-Pot box) hit your existing FastAPI service.</w:t>
      </w:r>
    </w:p>
    <w:p>
      <w:pPr>
        <w:pStyle w:val="ListParagraph"/>
        <w:numPr>
          <w:ilvl w:val="0"/>
          <w:numId w:val="2"/>
        </w:numPr>
        <w:spacing w:after="90" w:line="270"/>
      </w:pPr>
      <w:r>
        <w:rPr>
          <w:rFonts w:ascii="Calibri" w:cs="Calibri" w:eastAsia="Calibri" w:hAnsi="Calibri"/>
          <w:b/>
          <w:bCs/>
          <w:color w:val="222222"/>
          <w:sz w:val="21"/>
          <w:szCs w:val="21"/>
        </w:rPr>
        <w:t xml:space="preserve">Entity extraction: </w:t>
      </w:r>
      <w:r>
        <w:rPr>
          <w:rFonts w:ascii="Calibri" w:cs="Calibri" w:eastAsia="Calibri" w:hAnsi="Calibri"/>
          <w:color w:val="222222"/>
          <w:sz w:val="21"/>
          <w:szCs w:val="21"/>
        </w:rPr>
        <w:t xml:space="preserve">pull IPs, hashes, usernames, hostnames, process names, CVEs out of each alert (regex for IOCs + spaCy NER or a small structured-extraction LLM call for the rest).</w:t>
      </w:r>
    </w:p>
    <w:p>
      <w:pPr>
        <w:pStyle w:val="ListParagraph"/>
        <w:numPr>
          <w:ilvl w:val="0"/>
          <w:numId w:val="2"/>
        </w:numPr>
        <w:spacing w:after="90" w:line="270"/>
      </w:pPr>
      <w:r>
        <w:rPr>
          <w:rFonts w:ascii="Calibri" w:cs="Calibri" w:eastAsia="Calibri" w:hAnsi="Calibri"/>
          <w:b/>
          <w:bCs/>
          <w:color w:val="222222"/>
          <w:sz w:val="21"/>
          <w:szCs w:val="21"/>
        </w:rPr>
        <w:t xml:space="preserve">Graph write: </w:t>
      </w:r>
      <w:r>
        <w:rPr>
          <w:rFonts w:ascii="Calibri" w:cs="Calibri" w:eastAsia="Calibri" w:hAnsi="Calibri"/>
          <w:color w:val="222222"/>
          <w:sz w:val="21"/>
          <w:szCs w:val="21"/>
        </w:rPr>
        <w:t xml:space="preserve">upsert entities and relationships into Neo4j — e.g. (Host)-[:GENERATED]-&gt;(Alert), (Alert)-[:INVOLVES]-&gt;(IP), (IP)-[:SEEN_IN]-&gt;(Alert) — so you can traverse "what else has this entity touched."</w:t>
      </w:r>
    </w:p>
    <w:p>
      <w:pPr>
        <w:pStyle w:val="ListParagraph"/>
        <w:numPr>
          <w:ilvl w:val="0"/>
          <w:numId w:val="2"/>
        </w:numPr>
        <w:spacing w:after="90" w:line="270"/>
      </w:pPr>
      <w:r>
        <w:rPr>
          <w:rFonts w:ascii="Calibri" w:cs="Calibri" w:eastAsia="Calibri" w:hAnsi="Calibri"/>
          <w:b/>
          <w:bCs/>
          <w:color w:val="222222"/>
          <w:sz w:val="21"/>
          <w:szCs w:val="21"/>
        </w:rPr>
        <w:t xml:space="preserve">Vector write: </w:t>
      </w:r>
      <w:r>
        <w:rPr>
          <w:rFonts w:ascii="Calibri" w:cs="Calibri" w:eastAsia="Calibri" w:hAnsi="Calibri"/>
          <w:color w:val="222222"/>
          <w:sz w:val="21"/>
          <w:szCs w:val="21"/>
        </w:rPr>
        <w:t xml:space="preserve">embed the alert text, the matched Sigma rule, and any retrieved threat-intel description; upsert into Qdrant with metadata (timestamp, host, severity).</w:t>
      </w:r>
    </w:p>
    <w:p>
      <w:pPr>
        <w:pStyle w:val="ListParagraph"/>
        <w:numPr>
          <w:ilvl w:val="0"/>
          <w:numId w:val="2"/>
        </w:numPr>
        <w:spacing w:after="90" w:line="270"/>
      </w:pPr>
      <w:r>
        <w:rPr>
          <w:rFonts w:ascii="Calibri" w:cs="Calibri" w:eastAsia="Calibri" w:hAnsi="Calibri"/>
          <w:b/>
          <w:bCs/>
          <w:color w:val="222222"/>
          <w:sz w:val="21"/>
          <w:szCs w:val="21"/>
        </w:rPr>
        <w:t xml:space="preserve">Retrieval at triage time: </w:t>
      </w:r>
      <w:r>
        <w:rPr>
          <w:rFonts w:ascii="Calibri" w:cs="Calibri" w:eastAsia="Calibri" w:hAnsi="Calibri"/>
          <w:color w:val="222222"/>
          <w:sz w:val="21"/>
          <w:szCs w:val="21"/>
        </w:rPr>
        <w:t xml:space="preserve">on a new alert, query the graph for connected entities (1–2 hop neighborhood) and query the vector store for the top-k semantically similar past alerts/TTPs. Merge both into a single context block.</w:t>
      </w:r>
    </w:p>
    <w:p>
      <w:pPr>
        <w:pStyle w:val="ListParagraph"/>
        <w:numPr>
          <w:ilvl w:val="0"/>
          <w:numId w:val="2"/>
        </w:numPr>
        <w:spacing w:after="90" w:line="270"/>
      </w:pPr>
      <w:r>
        <w:rPr>
          <w:rFonts w:ascii="Calibri" w:cs="Calibri" w:eastAsia="Calibri" w:hAnsi="Calibri"/>
          <w:b/>
          <w:bCs/>
          <w:color w:val="222222"/>
          <w:sz w:val="21"/>
          <w:szCs w:val="21"/>
        </w:rPr>
        <w:t xml:space="preserve">Reasoning: </w:t>
      </w:r>
      <w:r>
        <w:rPr>
          <w:rFonts w:ascii="Calibri" w:cs="Calibri" w:eastAsia="Calibri" w:hAnsi="Calibri"/>
          <w:color w:val="222222"/>
          <w:sz w:val="21"/>
          <w:szCs w:val="21"/>
        </w:rPr>
        <w:t xml:space="preserve">pass the merged context + the new alert to your Ollama LLM with a constrained prompt (verdict, confidence, MITRE ATT&amp;CK technique, recommended action, cited evidence). This is the same hardened-prompt pattern you already use for prompt-injection defense — reuse it, since log content is attacker-influenced input.</w:t>
      </w:r>
    </w:p>
    <w:p>
      <w:pPr>
        <w:pStyle w:val="ListParagraph"/>
        <w:numPr>
          <w:ilvl w:val="0"/>
          <w:numId w:val="2"/>
        </w:numPr>
        <w:spacing w:after="90" w:line="270"/>
      </w:pPr>
      <w:r>
        <w:rPr>
          <w:rFonts w:ascii="Calibri" w:cs="Calibri" w:eastAsia="Calibri" w:hAnsi="Calibri"/>
          <w:b/>
          <w:bCs/>
          <w:color w:val="222222"/>
          <w:sz w:val="21"/>
          <w:szCs w:val="21"/>
        </w:rPr>
        <w:t xml:space="preserve">Action: </w:t>
      </w:r>
      <w:r>
        <w:rPr>
          <w:rFonts w:ascii="Calibri" w:cs="Calibri" w:eastAsia="Calibri" w:hAnsi="Calibri"/>
          <w:color w:val="222222"/>
          <w:sz w:val="21"/>
          <w:szCs w:val="21"/>
        </w:rPr>
        <w:t xml:space="preserve">verdict flows back into Shuffle for the existing SOAR playbook and Discord notification. Store the final human-confirmed verdict back into the vector store and graph — this is your feedback loop and the closest thing to "learning" without retraining weights.</w:t>
      </w:r>
    </w:p>
    <w:p>
      <w:pPr>
        <w:pStyle w:val="Heading1"/>
        <w:pBdr>
          <w:bottom w:val="single" w:color="1F3864" w:sz="6" w:space="4"/>
        </w:pBdr>
        <w:spacing w:after="160" w:before="360"/>
      </w:pPr>
      <w:r>
        <w:rPr>
          <w:rFonts w:ascii="Calibri" w:cs="Calibri" w:eastAsia="Calibri" w:hAnsi="Calibri"/>
          <w:b/>
          <w:bCs/>
          <w:color w:val="1F3864"/>
          <w:sz w:val="30"/>
          <w:szCs w:val="30"/>
        </w:rPr>
        <w:t xml:space="preserve">3. Where to get data</w:t>
      </w:r>
    </w:p>
    <w:p>
      <w:pPr>
        <w:spacing w:after="160" w:line="276"/>
      </w:pPr>
      <w:r>
        <w:rPr>
          <w:rFonts w:ascii="Calibri" w:cs="Calibri" w:eastAsia="Calibri" w:hAnsi="Calibri"/>
          <w:color w:val="222222"/>
          <w:sz w:val="21"/>
          <w:szCs w:val="21"/>
        </w:rPr>
        <w:t xml:space="preserve">Three different needs, three different sources. Don't conflate them — practice datasets teach the system what normal/abnormal looks like structurally, threat-intel sources give it up-to-date grounding, and your own generated data is what makes the portfolio project distinctive and defensible in an interview.</w:t>
      </w:r>
    </w:p>
    <w:p>
      <w:pPr>
        <w:pStyle w:val="Heading2"/>
        <w:spacing w:after="120" w:before="260"/>
      </w:pPr>
      <w:r>
        <w:rPr>
          <w:rFonts w:ascii="Calibri" w:cs="Calibri" w:eastAsia="Calibri" w:hAnsi="Calibri"/>
          <w:b/>
          <w:bCs/>
          <w:color w:val="2E5395"/>
          <w:sz w:val="24"/>
          <w:szCs w:val="24"/>
        </w:rPr>
        <w:t xml:space="preserve">3.1 Practice / benchmark log datasets (structure + anomaly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3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c>
          <w:tcPr>
            <w:tcW w:type="dxa" w:w="35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Use it for</w:t>
            </w:r>
          </w:p>
        </w:tc>
      </w:tr>
      <w:tr>
        <w:tc>
          <w:tcPr>
            <w:tcW w:type="dxa" w:w="2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Log anomaly benchmarks</w:t>
            </w:r>
          </w:p>
        </w:tc>
        <w:tc>
          <w:tcPr>
            <w:tcW w:type="dxa" w:w="3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LogHub / LogHub-2k (github.com/logpai/loghub) — HDFS, BGL, Thunderbird, OpenStack, Linux, Mac, etc.</w:t>
            </w:r>
          </w:p>
        </w:tc>
        <w:tc>
          <w:tcPr>
            <w:tcW w:type="dxa" w:w="356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Learn log parsing + anomaly-detection patterns across real system logs; good for embedding-pipeline testing before touching your own data</w:t>
            </w:r>
          </w:p>
        </w:tc>
      </w:tr>
      <w:tr>
        <w:tc>
          <w:tcPr>
            <w:tcW w:type="dxa" w:w="2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Anomaly detection datasets</w:t>
            </w:r>
          </w:p>
        </w:tc>
        <w:tc>
          <w:tcPr>
            <w:tcW w:type="dxa" w:w="3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AIT-AECID anomaly-detection-log-datasets (github.com/ait-aecid/anomaly-detection-log-datasets)</w:t>
            </w:r>
          </w:p>
        </w:tc>
        <w:tc>
          <w:tcPr>
            <w:tcW w:type="dxa" w:w="35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Labeled log datasets purpose-built for anomaly detection eval — useful for scoring your retrieval quality</w:t>
            </w:r>
          </w:p>
        </w:tc>
      </w:tr>
      <w:tr>
        <w:tc>
          <w:tcPr>
            <w:tcW w:type="dxa" w:w="2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Network intrusion</w:t>
            </w:r>
          </w:p>
        </w:tc>
        <w:tc>
          <w:tcPr>
            <w:tcW w:type="dxa" w:w="3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CIC-IDS2017 / CSE-CIC-IDS2018 (Canadian Institute for Cybersecurity)</w:t>
            </w:r>
          </w:p>
        </w:tc>
        <w:tc>
          <w:tcPr>
            <w:tcW w:type="dxa" w:w="356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Labeled network traffic incl. DoS, botnet, brute-force, infiltration — good for a network-layer companion to your host/log-based graph</w:t>
            </w:r>
          </w:p>
        </w:tc>
      </w:tr>
      <w:tr>
        <w:tc>
          <w:tcPr>
            <w:tcW w:type="dxa" w:w="2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Classic IDS baseline</w:t>
            </w:r>
          </w:p>
        </w:tc>
        <w:tc>
          <w:tcPr>
            <w:tcW w:type="dxa" w:w="3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NSL-KDD</w:t>
            </w:r>
          </w:p>
        </w:tc>
        <w:tc>
          <w:tcPr>
            <w:tcW w:type="dxa" w:w="35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Smaller, well-known benchmark; useful for quick sanity checks / demo notebooks, not for production-quality claims</w:t>
            </w:r>
          </w:p>
        </w:tc>
      </w:tr>
    </w:tbl>
    <w:p>
      <w:pPr>
        <w:pStyle w:val="Heading2"/>
        <w:spacing w:after="120" w:before="260"/>
      </w:pPr>
      <w:r>
        <w:rPr>
          <w:rFonts w:ascii="Calibri" w:cs="Calibri" w:eastAsia="Calibri" w:hAnsi="Calibri"/>
          <w:b/>
          <w:bCs/>
          <w:color w:val="2E5395"/>
          <w:sz w:val="24"/>
          <w:szCs w:val="24"/>
        </w:rPr>
        <w:t xml:space="preserve">3.2 Threat-intel and knowledge grounding (what the RAG/graph reasons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3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c>
          <w:tcPr>
            <w:tcW w:type="dxa" w:w="35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Use it for</w:t>
            </w:r>
          </w:p>
        </w:tc>
      </w:tr>
      <w:tr>
        <w:tc>
          <w:tcPr>
            <w:tcW w:type="dxa" w:w="2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Attack technique taxonomy</w:t>
            </w:r>
          </w:p>
        </w:tc>
        <w:tc>
          <w:tcPr>
            <w:tcW w:type="dxa" w:w="3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MITRE ATT&amp;CK (STIX/TAXII feed, attack.mitre.org)</w:t>
            </w:r>
          </w:p>
        </w:tc>
        <w:tc>
          <w:tcPr>
            <w:tcW w:type="dxa" w:w="356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The backbone of your graph/vector schema — map every alert to a technique ID; also the standard your Discord/Shuffle output should speak</w:t>
            </w:r>
          </w:p>
        </w:tc>
      </w:tr>
      <w:tr>
        <w:tc>
          <w:tcPr>
            <w:tcW w:type="dxa" w:w="2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Detection logic</w:t>
            </w:r>
          </w:p>
        </w:tc>
        <w:tc>
          <w:tcPr>
            <w:tcW w:type="dxa" w:w="3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SigmaHQ rules repo (github.com/SigmaHQ/sigma)</w:t>
            </w:r>
          </w:p>
        </w:tc>
        <w:tc>
          <w:tcPr>
            <w:tcW w:type="dxa" w:w="35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Human-readable detection rules mapped to ATT&amp;CK — embed these so the LLM can cite "this matches Sigma rule X for technique Y"</w:t>
            </w:r>
          </w:p>
        </w:tc>
      </w:tr>
      <w:tr>
        <w:tc>
          <w:tcPr>
            <w:tcW w:type="dxa" w:w="2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IOC / threat feeds</w:t>
            </w:r>
          </w:p>
        </w:tc>
        <w:tc>
          <w:tcPr>
            <w:tcW w:type="dxa" w:w="3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AlienVault OTX, abuse.ch (URLhaus, MalwareBazaar, ThreatFox), MISP community feeds</w:t>
            </w:r>
          </w:p>
        </w:tc>
        <w:tc>
          <w:tcPr>
            <w:tcW w:type="dxa" w:w="356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Free OSINT feeds for known-bad IPs/hashes/domains — enrich the graph with reputation data, same role VirusTotal already plays in your pipeline</w:t>
            </w:r>
          </w:p>
        </w:tc>
      </w:tr>
      <w:tr>
        <w:tc>
          <w:tcPr>
            <w:tcW w:type="dxa" w:w="2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Vulnerability data</w:t>
            </w:r>
          </w:p>
        </w:tc>
        <w:tc>
          <w:tcPr>
            <w:tcW w:type="dxa" w:w="3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NVD/CVE feed</w:t>
            </w:r>
          </w:p>
        </w:tc>
        <w:tc>
          <w:tcPr>
            <w:tcW w:type="dxa" w:w="35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Ground alerts that reference specific CVEs; useful once you add vuln-scan data to the graph</w:t>
            </w:r>
          </w:p>
        </w:tc>
      </w:tr>
    </w:tbl>
    <w:p>
      <w:pPr>
        <w:pStyle w:val="Heading2"/>
        <w:spacing w:after="120" w:before="260"/>
      </w:pPr>
      <w:r>
        <w:rPr>
          <w:rFonts w:ascii="Calibri" w:cs="Calibri" w:eastAsia="Calibri" w:hAnsi="Calibri"/>
          <w:b/>
          <w:bCs/>
          <w:color w:val="2E5395"/>
          <w:sz w:val="24"/>
          <w:szCs w:val="24"/>
        </w:rPr>
        <w:t xml:space="preserve">3.3 Your own data (the part that actually differentiates the project)</w:t>
      </w:r>
    </w:p>
    <w:p>
      <w:pPr>
        <w:pStyle w:val="ListParagraph"/>
        <w:numPr>
          <w:ilvl w:val="0"/>
          <w:numId w:val="2"/>
        </w:numPr>
        <w:spacing w:after="90" w:line="270"/>
      </w:pPr>
      <w:r>
        <w:rPr>
          <w:rFonts w:ascii="Calibri" w:cs="Calibri" w:eastAsia="Calibri" w:hAnsi="Calibri"/>
          <w:b/>
          <w:bCs/>
          <w:color w:val="222222"/>
          <w:sz w:val="21"/>
          <w:szCs w:val="21"/>
        </w:rPr>
        <w:t xml:space="preserve">Honeypot data: </w:t>
      </w:r>
      <w:r>
        <w:rPr>
          <w:rFonts w:ascii="Calibri" w:cs="Calibri" w:eastAsia="Calibri" w:hAnsi="Calibri"/>
          <w:color w:val="222222"/>
          <w:sz w:val="21"/>
          <w:szCs w:val="21"/>
        </w:rPr>
        <w:t xml:space="preserve">your T-Pot/Cowrie logs are real, unlabeled-but-authentic attacker behavior — genuinely valuable and something most portfolio projects don't have. Prioritize getting this flowing per your existing sequencing plan.</w:t>
      </w:r>
    </w:p>
    <w:p>
      <w:pPr>
        <w:pStyle w:val="ListParagraph"/>
        <w:numPr>
          <w:ilvl w:val="0"/>
          <w:numId w:val="2"/>
        </w:numPr>
        <w:spacing w:after="90" w:line="270"/>
      </w:pPr>
      <w:r>
        <w:rPr>
          <w:rFonts w:ascii="Calibri" w:cs="Calibri" w:eastAsia="Calibri" w:hAnsi="Calibri"/>
          <w:b/>
          <w:bCs/>
          <w:color w:val="222222"/>
          <w:sz w:val="21"/>
          <w:szCs w:val="21"/>
        </w:rPr>
        <w:t xml:space="preserve">Synthetic labeled scenarios: </w:t>
      </w:r>
      <w:r>
        <w:rPr>
          <w:rFonts w:ascii="Calibri" w:cs="Calibri" w:eastAsia="Calibri" w:hAnsi="Calibri"/>
          <w:color w:val="222222"/>
          <w:sz w:val="21"/>
          <w:szCs w:val="21"/>
        </w:rPr>
        <w:t xml:space="preserve">run Atomic Red Team or Caldera against a lab VM feeding Wazuh, so you know ground truth (you triggered technique T1059 at 14:32) and can measure whether your system correctly retrieves and labels it.</w:t>
      </w:r>
    </w:p>
    <w:p>
      <w:pPr>
        <w:pStyle w:val="ListParagraph"/>
        <w:numPr>
          <w:ilvl w:val="0"/>
          <w:numId w:val="2"/>
        </w:numPr>
        <w:spacing w:after="90" w:line="270"/>
      </w:pPr>
      <w:r>
        <w:rPr>
          <w:rFonts w:ascii="Calibri" w:cs="Calibri" w:eastAsia="Calibri" w:hAnsi="Calibri"/>
          <w:b/>
          <w:bCs/>
          <w:color w:val="222222"/>
          <w:sz w:val="21"/>
          <w:szCs w:val="21"/>
        </w:rPr>
        <w:t xml:space="preserve">Your own hand-labeled eval set: </w:t>
      </w:r>
      <w:r>
        <w:rPr>
          <w:rFonts w:ascii="Calibri" w:cs="Calibri" w:eastAsia="Calibri" w:hAnsi="Calibri"/>
          <w:color w:val="222222"/>
          <w:sz w:val="21"/>
          <w:szCs w:val="21"/>
        </w:rPr>
        <w:t xml:space="preserve">pull 50–100 real or synthetic alerts and write the correct verdict yourself. This becomes your test set — see Section 5.</w:t>
      </w:r>
    </w:p>
    <w:p>
      <w:pPr>
        <w:pStyle w:val="Heading1"/>
        <w:pBdr>
          <w:bottom w:val="single" w:color="1F3864" w:sz="6" w:space="4"/>
        </w:pBdr>
        <w:spacing w:after="160" w:before="360"/>
      </w:pPr>
      <w:r>
        <w:rPr>
          <w:rFonts w:ascii="Calibri" w:cs="Calibri" w:eastAsia="Calibri" w:hAnsi="Calibri"/>
          <w:b/>
          <w:bCs/>
          <w:color w:val="1F3864"/>
          <w:sz w:val="30"/>
          <w:szCs w:val="30"/>
        </w:rPr>
        <w:t xml:space="preserve">4.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3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c>
          <w:tcPr>
            <w:tcW w:type="dxa" w:w="35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Use it for</w:t>
            </w:r>
          </w:p>
        </w:tc>
      </w:tr>
      <w:tr>
        <w:tc>
          <w:tcPr>
            <w:tcW w:type="dxa" w:w="2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Vector DB</w:t>
            </w:r>
          </w:p>
        </w:tc>
        <w:tc>
          <w:tcPr>
            <w:tcW w:type="dxa" w:w="3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Qdrant (self-hosted via Docker)</w:t>
            </w:r>
          </w:p>
        </w:tc>
        <w:tc>
          <w:tcPr>
            <w:tcW w:type="dxa" w:w="356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Strong hybrid search (dense + keyword filters on metadata like host/severity), lightweight enough for a DigitalOcean droplet. Chroma is a fine fallback if you want less ops overhead.</w:t>
            </w:r>
          </w:p>
        </w:tc>
      </w:tr>
      <w:tr>
        <w:tc>
          <w:tcPr>
            <w:tcW w:type="dxa" w:w="2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Graph DB</w:t>
            </w:r>
          </w:p>
        </w:tc>
        <w:tc>
          <w:tcPr>
            <w:tcW w:type="dxa" w:w="3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Neo4j Community Edition (Docker)</w:t>
            </w:r>
          </w:p>
        </w:tc>
        <w:tc>
          <w:tcPr>
            <w:tcW w:type="dxa" w:w="35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Free, has Cypher query language, huge ecosystem of security-graph examples to crib from (Neo4j Labs LLM Graph Builder)</w:t>
            </w:r>
          </w:p>
        </w:tc>
      </w:tr>
      <w:tr>
        <w:tc>
          <w:tcPr>
            <w:tcW w:type="dxa" w:w="2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Embeddings</w:t>
            </w:r>
          </w:p>
        </w:tc>
        <w:tc>
          <w:tcPr>
            <w:tcW w:type="dxa" w:w="3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nomic-embed-text or mxbai-embed-large via Ollama</w:t>
            </w:r>
          </w:p>
        </w:tc>
        <w:tc>
          <w:tcPr>
            <w:tcW w:type="dxa" w:w="356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Runs locally next to your existing Ollama LLM — no API cost, keeps attacker-influenced log data off third-party APIs</w:t>
            </w:r>
          </w:p>
        </w:tc>
      </w:tr>
      <w:tr>
        <w:tc>
          <w:tcPr>
            <w:tcW w:type="dxa" w:w="2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LLM</w:t>
            </w:r>
          </w:p>
        </w:tc>
        <w:tc>
          <w:tcPr>
            <w:tcW w:type="dxa" w:w="3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Your existing Ollama model; consider Llama 3.1 8B or Qwen2.5 7B/14B if you want stronger structured-output reasoning</w:t>
            </w:r>
          </w:p>
        </w:tc>
        <w:tc>
          <w:tcPr>
            <w:tcW w:type="dxa" w:w="35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Reuse what you have; only add API-based frontier models for offline eval comparisons, not production triage</w:t>
            </w:r>
          </w:p>
        </w:tc>
      </w:tr>
      <w:tr>
        <w:tc>
          <w:tcPr>
            <w:tcW w:type="dxa" w:w="2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Orchestration</w:t>
            </w:r>
          </w:p>
        </w:tc>
        <w:tc>
          <w:tcPr>
            <w:tcW w:type="dxa" w:w="340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Hand-rolled in FastAPI (you already know this stack) or LangChain if you want the ecosystem</w:t>
            </w:r>
          </w:p>
        </w:tc>
        <w:tc>
          <w:tcPr>
            <w:tcW w:type="dxa" w:w="3560"/>
            <w:shd w:fill="EEF2F8"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Given your existing FastAPI service, extending it directly is less overhead than bolting on a new framework</w:t>
            </w:r>
          </w:p>
        </w:tc>
      </w:tr>
      <w:tr>
        <w:tc>
          <w:tcPr>
            <w:tcW w:type="dxa" w:w="2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Entity extraction</w:t>
            </w:r>
          </w:p>
        </w:tc>
        <w:tc>
          <w:tcPr>
            <w:tcW w:type="dxa" w:w="3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spaCy (NER) + regex for IOCs; LLM structured-output call for edge cases</w:t>
            </w:r>
          </w:p>
        </w:tc>
        <w:tc>
          <w:tcPr>
            <w:tcW w:type="dxa" w:w="35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Deterministic regex for IPs/hashes/domains is faster and more reliable than LLM extraction — reserve the LLM for ambiguous fields</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5. Phased build plan</w:t>
      </w:r>
    </w:p>
    <w:p>
      <w:pPr>
        <w:spacing w:after="160" w:line="276"/>
      </w:pPr>
      <w:r>
        <w:rPr>
          <w:rFonts w:ascii="Calibri" w:cs="Calibri" w:eastAsia="Calibri" w:hAnsi="Calibri"/>
          <w:color w:val="222222"/>
          <w:sz w:val="21"/>
          <w:szCs w:val="21"/>
        </w:rPr>
        <w:t xml:space="preserve">Sequenced to sit on top of your existing 3-project timeline (honeypot deploys first so it's generating data while you build this). Treat this as "Phase 2" of Project 1 (SOC/SOAR pipeline), not a fourth project — that's also the stronger resume story: one project with real depth beats four shallow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4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Focus</w:t>
            </w:r>
          </w:p>
        </w:tc>
        <w:tc>
          <w:tcPr>
            <w:tcW w:type="dxa" w:w="37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Key deliverable</w:t>
            </w:r>
          </w:p>
        </w:tc>
      </w:tr>
      <w:tr>
        <w:tc>
          <w:tcPr>
            <w:tcW w:type="dxa" w:w="1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0</w:t>
            </w:r>
          </w:p>
        </w:tc>
        <w:tc>
          <w:tcPr>
            <w:tcW w:type="dxa" w:w="42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Honeypot live and generating Cowrie logs (already planned)</w:t>
            </w:r>
          </w:p>
        </w:tc>
        <w:tc>
          <w:tcPr>
            <w:tcW w:type="dxa" w:w="37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Real attacker data flowing before you need it</w:t>
            </w:r>
          </w:p>
        </w:tc>
      </w:tr>
      <w:tr>
        <w:tc>
          <w:tcPr>
            <w:tcW w:type="dxa" w:w="1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1
(wk 1)</w:t>
            </w:r>
          </w:p>
        </w:tc>
        <w:tc>
          <w:tcPr>
            <w:tcW w:type="dxa" w:w="42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Stand up Qdrant + Neo4j via Docker Compose on the droplet; load MITRE ATT&amp;CK + SigmaHQ rules into both stores</w:t>
            </w:r>
          </w:p>
        </w:tc>
        <w:tc>
          <w:tcPr>
            <w:tcW w:type="dxa" w:w="37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Working vector store + graph, pre-seeded with grounding knowledge (no custom code needed yet — this validates the infra)</w:t>
            </w:r>
          </w:p>
        </w:tc>
      </w:tr>
      <w:tr>
        <w:tc>
          <w:tcPr>
            <w:tcW w:type="dxa" w:w="1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2
(wk 1–2)</w:t>
            </w:r>
          </w:p>
        </w:tc>
        <w:tc>
          <w:tcPr>
            <w:tcW w:type="dxa" w:w="42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Entity-extraction module: regex/spaCy pipeline that turns a Wazuh/Cowrie alert into IOC list + graph upsert + embedding upsert</w:t>
            </w:r>
          </w:p>
        </w:tc>
        <w:tc>
          <w:tcPr>
            <w:tcW w:type="dxa" w:w="37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Every new alert automatically lands in both stores with correct entities and relationships</w:t>
            </w:r>
          </w:p>
        </w:tc>
      </w:tr>
      <w:tr>
        <w:tc>
          <w:tcPr>
            <w:tcW w:type="dxa" w:w="1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3
(wk 2–3)</w:t>
            </w:r>
          </w:p>
        </w:tc>
        <w:tc>
          <w:tcPr>
            <w:tcW w:type="dxa" w:w="42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Retrieval layer: given a new alert, pull graph 1–2 hop neighborhood + vector top-k similar past alerts/rules, merge into one context object</w:t>
            </w:r>
          </w:p>
        </w:tc>
        <w:tc>
          <w:tcPr>
            <w:tcW w:type="dxa" w:w="37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A `/retrieve` endpoint you can unit-test independent of the LLM</w:t>
            </w:r>
          </w:p>
        </w:tc>
      </w:tr>
      <w:tr>
        <w:tc>
          <w:tcPr>
            <w:tcW w:type="dxa" w:w="1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4
(wk 3)</w:t>
            </w:r>
          </w:p>
        </w:tc>
        <w:tc>
          <w:tcPr>
            <w:tcW w:type="dxa" w:w="42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Triage reasoning: feed merged context + hardened prompt to Ollama, get back structured verdict (severity, ATT&amp;CK technique, confidence, cited evidence, recommended action)</w:t>
            </w:r>
          </w:p>
        </w:tc>
        <w:tc>
          <w:tcPr>
            <w:tcW w:type="dxa" w:w="37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Replaces/upgrades your current triage call with grounded, cited reasoning</w:t>
            </w:r>
          </w:p>
        </w:tc>
      </w:tr>
      <w:tr>
        <w:tc>
          <w:tcPr>
            <w:tcW w:type="dxa" w:w="1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5
(wk 4)</w:t>
            </w:r>
          </w:p>
        </w:tc>
        <w:tc>
          <w:tcPr>
            <w:tcW w:type="dxa" w:w="42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Wire back into Shuffle → Discord; write confirmed verdicts back into vector store + graph as the feedback loop</w:t>
            </w:r>
          </w:p>
        </w:tc>
        <w:tc>
          <w:tcPr>
            <w:tcW w:type="dxa" w:w="37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End-to-end pipeline: Wazuh alert → grounded AI verdict → SOAR action → Discord, closing the loop</w:t>
            </w:r>
          </w:p>
        </w:tc>
      </w:tr>
      <w:tr>
        <w:tc>
          <w:tcPr>
            <w:tcW w:type="dxa" w:w="1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6
(wk 4–5)</w:t>
            </w:r>
          </w:p>
        </w:tc>
        <w:tc>
          <w:tcPr>
            <w:tcW w:type="dxa" w:w="42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Build the 50–100 item hand-labeled eval set (mix of honeypot-derived and Atomic Red Team-triggered alerts); score precision/recall/false-positive rate vs. your old ungrounded-prompt baseline</w:t>
            </w:r>
          </w:p>
        </w:tc>
        <w:tc>
          <w:tcPr>
            <w:tcW w:type="dxa" w:w="37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A defensible before/after metric — this is the number you put on your resume</w:t>
            </w:r>
          </w:p>
        </w:tc>
      </w:tr>
      <w:tr>
        <w:tc>
          <w:tcPr>
            <w:tcW w:type="dxa" w:w="14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7
(wk 5–6)</w:t>
            </w:r>
          </w:p>
        </w:tc>
        <w:tc>
          <w:tcPr>
            <w:tcW w:type="dxa" w:w="420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Polish: architecture diagram, README, short demo (screen recording of an alert flowing through), resume bullet + STAR story</w:t>
            </w:r>
          </w:p>
        </w:tc>
        <w:tc>
          <w:tcPr>
            <w:tcW w:type="dxa" w:w="3760"/>
            <w:shd w:fill="FFFFFF" w:val="clear"/>
            <w:tcMar>
              <w:top w:type="dxa" w:w="100"/>
              <w:left w:type="dxa" w:w="120"/>
              <w:bottom w:type="dxa" w:w="100"/>
              <w:right w:type="dxa" w:w="120"/>
            </w:tcMar>
          </w:tcPr>
          <w:p>
            <w:pPr>
              <w:spacing w:line="260"/>
            </w:pPr>
            <w:r>
              <w:rPr>
                <w:rFonts w:ascii="Calibri" w:cs="Calibri" w:eastAsia="Calibri" w:hAnsi="Calibri"/>
                <w:color w:val="222222"/>
                <w:sz w:val="19"/>
                <w:szCs w:val="19"/>
              </w:rPr>
              <w:t xml:space="preserve">Portfolio-ready artifact with a metric, not just a description</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6. Evaluation — don't skip this</w:t>
      </w:r>
    </w:p>
    <w:p>
      <w:pPr>
        <w:spacing w:after="160" w:line="276"/>
      </w:pPr>
      <w:r>
        <w:rPr>
          <w:rFonts w:ascii="Calibri" w:cs="Calibri" w:eastAsia="Calibri" w:hAnsi="Calibri"/>
          <w:color w:val="222222"/>
          <w:sz w:val="21"/>
          <w:szCs w:val="21"/>
        </w:rPr>
        <w:t xml:space="preserve">A system that "seems to work" isn't a portfolio claim; a measured improvement is. Once you have the 50–100 item labeled set from Section 3.3:</w:t>
      </w:r>
    </w:p>
    <w:p>
      <w:pPr>
        <w:pStyle w:val="ListParagraph"/>
        <w:numPr>
          <w:ilvl w:val="0"/>
          <w:numId w:val="2"/>
        </w:numPr>
        <w:spacing w:after="90" w:line="270"/>
      </w:pPr>
      <w:r>
        <w:rPr>
          <w:rFonts w:ascii="Calibri" w:cs="Calibri" w:eastAsia="Calibri" w:hAnsi="Calibri"/>
          <w:color w:val="222222"/>
          <w:sz w:val="21"/>
          <w:szCs w:val="21"/>
        </w:rPr>
        <w:t xml:space="preserve">Precision / recall / F1 of the AI's severity + technique classification against your hand-labeled ground truth.</w:t>
      </w:r>
    </w:p>
    <w:p>
      <w:pPr>
        <w:pStyle w:val="ListParagraph"/>
        <w:numPr>
          <w:ilvl w:val="0"/>
          <w:numId w:val="2"/>
        </w:numPr>
        <w:spacing w:after="90" w:line="270"/>
      </w:pPr>
      <w:r>
        <w:rPr>
          <w:rFonts w:ascii="Calibri" w:cs="Calibri" w:eastAsia="Calibri" w:hAnsi="Calibri"/>
          <w:color w:val="222222"/>
          <w:sz w:val="21"/>
          <w:szCs w:val="21"/>
        </w:rPr>
        <w:t xml:space="preserve">False-positive rate reduction versus your current (or a naive ungrounded-prompt) baseline — this is the headline number.</w:t>
      </w:r>
    </w:p>
    <w:p>
      <w:pPr>
        <w:pStyle w:val="ListParagraph"/>
        <w:numPr>
          <w:ilvl w:val="0"/>
          <w:numId w:val="2"/>
        </w:numPr>
        <w:spacing w:after="90" w:line="270"/>
      </w:pPr>
      <w:r>
        <w:rPr>
          <w:rFonts w:ascii="Calibri" w:cs="Calibri" w:eastAsia="Calibri" w:hAnsi="Calibri"/>
          <w:color w:val="222222"/>
          <w:sz w:val="21"/>
          <w:szCs w:val="21"/>
        </w:rPr>
        <w:t xml:space="preserve">Retrieval quality check: for a sample of alerts, manually confirm the graph/vector context retrieved was actually relevant (precision@k).</w:t>
      </w:r>
    </w:p>
    <w:p>
      <w:pPr>
        <w:pStyle w:val="ListParagraph"/>
        <w:numPr>
          <w:ilvl w:val="0"/>
          <w:numId w:val="2"/>
        </w:numPr>
        <w:spacing w:after="90" w:line="270"/>
      </w:pPr>
      <w:r>
        <w:rPr>
          <w:rFonts w:ascii="Calibri" w:cs="Calibri" w:eastAsia="Calibri" w:hAnsi="Calibri"/>
          <w:color w:val="222222"/>
          <w:sz w:val="21"/>
          <w:szCs w:val="21"/>
        </w:rPr>
        <w:t xml:space="preserve">Latency: end-to-end time from alert ingestion to verdict — matters for a SOC tool, worth reporting even if just "under N seconds."</w:t>
      </w:r>
    </w:p>
    <w:p>
      <w:pPr>
        <w:pStyle w:val="ListParagraph"/>
        <w:numPr>
          <w:ilvl w:val="0"/>
          <w:numId w:val="2"/>
        </w:numPr>
        <w:spacing w:after="90" w:line="270"/>
      </w:pPr>
      <w:r>
        <w:rPr>
          <w:rFonts w:ascii="Calibri" w:cs="Calibri" w:eastAsia="Calibri" w:hAnsi="Calibri"/>
          <w:color w:val="222222"/>
          <w:sz w:val="21"/>
          <w:szCs w:val="21"/>
        </w:rPr>
        <w:t xml:space="preserve">Qualitative: pull 3–5 good transcripts showing the cited evidence and reasoning — this is what you'll screen-share in an interview.</w:t>
      </w:r>
    </w:p>
    <w:p>
      <w:pPr>
        <w:pStyle w:val="Heading1"/>
        <w:pBdr>
          <w:bottom w:val="single" w:color="1F3864" w:sz="6" w:space="4"/>
        </w:pBdr>
        <w:spacing w:after="160" w:before="360"/>
      </w:pPr>
      <w:r>
        <w:rPr>
          <w:rFonts w:ascii="Calibri" w:cs="Calibri" w:eastAsia="Calibri" w:hAnsi="Calibri"/>
          <w:b/>
          <w:bCs/>
          <w:color w:val="1F3864"/>
          <w:sz w:val="30"/>
          <w:szCs w:val="30"/>
        </w:rPr>
        <w:t xml:space="preserve">7. Risks and gotchas</w:t>
      </w:r>
    </w:p>
    <w:p>
      <w:pPr>
        <w:pStyle w:val="ListParagraph"/>
        <w:numPr>
          <w:ilvl w:val="0"/>
          <w:numId w:val="2"/>
        </w:numPr>
        <w:spacing w:after="90" w:line="270"/>
      </w:pPr>
      <w:r>
        <w:rPr>
          <w:rFonts w:ascii="Calibri" w:cs="Calibri" w:eastAsia="Calibri" w:hAnsi="Calibri"/>
          <w:b/>
          <w:bCs/>
          <w:color w:val="222222"/>
          <w:sz w:val="21"/>
          <w:szCs w:val="21"/>
        </w:rPr>
        <w:t xml:space="preserve">Prompt injection via log content: </w:t>
      </w:r>
      <w:r>
        <w:rPr>
          <w:rFonts w:ascii="Calibri" w:cs="Calibri" w:eastAsia="Calibri" w:hAnsi="Calibri"/>
          <w:color w:val="222222"/>
          <w:sz w:val="21"/>
          <w:szCs w:val="21"/>
        </w:rPr>
        <w:t xml:space="preserve">attacker-controlled strings (usernames, User-Agent headers, process args) land directly in your context window. You've already built defenses for this in your hackathon triage agent — reuse and explicitly call this out as the same hardening pattern applied to a second project. Sanitize/delimit untrusted fields before they hit the prompt.</w:t>
      </w:r>
    </w:p>
    <w:p>
      <w:pPr>
        <w:pStyle w:val="ListParagraph"/>
        <w:numPr>
          <w:ilvl w:val="0"/>
          <w:numId w:val="2"/>
        </w:numPr>
        <w:spacing w:after="90" w:line="270"/>
      </w:pPr>
      <w:r>
        <w:rPr>
          <w:rFonts w:ascii="Calibri" w:cs="Calibri" w:eastAsia="Calibri" w:hAnsi="Calibri"/>
          <w:b/>
          <w:bCs/>
          <w:color w:val="222222"/>
          <w:sz w:val="21"/>
          <w:szCs w:val="21"/>
        </w:rPr>
        <w:t xml:space="preserve">Entity resolution: </w:t>
      </w:r>
      <w:r>
        <w:rPr>
          <w:rFonts w:ascii="Calibri" w:cs="Calibri" w:eastAsia="Calibri" w:hAnsi="Calibri"/>
          <w:color w:val="222222"/>
          <w:sz w:val="21"/>
          <w:szCs w:val="21"/>
        </w:rPr>
        <w:t xml:space="preserve">the same IP can mean different things over time (DHCP reassignment, NAT). Timestamp every graph edge and treat entity identity as time-scoped, not permanent, or your graph will produce false correlations.</w:t>
      </w:r>
    </w:p>
    <w:p>
      <w:pPr>
        <w:pStyle w:val="ListParagraph"/>
        <w:numPr>
          <w:ilvl w:val="0"/>
          <w:numId w:val="2"/>
        </w:numPr>
        <w:spacing w:after="90" w:line="270"/>
      </w:pPr>
      <w:r>
        <w:rPr>
          <w:rFonts w:ascii="Calibri" w:cs="Calibri" w:eastAsia="Calibri" w:hAnsi="Calibri"/>
          <w:b/>
          <w:bCs/>
          <w:color w:val="222222"/>
          <w:sz w:val="21"/>
          <w:szCs w:val="21"/>
        </w:rPr>
        <w:t xml:space="preserve">Vector store staleness: </w:t>
      </w:r>
      <w:r>
        <w:rPr>
          <w:rFonts w:ascii="Calibri" w:cs="Calibri" w:eastAsia="Calibri" w:hAnsi="Calibri"/>
          <w:color w:val="222222"/>
          <w:sz w:val="21"/>
          <w:szCs w:val="21"/>
        </w:rPr>
        <w:t xml:space="preserve">threat intel changes; set a re-embedding/refresh cadence for Sigma rules and OSINT feeds rather than treating the initial load as permanent.</w:t>
      </w:r>
    </w:p>
    <w:p>
      <w:pPr>
        <w:pStyle w:val="ListParagraph"/>
        <w:numPr>
          <w:ilvl w:val="0"/>
          <w:numId w:val="2"/>
        </w:numPr>
        <w:spacing w:after="90" w:line="270"/>
      </w:pPr>
      <w:r>
        <w:rPr>
          <w:rFonts w:ascii="Calibri" w:cs="Calibri" w:eastAsia="Calibri" w:hAnsi="Calibri"/>
          <w:b/>
          <w:bCs/>
          <w:color w:val="222222"/>
          <w:sz w:val="21"/>
          <w:szCs w:val="21"/>
        </w:rPr>
        <w:t xml:space="preserve">Don't overclaim: </w:t>
      </w:r>
      <w:r>
        <w:rPr>
          <w:rFonts w:ascii="Calibri" w:cs="Calibri" w:eastAsia="Calibri" w:hAnsi="Calibri"/>
          <w:color w:val="222222"/>
          <w:sz w:val="21"/>
          <w:szCs w:val="21"/>
        </w:rPr>
        <w:t xml:space="preserve">"trained an AI model" on a resume invites questions about training data size, loss curves, and evaluation methodology that a RAG/graph system can't answer. "Built a retrieval-augmented, graph-grounded AI triage system integrated into a SOAR pipeline, reducing false-positive rate by X%" is accurate, specific, and stronger.</w:t>
      </w:r>
    </w:p>
    <w:p>
      <w:pPr>
        <w:pStyle w:val="Heading1"/>
        <w:pBdr>
          <w:bottom w:val="single" w:color="1F3864" w:sz="6" w:space="4"/>
        </w:pBdr>
        <w:spacing w:after="160" w:before="360"/>
      </w:pPr>
      <w:r>
        <w:rPr>
          <w:rFonts w:ascii="Calibri" w:cs="Calibri" w:eastAsia="Calibri" w:hAnsi="Calibri"/>
          <w:b/>
          <w:bCs/>
          <w:color w:val="1F3864"/>
          <w:sz w:val="30"/>
          <w:szCs w:val="30"/>
        </w:rPr>
        <w:t xml:space="preserve">8. How this fits your broader plan</w:t>
      </w:r>
    </w:p>
    <w:p>
      <w:pPr>
        <w:spacing w:after="160" w:line="276"/>
      </w:pPr>
      <w:r>
        <w:rPr>
          <w:rFonts w:ascii="Calibri" w:cs="Calibri" w:eastAsia="Calibri" w:hAnsi="Calibri"/>
          <w:color w:val="222222"/>
          <w:sz w:val="21"/>
          <w:szCs w:val="21"/>
        </w:rPr>
        <w:t xml:space="preserve">This is Phase 2 of your existing SOC/SOAR pipeline project, not a new fourth project — keep it framed that way on the resume and in interviews so the depth compounds instead of spreading thin across parallel builds. Sequence it after the honeypot is live (so Phase 6 evaluation has real attacker data, not just synthetic), and in parallel with — not instead of — the DSPM scanner work, since that's the one most directly tied to the Cisco role. If time is tight before the DigitalOcean credit expires, Phases 1–4 (working pipeline) matter more than Phase 7 (polish) for interview readiness; you can finish the eval write-up after the credit window closes since it only needs the data you've already collected.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2026-07-09T14:46:06.382Z</dcterms:created>
  <dcterms:modified xsi:type="dcterms:W3CDTF">2026-07-09T14:46:06.383Z</dcterms:modified>
</cp:coreProperties>
</file>

<file path=docProps/custom.xml><?xml version="1.0" encoding="utf-8"?>
<Properties xmlns="http://schemas.openxmlformats.org/officeDocument/2006/custom-properties" xmlns:vt="http://schemas.openxmlformats.org/officeDocument/2006/docPropsVTypes"/>
</file>