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 of Conduct</w:t>
      </w:r>
    </w:p>
    <w:p>
      <w:pPr>
        <w:pStyle w:val="Heading1"/>
      </w:pPr>
      <w:r>
        <w:t>Our values</w:t>
      </w:r>
    </w:p>
    <w:p>
      <w:r>
        <w:t>We treat customers, colleagues and partners with respect. We deliver shipments safely and on time, and we tell the truth when something goes wrong.</w:t>
      </w:r>
    </w:p>
    <w:p>
      <w:pPr>
        <w:pStyle w:val="Heading1"/>
      </w:pPr>
      <w:r>
        <w:t>Gifts and hospitality</w:t>
      </w:r>
    </w:p>
    <w:p>
      <w:r>
        <w:t>Employees may not accept gifts worth more than 50 euros from suppliers or customers. Gifts above this value must be declined or handed to the Compliance Officer.</w:t>
      </w:r>
    </w:p>
    <w:p>
      <w:pPr>
        <w:pStyle w:val="Heading1"/>
      </w:pPr>
      <w:r>
        <w:t>Conflicts of interest</w:t>
      </w:r>
    </w:p>
    <w:p>
      <w:r>
        <w:t>Employees must declare any financial interest in a supplier or competitor to their manager in writing. Managers forward declarations to the Compliance Officer within 5 working days.</w:t>
      </w:r>
    </w:p>
    <w:p>
      <w:pPr>
        <w:pStyle w:val="Heading1"/>
      </w:pPr>
      <w:r>
        <w:t>Reporting concerns</w:t>
      </w:r>
    </w:p>
    <w:p>
      <w:r>
        <w:t>Concerns can be raised with a manager, the People Team or the confidential ethics line. Retaliation against anyone who reports a concern in good faith is a disciplinary offence.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of Conduct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