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Procedure</w:t>
      </w:r>
    </w:p>
    <w:p>
      <w:pPr>
        <w:pStyle w:val="Heading1"/>
      </w:pPr>
      <w:r>
        <w:t>Severity levels</w:t>
      </w:r>
    </w:p>
    <w:p>
      <w:r>
        <w:t>Severity 1 means a complete outage of shipment tracking or a confirmed data breach. Severity 2 means a partial outage affecting one region. Severity 3 covers minor issues with a workaround.</w:t>
      </w:r>
    </w:p>
    <w:p>
      <w:pPr>
        <w:pStyle w:val="Heading1"/>
      </w:pPr>
      <w:r>
        <w:t>Response targets</w:t>
      </w:r>
    </w:p>
    <w:p>
      <w:r>
        <w:t>For Severity 1 incidents the on-call engineer must acknowledge within 10 minutes and a status update is published every 30 minutes. For Severity 2 incidents the acknowledgement target is 30 minutes.</w:t>
      </w:r>
    </w:p>
    <w:p>
      <w:pPr>
        <w:pStyle w:val="Heading1"/>
      </w:pPr>
      <w:r>
        <w:t>After the incident</w:t>
      </w:r>
    </w:p>
    <w:p>
      <w:r>
        <w:t>A written post-incident review is completed within 5 working days for every Severity 1 and Severity 2 incident. Reviews are blameless and focus on how to prevent recurrence.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Procedure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