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Damaged parcel handling</w:t>
      </w:r>
    </w:p>
    <w:p>
      <w:pPr>
        <w:pStyle w:val="Heading1"/>
      </w:pPr>
      <w:r>
        <w:t>Purpose</w:t>
      </w:r>
    </w:p>
    <w:p>
      <w:r>
        <w:t>This procedure describes how Northwind Logistics staff carry out damaged parcel handling consistently and safely.</w:t>
      </w:r>
    </w:p>
    <w:p>
      <w:pPr>
        <w:pStyle w:val="Heading1"/>
      </w:pPr>
      <w:r>
        <w:t>Procedure</w:t>
      </w:r>
    </w:p>
    <w:p>
      <w:r>
        <w:t>The procedure has 9 steps and should take no longer than 10 minutes per occurrence.</w:t>
      </w:r>
    </w:p>
    <w:p>
      <w:r>
        <w:t>Each completed occurrence is signed off by the depot manager.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20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Damaged parcel handling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