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SOP: Overweight load handling</w:t>
      </w:r>
    </w:p>
    <w:p>
      <w:pPr>
        <w:pStyle w:val="Heading1"/>
      </w:pPr>
      <w:r>
        <w:t>Purpose</w:t>
      </w:r>
    </w:p>
    <w:p>
      <w:r>
        <w:t>This procedure describes how Northwind Logistics staff carry out overweight load handling consistently and safely.</w:t>
      </w:r>
    </w:p>
    <w:p>
      <w:pPr>
        <w:pStyle w:val="Heading1"/>
      </w:pPr>
      <w:r>
        <w:t>Procedure</w:t>
      </w:r>
    </w:p>
    <w:p>
      <w:r>
        <w:t>The procedure has 4 steps and should take no longer than 20 minutes per occurrence.</w:t>
      </w:r>
    </w:p>
    <w:p>
      <w:r>
        <w:t>Each completed occurrence is signed off by the depot manager. Records are kept for 24 months.</w:t>
      </w:r>
    </w:p>
    <w:p>
      <w:pPr>
        <w:pStyle w:val="Heading1"/>
      </w:pPr>
      <w:r>
        <w:t>Escalation</w:t>
      </w:r>
    </w:p>
    <w:p>
      <w:r>
        <w:t>If the procedure cannot be completed within 40 minutes the shift supervisor must be informed and the delay logged.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SOP: Overweight load handling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