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Travel Policy</w:t>
      </w:r>
    </w:p>
    <w:p>
      <w:pPr>
        <w:pStyle w:val="Heading1"/>
      </w:pPr>
      <w:r>
        <w:t>Booking</w:t>
      </w:r>
    </w:p>
    <w:p>
      <w:r>
        <w:t>All business travel must be booked through the Northwind travel portal. Flights over 6 hours may be booked in premium economy.</w:t>
      </w:r>
    </w:p>
    <w:p>
      <w:r>
        <w:t>Hotel bookings are capped at 160 euros per night in major cities and 120 euros elsewhere.</w:t>
      </w:r>
    </w:p>
    <w:p>
      <w:pPr>
        <w:pStyle w:val="Heading1"/>
      </w:pPr>
      <w:r>
        <w:t>Rental cars</w:t>
      </w:r>
    </w:p>
    <w:p>
      <w:r>
        <w:t>Rental cars are permitted only when public transport is not practical. The car class must be compact or smaller unless three or more colleagues travel together.</w:t>
      </w:r>
    </w:p>
    <w:p>
      <w:pPr>
        <w:pStyle w:val="Heading1"/>
      </w:pPr>
      <w:r>
        <w:t>Travel insurance</w:t>
      </w:r>
    </w:p>
    <w:p>
      <w:r>
        <w:t>All employees on business trips are covered by the corporate travel insurance policy. Claims are handled by the People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Travel Policy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